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DE6596A">
      <w:pPr>
        <w:spacing w:line="360" w:lineRule="auto"/>
        <w:jc w:val="center"/>
        <w:rPr>
          <w:rFonts w:ascii="方正公文小标宋" w:hAnsi="方正公文小标宋" w:eastAsia="方正公文小标宋" w:cs="方正公文小标宋"/>
          <w:b/>
          <w:bCs/>
          <w:sz w:val="36"/>
          <w:szCs w:val="36"/>
        </w:rPr>
      </w:pPr>
    </w:p>
    <w:p w14:paraId="2900FC85">
      <w:pPr>
        <w:spacing w:line="360" w:lineRule="auto"/>
        <w:jc w:val="center"/>
        <w:rPr>
          <w:rFonts w:ascii="方正公文小标宋" w:hAnsi="方正公文小标宋" w:eastAsia="方正公文小标宋" w:cs="方正公文小标宋"/>
          <w:b/>
          <w:bCs/>
          <w:sz w:val="36"/>
          <w:szCs w:val="36"/>
        </w:rPr>
      </w:pPr>
    </w:p>
    <w:p w14:paraId="25E438F5">
      <w:pPr>
        <w:spacing w:line="360" w:lineRule="auto"/>
        <w:jc w:val="center"/>
        <w:rPr>
          <w:rFonts w:ascii="方正公文小标宋" w:hAnsi="方正公文小标宋" w:eastAsia="方正公文小标宋" w:cs="方正公文小标宋"/>
          <w:b/>
          <w:bCs/>
          <w:sz w:val="36"/>
          <w:szCs w:val="36"/>
        </w:rPr>
      </w:pPr>
    </w:p>
    <w:p w14:paraId="3F69E326">
      <w:pPr>
        <w:spacing w:line="360" w:lineRule="auto"/>
        <w:jc w:val="center"/>
        <w:rPr>
          <w:rFonts w:ascii="方正公文小标宋" w:hAnsi="方正公文小标宋" w:eastAsia="方正公文小标宋" w:cs="方正公文小标宋"/>
          <w:b/>
          <w:bCs/>
          <w:sz w:val="36"/>
          <w:szCs w:val="36"/>
        </w:rPr>
      </w:pPr>
    </w:p>
    <w:p w14:paraId="5C3C01F8">
      <w:pPr>
        <w:pStyle w:val="18"/>
        <w:ind w:firstLine="210"/>
      </w:pPr>
    </w:p>
    <w:p w14:paraId="052466C8">
      <w:pPr>
        <w:spacing w:line="360" w:lineRule="auto"/>
        <w:jc w:val="center"/>
        <w:rPr>
          <w:rFonts w:ascii="方正公文小标宋" w:hAnsi="方正公文小标宋" w:eastAsia="方正公文小标宋" w:cs="方正公文小标宋"/>
          <w:b/>
          <w:bCs/>
          <w:sz w:val="36"/>
          <w:szCs w:val="36"/>
        </w:rPr>
      </w:pPr>
    </w:p>
    <w:p w14:paraId="6087B868">
      <w:pPr>
        <w:spacing w:line="580" w:lineRule="exact"/>
        <w:jc w:val="center"/>
        <w:rPr>
          <w:rFonts w:ascii="黑体" w:hAnsi="黑体" w:eastAsia="黑体" w:cs="方正公文小标宋"/>
          <w:b/>
          <w:bCs/>
          <w:sz w:val="36"/>
          <w:szCs w:val="36"/>
        </w:rPr>
      </w:pPr>
      <w:r>
        <w:rPr>
          <w:rFonts w:hint="eastAsia" w:ascii="黑体" w:hAnsi="黑体" w:eastAsia="黑体" w:cs="方正公文小标宋"/>
          <w:b/>
          <w:bCs/>
          <w:sz w:val="36"/>
          <w:szCs w:val="36"/>
        </w:rPr>
        <w:t>广西 AI人才培养基地暨广西未来人工智能工业设计创新中心</w:t>
      </w:r>
    </w:p>
    <w:p w14:paraId="51BA5EFF">
      <w:pPr>
        <w:spacing w:line="580" w:lineRule="exact"/>
        <w:jc w:val="center"/>
        <w:rPr>
          <w:rFonts w:ascii="黑体" w:hAnsi="黑体" w:eastAsia="黑体" w:cs="方正公文小标宋"/>
          <w:b/>
          <w:bCs/>
          <w:sz w:val="36"/>
          <w:szCs w:val="36"/>
        </w:rPr>
      </w:pPr>
      <w:r>
        <w:rPr>
          <w:rFonts w:hint="eastAsia" w:ascii="黑体" w:hAnsi="黑体" w:eastAsia="黑体" w:cs="方正公文小标宋"/>
          <w:b/>
          <w:bCs/>
          <w:sz w:val="36"/>
          <w:szCs w:val="36"/>
        </w:rPr>
        <w:t>LED屏及配套设备采购项目</w:t>
      </w:r>
    </w:p>
    <w:p w14:paraId="75DB4815">
      <w:pPr>
        <w:spacing w:line="580" w:lineRule="exact"/>
        <w:jc w:val="center"/>
      </w:pPr>
      <w:r>
        <w:rPr>
          <w:rFonts w:hint="eastAsia" w:ascii="黑体" w:hAnsi="黑体" w:eastAsia="黑体" w:cs="方正公文小标宋"/>
          <w:b/>
          <w:bCs/>
          <w:sz w:val="36"/>
          <w:szCs w:val="36"/>
        </w:rPr>
        <w:t>采购文件</w:t>
      </w:r>
    </w:p>
    <w:p w14:paraId="78693999">
      <w:pPr>
        <w:spacing w:line="580" w:lineRule="exact"/>
        <w:jc w:val="center"/>
      </w:pPr>
    </w:p>
    <w:p w14:paraId="77D3990A">
      <w:pPr>
        <w:pStyle w:val="5"/>
      </w:pPr>
    </w:p>
    <w:p w14:paraId="0BA31B95"/>
    <w:p w14:paraId="0B65DBDA">
      <w:pPr>
        <w:pStyle w:val="19"/>
        <w:ind w:firstLine="640"/>
      </w:pPr>
    </w:p>
    <w:p w14:paraId="5DB000ED">
      <w:pPr>
        <w:pStyle w:val="19"/>
        <w:ind w:firstLine="640"/>
      </w:pPr>
    </w:p>
    <w:p w14:paraId="44206FEB">
      <w:pPr>
        <w:spacing w:line="580" w:lineRule="exact"/>
        <w:jc w:val="center"/>
      </w:pPr>
    </w:p>
    <w:p w14:paraId="2B7272D3">
      <w:pPr>
        <w:spacing w:line="480" w:lineRule="auto"/>
        <w:ind w:left="3076" w:leftChars="798" w:hanging="1400" w:hangingChars="500"/>
        <w:jc w:val="left"/>
        <w:rPr>
          <w:sz w:val="28"/>
          <w:szCs w:val="32"/>
        </w:rPr>
      </w:pPr>
      <w:r>
        <w:rPr>
          <w:rFonts w:hint="eastAsia"/>
          <w:sz w:val="28"/>
          <w:szCs w:val="32"/>
        </w:rPr>
        <w:t>项目名称：</w:t>
      </w:r>
      <w:bookmarkStart w:id="0" w:name="_Toc11603"/>
      <w:r>
        <w:rPr>
          <w:rFonts w:hint="eastAsia"/>
          <w:sz w:val="28"/>
          <w:szCs w:val="32"/>
        </w:rPr>
        <w:t>广西 AI人才培养基地暨广西未来人工智能工业设计创新中心LED屏及配套设备采购项目</w:t>
      </w:r>
    </w:p>
    <w:p w14:paraId="60ABC412">
      <w:pPr>
        <w:spacing w:line="480" w:lineRule="auto"/>
        <w:ind w:firstLine="1680" w:firstLineChars="600"/>
        <w:jc w:val="left"/>
        <w:rPr>
          <w:sz w:val="28"/>
          <w:szCs w:val="32"/>
        </w:rPr>
      </w:pPr>
      <w:r>
        <w:rPr>
          <w:rFonts w:hint="eastAsia"/>
          <w:sz w:val="28"/>
          <w:szCs w:val="32"/>
        </w:rPr>
        <w:t>采购人（采购人）名称：</w:t>
      </w:r>
      <w:bookmarkEnd w:id="0"/>
      <w:r>
        <w:rPr>
          <w:rFonts w:hint="eastAsia"/>
          <w:sz w:val="28"/>
          <w:szCs w:val="32"/>
        </w:rPr>
        <w:t>广西工业职业技术学院</w:t>
      </w:r>
    </w:p>
    <w:p w14:paraId="388DC1F4">
      <w:pPr>
        <w:rPr>
          <w:rFonts w:ascii="仿宋" w:hAnsi="仿宋" w:eastAsia="仿宋" w:cs="仿宋"/>
          <w:b/>
          <w:bCs/>
          <w:sz w:val="24"/>
          <w:szCs w:val="24"/>
        </w:rPr>
      </w:pPr>
    </w:p>
    <w:p w14:paraId="31567832">
      <w:pPr>
        <w:jc w:val="center"/>
        <w:rPr>
          <w:rFonts w:ascii="仿宋" w:hAnsi="仿宋" w:eastAsia="仿宋" w:cs="仿宋"/>
          <w:b/>
          <w:bCs/>
          <w:sz w:val="24"/>
          <w:szCs w:val="24"/>
        </w:rPr>
        <w:sectPr>
          <w:pgSz w:w="11906" w:h="16838"/>
          <w:pgMar w:top="720" w:right="720" w:bottom="720" w:left="720" w:header="851" w:footer="992" w:gutter="0"/>
          <w:cols w:space="720" w:num="1"/>
          <w:docGrid w:type="lines" w:linePitch="312" w:charSpace="0"/>
        </w:sectPr>
      </w:pPr>
    </w:p>
    <w:p w14:paraId="5D4DE5BD">
      <w:pPr>
        <w:pStyle w:val="9"/>
        <w:spacing w:line="600" w:lineRule="auto"/>
        <w:rPr>
          <w:sz w:val="28"/>
          <w:szCs w:val="32"/>
        </w:rPr>
      </w:pPr>
    </w:p>
    <w:sdt>
      <w:sdtPr>
        <w:rPr>
          <w:rFonts w:hint="eastAsia" w:ascii="宋体" w:hAnsi="宋体" w:cs="宋体"/>
          <w:sz w:val="28"/>
          <w:szCs w:val="32"/>
        </w:rPr>
        <w:id w:val="147466375"/>
        <w:docPartObj>
          <w:docPartGallery w:val="Table of Contents"/>
          <w:docPartUnique/>
        </w:docPartObj>
      </w:sdtPr>
      <w:sdtEndPr>
        <w:rPr>
          <w:rFonts w:hint="eastAsia" w:ascii="微软雅黑" w:hAnsi="微软雅黑" w:eastAsia="微软雅黑" w:cs="Arial"/>
          <w:bCs/>
          <w:color w:val="000000"/>
          <w:sz w:val="28"/>
          <w:szCs w:val="40"/>
        </w:rPr>
      </w:sdtEndPr>
      <w:sdtContent>
        <w:p w14:paraId="107359C2">
          <w:pPr>
            <w:spacing w:line="600" w:lineRule="auto"/>
            <w:jc w:val="center"/>
            <w:rPr>
              <w:rFonts w:ascii="宋体" w:hAnsi="宋体" w:cs="宋体"/>
              <w:b/>
              <w:bCs/>
              <w:sz w:val="36"/>
              <w:szCs w:val="40"/>
            </w:rPr>
          </w:pPr>
          <w:r>
            <w:rPr>
              <w:rFonts w:hint="eastAsia" w:ascii="宋体" w:hAnsi="宋体" w:cs="宋体"/>
              <w:b/>
              <w:bCs/>
              <w:sz w:val="36"/>
              <w:szCs w:val="40"/>
            </w:rPr>
            <w:t>目   录</w:t>
          </w:r>
        </w:p>
        <w:p w14:paraId="34470FA4">
          <w:pPr>
            <w:pStyle w:val="13"/>
            <w:tabs>
              <w:tab w:val="right" w:leader="dot" w:pos="10466"/>
            </w:tabs>
            <w:spacing w:line="600" w:lineRule="auto"/>
            <w:rPr>
              <w:rFonts w:ascii="宋体" w:hAnsi="宋体" w:cs="宋体"/>
              <w:sz w:val="28"/>
              <w:szCs w:val="32"/>
            </w:rPr>
          </w:pPr>
          <w:r>
            <w:rPr>
              <w:rFonts w:hint="eastAsia" w:ascii="宋体" w:hAnsi="宋体" w:cs="宋体"/>
              <w:b/>
              <w:bCs/>
              <w:color w:val="000000"/>
              <w:sz w:val="40"/>
              <w:szCs w:val="40"/>
            </w:rPr>
            <w:fldChar w:fldCharType="begin"/>
          </w:r>
          <w:r>
            <w:rPr>
              <w:rFonts w:hint="eastAsia" w:ascii="宋体" w:hAnsi="宋体" w:cs="宋体"/>
              <w:b/>
              <w:bCs/>
              <w:color w:val="000000"/>
              <w:sz w:val="40"/>
              <w:szCs w:val="40"/>
            </w:rPr>
            <w:instrText xml:space="preserve">TOC \o "1-3" \h \u </w:instrText>
          </w:r>
          <w:r>
            <w:rPr>
              <w:rFonts w:hint="eastAsia" w:ascii="宋体" w:hAnsi="宋体" w:cs="宋体"/>
              <w:b/>
              <w:bCs/>
              <w:color w:val="000000"/>
              <w:sz w:val="40"/>
              <w:szCs w:val="40"/>
            </w:rPr>
            <w:fldChar w:fldCharType="separate"/>
          </w:r>
          <w:r>
            <w:fldChar w:fldCharType="begin"/>
          </w:r>
          <w:r>
            <w:instrText xml:space="preserve"> HYPERLINK \l "_Toc5839" </w:instrText>
          </w:r>
          <w:r>
            <w:fldChar w:fldCharType="separate"/>
          </w:r>
          <w:r>
            <w:rPr>
              <w:rFonts w:hint="eastAsia" w:ascii="宋体" w:hAnsi="宋体" w:cs="宋体"/>
              <w:sz w:val="28"/>
              <w:szCs w:val="32"/>
            </w:rPr>
            <w:t>第一章 采购需求</w:t>
          </w:r>
          <w:r>
            <w:rPr>
              <w:rFonts w:hint="eastAsia" w:ascii="宋体" w:hAnsi="宋体" w:cs="宋体"/>
              <w:sz w:val="28"/>
              <w:szCs w:val="32"/>
            </w:rPr>
            <w:tab/>
          </w:r>
          <w:r>
            <w:rPr>
              <w:rFonts w:hint="eastAsia" w:ascii="宋体" w:hAnsi="宋体" w:cs="宋体"/>
              <w:sz w:val="28"/>
              <w:szCs w:val="32"/>
            </w:rPr>
            <w:fldChar w:fldCharType="begin"/>
          </w:r>
          <w:r>
            <w:rPr>
              <w:rFonts w:hint="eastAsia" w:ascii="宋体" w:hAnsi="宋体" w:cs="宋体"/>
              <w:sz w:val="28"/>
              <w:szCs w:val="32"/>
            </w:rPr>
            <w:instrText xml:space="preserve"> PAGEREF _Toc5839 \h </w:instrText>
          </w:r>
          <w:r>
            <w:rPr>
              <w:rFonts w:hint="eastAsia" w:ascii="宋体" w:hAnsi="宋体" w:cs="宋体"/>
              <w:sz w:val="28"/>
              <w:szCs w:val="32"/>
            </w:rPr>
            <w:fldChar w:fldCharType="separate"/>
          </w:r>
          <w:r>
            <w:rPr>
              <w:rFonts w:ascii="宋体" w:hAnsi="宋体" w:cs="宋体"/>
              <w:sz w:val="28"/>
              <w:szCs w:val="32"/>
            </w:rPr>
            <w:t>3</w:t>
          </w:r>
          <w:r>
            <w:rPr>
              <w:rFonts w:hint="eastAsia" w:ascii="宋体" w:hAnsi="宋体" w:cs="宋体"/>
              <w:sz w:val="28"/>
              <w:szCs w:val="32"/>
            </w:rPr>
            <w:fldChar w:fldCharType="end"/>
          </w:r>
          <w:r>
            <w:rPr>
              <w:rFonts w:hint="eastAsia" w:ascii="宋体" w:hAnsi="宋体" w:cs="宋体"/>
              <w:sz w:val="28"/>
              <w:szCs w:val="32"/>
            </w:rPr>
            <w:fldChar w:fldCharType="end"/>
          </w:r>
        </w:p>
        <w:p w14:paraId="252FC7D8">
          <w:pPr>
            <w:pStyle w:val="15"/>
            <w:tabs>
              <w:tab w:val="right" w:leader="dot" w:pos="10466"/>
            </w:tabs>
            <w:spacing w:line="600" w:lineRule="auto"/>
            <w:rPr>
              <w:rFonts w:ascii="宋体" w:hAnsi="宋体" w:cs="宋体"/>
              <w:sz w:val="28"/>
              <w:szCs w:val="32"/>
            </w:rPr>
          </w:pPr>
          <w:r>
            <w:fldChar w:fldCharType="begin"/>
          </w:r>
          <w:r>
            <w:instrText xml:space="preserve"> HYPERLINK \l "_Toc18075" </w:instrText>
          </w:r>
          <w:r>
            <w:fldChar w:fldCharType="separate"/>
          </w:r>
          <w:r>
            <w:rPr>
              <w:rFonts w:hint="eastAsia" w:ascii="宋体" w:hAnsi="宋体" w:cs="宋体"/>
              <w:sz w:val="28"/>
              <w:szCs w:val="32"/>
            </w:rPr>
            <w:t>附件一：LED屏及配套设备的主要技术性能</w:t>
          </w:r>
          <w:r>
            <w:rPr>
              <w:rFonts w:hint="eastAsia" w:ascii="宋体" w:hAnsi="宋体" w:cs="宋体"/>
              <w:sz w:val="28"/>
              <w:szCs w:val="32"/>
            </w:rPr>
            <w:tab/>
          </w:r>
          <w:r>
            <w:rPr>
              <w:rFonts w:hint="eastAsia" w:ascii="宋体" w:hAnsi="宋体" w:cs="宋体"/>
              <w:sz w:val="28"/>
              <w:szCs w:val="32"/>
            </w:rPr>
            <w:fldChar w:fldCharType="begin"/>
          </w:r>
          <w:r>
            <w:rPr>
              <w:rFonts w:hint="eastAsia" w:ascii="宋体" w:hAnsi="宋体" w:cs="宋体"/>
              <w:sz w:val="28"/>
              <w:szCs w:val="32"/>
            </w:rPr>
            <w:instrText xml:space="preserve"> PAGEREF _Toc18075 \h </w:instrText>
          </w:r>
          <w:r>
            <w:rPr>
              <w:rFonts w:hint="eastAsia" w:ascii="宋体" w:hAnsi="宋体" w:cs="宋体"/>
              <w:sz w:val="28"/>
              <w:szCs w:val="32"/>
            </w:rPr>
            <w:fldChar w:fldCharType="separate"/>
          </w:r>
          <w:r>
            <w:rPr>
              <w:rFonts w:ascii="宋体" w:hAnsi="宋体" w:cs="宋体"/>
              <w:sz w:val="28"/>
              <w:szCs w:val="32"/>
            </w:rPr>
            <w:t>6</w:t>
          </w:r>
          <w:r>
            <w:rPr>
              <w:rFonts w:hint="eastAsia" w:ascii="宋体" w:hAnsi="宋体" w:cs="宋体"/>
              <w:sz w:val="28"/>
              <w:szCs w:val="32"/>
            </w:rPr>
            <w:fldChar w:fldCharType="end"/>
          </w:r>
          <w:r>
            <w:rPr>
              <w:rFonts w:hint="eastAsia" w:ascii="宋体" w:hAnsi="宋体" w:cs="宋体"/>
              <w:sz w:val="28"/>
              <w:szCs w:val="32"/>
            </w:rPr>
            <w:fldChar w:fldCharType="end"/>
          </w:r>
        </w:p>
        <w:p w14:paraId="351264F6">
          <w:pPr>
            <w:pStyle w:val="15"/>
            <w:tabs>
              <w:tab w:val="right" w:leader="dot" w:pos="10466"/>
            </w:tabs>
            <w:spacing w:line="600" w:lineRule="auto"/>
            <w:rPr>
              <w:rFonts w:ascii="宋体" w:hAnsi="宋体" w:cs="宋体"/>
              <w:sz w:val="28"/>
              <w:szCs w:val="32"/>
            </w:rPr>
          </w:pPr>
          <w:r>
            <w:fldChar w:fldCharType="begin"/>
          </w:r>
          <w:r>
            <w:instrText xml:space="preserve"> HYPERLINK \l "_Toc21066" </w:instrText>
          </w:r>
          <w:r>
            <w:fldChar w:fldCharType="separate"/>
          </w:r>
          <w:r>
            <w:rPr>
              <w:rFonts w:hint="eastAsia" w:ascii="宋体" w:hAnsi="宋体" w:cs="宋体"/>
              <w:sz w:val="28"/>
              <w:szCs w:val="32"/>
            </w:rPr>
            <w:t>附件二：商家须知在线询价、反向竞价违约处理规则</w:t>
          </w:r>
          <w:r>
            <w:rPr>
              <w:rFonts w:hint="eastAsia" w:ascii="宋体" w:hAnsi="宋体" w:cs="宋体"/>
              <w:sz w:val="28"/>
              <w:szCs w:val="32"/>
            </w:rPr>
            <w:tab/>
          </w:r>
          <w:r>
            <w:rPr>
              <w:rFonts w:hint="eastAsia" w:ascii="宋体" w:hAnsi="宋体" w:cs="宋体"/>
              <w:sz w:val="28"/>
              <w:szCs w:val="32"/>
            </w:rPr>
            <w:fldChar w:fldCharType="begin"/>
          </w:r>
          <w:r>
            <w:rPr>
              <w:rFonts w:hint="eastAsia" w:ascii="宋体" w:hAnsi="宋体" w:cs="宋体"/>
              <w:sz w:val="28"/>
              <w:szCs w:val="32"/>
            </w:rPr>
            <w:instrText xml:space="preserve"> PAGEREF _Toc21066 \h </w:instrText>
          </w:r>
          <w:r>
            <w:rPr>
              <w:rFonts w:hint="eastAsia" w:ascii="宋体" w:hAnsi="宋体" w:cs="宋体"/>
              <w:sz w:val="28"/>
              <w:szCs w:val="32"/>
            </w:rPr>
            <w:fldChar w:fldCharType="separate"/>
          </w:r>
          <w:r>
            <w:rPr>
              <w:rFonts w:ascii="宋体" w:hAnsi="宋体" w:cs="宋体"/>
              <w:sz w:val="28"/>
              <w:szCs w:val="32"/>
            </w:rPr>
            <w:t>6</w:t>
          </w:r>
          <w:r>
            <w:rPr>
              <w:rFonts w:hint="eastAsia" w:ascii="宋体" w:hAnsi="宋体" w:cs="宋体"/>
              <w:sz w:val="28"/>
              <w:szCs w:val="32"/>
            </w:rPr>
            <w:fldChar w:fldCharType="end"/>
          </w:r>
          <w:r>
            <w:rPr>
              <w:rFonts w:hint="eastAsia" w:ascii="宋体" w:hAnsi="宋体" w:cs="宋体"/>
              <w:sz w:val="28"/>
              <w:szCs w:val="32"/>
            </w:rPr>
            <w:fldChar w:fldCharType="end"/>
          </w:r>
        </w:p>
        <w:p w14:paraId="1DB813C0">
          <w:pPr>
            <w:pStyle w:val="15"/>
            <w:tabs>
              <w:tab w:val="right" w:leader="dot" w:pos="10466"/>
            </w:tabs>
            <w:spacing w:line="600" w:lineRule="auto"/>
            <w:rPr>
              <w:rFonts w:ascii="宋体" w:hAnsi="宋体" w:cs="宋体"/>
              <w:sz w:val="28"/>
              <w:szCs w:val="32"/>
            </w:rPr>
          </w:pPr>
          <w:r>
            <w:fldChar w:fldCharType="begin"/>
          </w:r>
          <w:r>
            <w:instrText xml:space="preserve"> HYPERLINK \l "_Toc26680" </w:instrText>
          </w:r>
          <w:r>
            <w:fldChar w:fldCharType="separate"/>
          </w:r>
          <w:r>
            <w:rPr>
              <w:rFonts w:hint="eastAsia" w:ascii="宋体" w:hAnsi="宋体" w:cs="宋体"/>
              <w:sz w:val="28"/>
              <w:szCs w:val="32"/>
            </w:rPr>
            <w:t>附件三：广西壮族自治区电子卖场平台管理协议</w:t>
          </w:r>
          <w:r>
            <w:rPr>
              <w:rFonts w:hint="eastAsia" w:ascii="宋体" w:hAnsi="宋体" w:cs="宋体"/>
              <w:sz w:val="28"/>
              <w:szCs w:val="32"/>
            </w:rPr>
            <w:tab/>
          </w:r>
          <w:r>
            <w:rPr>
              <w:rFonts w:hint="eastAsia" w:ascii="宋体" w:hAnsi="宋体" w:cs="宋体"/>
              <w:sz w:val="28"/>
              <w:szCs w:val="32"/>
            </w:rPr>
            <w:fldChar w:fldCharType="begin"/>
          </w:r>
          <w:r>
            <w:rPr>
              <w:rFonts w:hint="eastAsia" w:ascii="宋体" w:hAnsi="宋体" w:cs="宋体"/>
              <w:sz w:val="28"/>
              <w:szCs w:val="32"/>
            </w:rPr>
            <w:instrText xml:space="preserve"> PAGEREF _Toc26680 \h </w:instrText>
          </w:r>
          <w:r>
            <w:rPr>
              <w:rFonts w:hint="eastAsia" w:ascii="宋体" w:hAnsi="宋体" w:cs="宋体"/>
              <w:sz w:val="28"/>
              <w:szCs w:val="32"/>
            </w:rPr>
            <w:fldChar w:fldCharType="separate"/>
          </w:r>
          <w:r>
            <w:rPr>
              <w:rFonts w:ascii="宋体" w:hAnsi="宋体" w:cs="宋体"/>
              <w:sz w:val="28"/>
              <w:szCs w:val="32"/>
            </w:rPr>
            <w:t>10</w:t>
          </w:r>
          <w:r>
            <w:rPr>
              <w:rFonts w:hint="eastAsia" w:ascii="宋体" w:hAnsi="宋体" w:cs="宋体"/>
              <w:sz w:val="28"/>
              <w:szCs w:val="32"/>
            </w:rPr>
            <w:fldChar w:fldCharType="end"/>
          </w:r>
          <w:r>
            <w:rPr>
              <w:rFonts w:hint="eastAsia" w:ascii="宋体" w:hAnsi="宋体" w:cs="宋体"/>
              <w:sz w:val="28"/>
              <w:szCs w:val="32"/>
            </w:rPr>
            <w:fldChar w:fldCharType="end"/>
          </w:r>
        </w:p>
        <w:p w14:paraId="39DA732F">
          <w:pPr>
            <w:pStyle w:val="13"/>
            <w:tabs>
              <w:tab w:val="right" w:leader="dot" w:pos="10466"/>
            </w:tabs>
            <w:spacing w:line="600" w:lineRule="auto"/>
            <w:rPr>
              <w:rFonts w:ascii="宋体" w:hAnsi="宋体" w:cs="宋体"/>
              <w:sz w:val="28"/>
              <w:szCs w:val="32"/>
            </w:rPr>
          </w:pPr>
          <w:r>
            <w:fldChar w:fldCharType="begin"/>
          </w:r>
          <w:r>
            <w:instrText xml:space="preserve"> HYPERLINK \l "_Toc10444" </w:instrText>
          </w:r>
          <w:r>
            <w:fldChar w:fldCharType="separate"/>
          </w:r>
          <w:r>
            <w:rPr>
              <w:rFonts w:hint="eastAsia" w:ascii="宋体" w:hAnsi="宋体" w:cs="宋体"/>
              <w:sz w:val="28"/>
              <w:szCs w:val="32"/>
            </w:rPr>
            <w:t>第二章 竞价响应文件（格式）</w:t>
          </w:r>
          <w:r>
            <w:rPr>
              <w:rFonts w:hint="eastAsia" w:ascii="宋体" w:hAnsi="宋体" w:cs="宋体"/>
              <w:sz w:val="28"/>
              <w:szCs w:val="32"/>
            </w:rPr>
            <w:tab/>
          </w:r>
          <w:r>
            <w:rPr>
              <w:rFonts w:hint="eastAsia" w:ascii="宋体" w:hAnsi="宋体" w:cs="宋体"/>
              <w:sz w:val="28"/>
              <w:szCs w:val="32"/>
            </w:rPr>
            <w:fldChar w:fldCharType="begin"/>
          </w:r>
          <w:r>
            <w:rPr>
              <w:rFonts w:hint="eastAsia" w:ascii="宋体" w:hAnsi="宋体" w:cs="宋体"/>
              <w:sz w:val="28"/>
              <w:szCs w:val="32"/>
            </w:rPr>
            <w:instrText xml:space="preserve"> PAGEREF _Toc10444 \h </w:instrText>
          </w:r>
          <w:r>
            <w:rPr>
              <w:rFonts w:hint="eastAsia" w:ascii="宋体" w:hAnsi="宋体" w:cs="宋体"/>
              <w:sz w:val="28"/>
              <w:szCs w:val="32"/>
            </w:rPr>
            <w:fldChar w:fldCharType="separate"/>
          </w:r>
          <w:r>
            <w:rPr>
              <w:rFonts w:ascii="宋体" w:hAnsi="宋体" w:cs="宋体"/>
              <w:sz w:val="28"/>
              <w:szCs w:val="32"/>
            </w:rPr>
            <w:t>12</w:t>
          </w:r>
          <w:r>
            <w:rPr>
              <w:rFonts w:hint="eastAsia" w:ascii="宋体" w:hAnsi="宋体" w:cs="宋体"/>
              <w:sz w:val="28"/>
              <w:szCs w:val="32"/>
            </w:rPr>
            <w:fldChar w:fldCharType="end"/>
          </w:r>
          <w:r>
            <w:rPr>
              <w:rFonts w:hint="eastAsia" w:ascii="宋体" w:hAnsi="宋体" w:cs="宋体"/>
              <w:sz w:val="28"/>
              <w:szCs w:val="32"/>
            </w:rPr>
            <w:fldChar w:fldCharType="end"/>
          </w:r>
        </w:p>
        <w:p w14:paraId="0C81A207">
          <w:pPr>
            <w:pStyle w:val="18"/>
            <w:spacing w:line="600" w:lineRule="auto"/>
            <w:ind w:firstLine="0" w:firstLineChars="0"/>
            <w:rPr>
              <w:rFonts w:ascii="微软雅黑" w:hAnsi="微软雅黑" w:eastAsia="微软雅黑" w:cs="Arial"/>
              <w:b/>
              <w:bCs/>
              <w:color w:val="000000"/>
              <w:sz w:val="40"/>
              <w:szCs w:val="40"/>
            </w:rPr>
          </w:pPr>
          <w:r>
            <w:rPr>
              <w:rFonts w:hint="eastAsia" w:ascii="宋体" w:hAnsi="宋体" w:cs="宋体"/>
              <w:bCs/>
              <w:color w:val="000000"/>
              <w:sz w:val="28"/>
              <w:szCs w:val="40"/>
            </w:rPr>
            <w:fldChar w:fldCharType="end"/>
          </w:r>
        </w:p>
      </w:sdtContent>
    </w:sdt>
    <w:p w14:paraId="643192C0">
      <w:pPr>
        <w:spacing w:line="600" w:lineRule="auto"/>
        <w:rPr>
          <w:rFonts w:ascii="微软雅黑" w:hAnsi="微软雅黑" w:eastAsia="微软雅黑" w:cs="Arial"/>
          <w:b/>
          <w:bCs/>
          <w:color w:val="000000"/>
          <w:sz w:val="40"/>
          <w:szCs w:val="40"/>
        </w:rPr>
      </w:pPr>
      <w:r>
        <w:rPr>
          <w:rFonts w:hint="eastAsia" w:ascii="微软雅黑" w:hAnsi="微软雅黑" w:eastAsia="微软雅黑" w:cs="Arial"/>
          <w:b/>
          <w:bCs/>
          <w:color w:val="000000"/>
          <w:sz w:val="40"/>
          <w:szCs w:val="40"/>
        </w:rPr>
        <w:br w:type="page"/>
      </w:r>
    </w:p>
    <w:p w14:paraId="5CD7B008">
      <w:pPr>
        <w:pStyle w:val="2"/>
        <w:numPr>
          <w:ilvl w:val="0"/>
          <w:numId w:val="1"/>
        </w:numPr>
      </w:pPr>
      <w:bookmarkStart w:id="1" w:name="_Toc5839"/>
      <w:r>
        <w:rPr>
          <w:rFonts w:hint="eastAsia"/>
        </w:rPr>
        <w:t>采购需求</w:t>
      </w:r>
      <w:bookmarkEnd w:id="1"/>
    </w:p>
    <w:p w14:paraId="59890C67"/>
    <w:tbl>
      <w:tblPr>
        <w:tblStyle w:val="20"/>
        <w:tblpPr w:leftFromText="180" w:rightFromText="180" w:vertAnchor="text" w:tblpY="1"/>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
        <w:gridCol w:w="1257"/>
        <w:gridCol w:w="1090"/>
        <w:gridCol w:w="1705"/>
        <w:gridCol w:w="707"/>
        <w:gridCol w:w="993"/>
        <w:gridCol w:w="4476"/>
      </w:tblGrid>
      <w:tr w14:paraId="19F974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7"/>
          </w:tcPr>
          <w:p w14:paraId="79ADC207">
            <w:pPr>
              <w:jc w:val="center"/>
              <w:rPr>
                <w:rFonts w:ascii="宋体" w:hAnsi="宋体" w:cs="宋体"/>
                <w:b/>
                <w:bCs/>
                <w:sz w:val="24"/>
                <w:szCs w:val="24"/>
              </w:rPr>
            </w:pPr>
            <w:r>
              <w:rPr>
                <w:rFonts w:hint="eastAsia" w:ascii="宋体" w:hAnsi="宋体" w:cs="宋体"/>
                <w:b/>
                <w:bCs/>
                <w:sz w:val="24"/>
                <w:szCs w:val="24"/>
              </w:rPr>
              <w:t>采购需求表</w:t>
            </w:r>
          </w:p>
        </w:tc>
      </w:tr>
      <w:tr w14:paraId="36BAC7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Pr>
          <w:p w14:paraId="1209DDB6">
            <w:pPr>
              <w:numPr>
                <w:ilvl w:val="255"/>
                <w:numId w:val="0"/>
              </w:numPr>
              <w:rPr>
                <w:rFonts w:ascii="宋体" w:hAnsi="宋体" w:cs="宋体"/>
                <w:b/>
                <w:bCs/>
                <w:sz w:val="24"/>
                <w:szCs w:val="24"/>
              </w:rPr>
            </w:pPr>
            <w:r>
              <w:rPr>
                <w:rFonts w:hint="eastAsia" w:ascii="宋体" w:hAnsi="宋体" w:cs="宋体"/>
                <w:b/>
                <w:bCs/>
                <w:sz w:val="24"/>
                <w:szCs w:val="24"/>
              </w:rPr>
              <w:t>注：</w:t>
            </w:r>
          </w:p>
          <w:p w14:paraId="1F8B53C1">
            <w:pPr>
              <w:numPr>
                <w:ilvl w:val="0"/>
                <w:numId w:val="2"/>
              </w:numPr>
              <w:rPr>
                <w:rFonts w:ascii="宋体" w:hAnsi="宋体" w:cs="宋体"/>
                <w:b/>
                <w:bCs/>
                <w:sz w:val="24"/>
                <w:szCs w:val="24"/>
              </w:rPr>
            </w:pPr>
            <w:r>
              <w:rPr>
                <w:rFonts w:hint="eastAsia" w:ascii="宋体" w:hAnsi="宋体" w:cs="宋体"/>
                <w:b/>
                <w:bCs/>
                <w:sz w:val="24"/>
                <w:szCs w:val="24"/>
              </w:rPr>
              <w:t>本表所有要求均为实质性要求，供应商的任何负偏离响应均视为无效竞标。</w:t>
            </w:r>
          </w:p>
          <w:p w14:paraId="3F18D546">
            <w:pPr>
              <w:numPr>
                <w:ilvl w:val="0"/>
                <w:numId w:val="2"/>
              </w:numPr>
              <w:rPr>
                <w:rFonts w:ascii="宋体" w:hAnsi="宋体" w:cs="宋体"/>
                <w:sz w:val="24"/>
                <w:szCs w:val="24"/>
              </w:rPr>
            </w:pPr>
            <w:r>
              <w:rPr>
                <w:rFonts w:hint="eastAsia" w:ascii="宋体" w:hAnsi="宋体" w:cs="宋体"/>
                <w:b/>
                <w:bCs/>
                <w:sz w:val="24"/>
                <w:szCs w:val="24"/>
              </w:rPr>
              <w:t>本表价格单位为人民币元。</w:t>
            </w:r>
          </w:p>
        </w:tc>
      </w:tr>
      <w:tr w14:paraId="35B17C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Pr>
          <w:p w14:paraId="36780701">
            <w:pPr>
              <w:rPr>
                <w:rFonts w:ascii="宋体" w:hAnsi="宋体" w:cs="宋体"/>
                <w:sz w:val="24"/>
                <w:szCs w:val="24"/>
              </w:rPr>
            </w:pPr>
            <w:r>
              <w:rPr>
                <w:rFonts w:hint="eastAsia" w:ascii="宋体" w:hAnsi="宋体" w:cs="宋体"/>
                <w:sz w:val="24"/>
                <w:szCs w:val="24"/>
              </w:rPr>
              <w:t>一、项目要求及技术需求</w:t>
            </w:r>
          </w:p>
        </w:tc>
      </w:tr>
      <w:tr w14:paraId="41048E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Align w:val="center"/>
          </w:tcPr>
          <w:p w14:paraId="74FA154C">
            <w:pPr>
              <w:rPr>
                <w:rFonts w:ascii="宋体" w:hAnsi="宋体" w:cs="宋体"/>
                <w:sz w:val="24"/>
                <w:szCs w:val="24"/>
              </w:rPr>
            </w:pPr>
            <w:r>
              <w:rPr>
                <w:rFonts w:hint="eastAsia" w:ascii="宋体" w:hAnsi="宋体" w:cs="宋体"/>
                <w:sz w:val="24"/>
                <w:szCs w:val="24"/>
              </w:rPr>
              <w:t>项号</w:t>
            </w:r>
          </w:p>
        </w:tc>
        <w:tc>
          <w:tcPr>
            <w:tcW w:w="588" w:type="pct"/>
            <w:vAlign w:val="center"/>
          </w:tcPr>
          <w:p w14:paraId="390FEC76">
            <w:pPr>
              <w:jc w:val="center"/>
              <w:rPr>
                <w:rFonts w:ascii="宋体" w:hAnsi="宋体" w:cs="宋体"/>
                <w:sz w:val="24"/>
                <w:szCs w:val="24"/>
              </w:rPr>
            </w:pPr>
            <w:r>
              <w:rPr>
                <w:rFonts w:hint="eastAsia" w:ascii="宋体" w:hAnsi="宋体" w:cs="宋体"/>
                <w:sz w:val="24"/>
                <w:szCs w:val="24"/>
              </w:rPr>
              <w:t>货物名称</w:t>
            </w:r>
          </w:p>
        </w:tc>
        <w:tc>
          <w:tcPr>
            <w:tcW w:w="510" w:type="pct"/>
            <w:vAlign w:val="center"/>
          </w:tcPr>
          <w:p w14:paraId="32EF3B44">
            <w:pPr>
              <w:jc w:val="center"/>
              <w:rPr>
                <w:rFonts w:ascii="宋体" w:hAnsi="宋体" w:cs="宋体"/>
                <w:sz w:val="24"/>
                <w:szCs w:val="24"/>
              </w:rPr>
            </w:pPr>
            <w:r>
              <w:rPr>
                <w:rFonts w:hint="eastAsia" w:ascii="宋体" w:hAnsi="宋体" w:cs="宋体"/>
                <w:sz w:val="24"/>
                <w:szCs w:val="24"/>
              </w:rPr>
              <w:t>品牌</w:t>
            </w:r>
          </w:p>
        </w:tc>
        <w:tc>
          <w:tcPr>
            <w:tcW w:w="798" w:type="pct"/>
            <w:vAlign w:val="center"/>
          </w:tcPr>
          <w:p w14:paraId="1EC175B9">
            <w:pPr>
              <w:jc w:val="center"/>
              <w:rPr>
                <w:rFonts w:ascii="宋体" w:hAnsi="宋体" w:cs="宋体"/>
                <w:sz w:val="24"/>
                <w:szCs w:val="24"/>
              </w:rPr>
            </w:pPr>
            <w:r>
              <w:rPr>
                <w:rFonts w:hint="eastAsia" w:ascii="宋体" w:hAnsi="宋体" w:cs="宋体"/>
                <w:sz w:val="24"/>
                <w:szCs w:val="24"/>
              </w:rPr>
              <w:t>型号</w:t>
            </w:r>
          </w:p>
        </w:tc>
        <w:tc>
          <w:tcPr>
            <w:tcW w:w="331" w:type="pct"/>
            <w:vAlign w:val="center"/>
          </w:tcPr>
          <w:p w14:paraId="7ECE01C3">
            <w:pPr>
              <w:jc w:val="center"/>
              <w:rPr>
                <w:rFonts w:ascii="宋体" w:hAnsi="宋体" w:cs="宋体"/>
                <w:sz w:val="24"/>
                <w:szCs w:val="24"/>
              </w:rPr>
            </w:pPr>
            <w:r>
              <w:rPr>
                <w:rFonts w:hint="eastAsia" w:ascii="宋体" w:hAnsi="宋体" w:cs="宋体"/>
                <w:sz w:val="24"/>
                <w:szCs w:val="24"/>
              </w:rPr>
              <w:t>单位</w:t>
            </w:r>
          </w:p>
        </w:tc>
        <w:tc>
          <w:tcPr>
            <w:tcW w:w="465" w:type="pct"/>
            <w:vAlign w:val="center"/>
          </w:tcPr>
          <w:p w14:paraId="40268196">
            <w:pPr>
              <w:jc w:val="center"/>
              <w:rPr>
                <w:rFonts w:ascii="宋体" w:hAnsi="宋体" w:cs="宋体"/>
                <w:sz w:val="24"/>
                <w:szCs w:val="24"/>
              </w:rPr>
            </w:pPr>
            <w:r>
              <w:rPr>
                <w:rFonts w:hint="eastAsia" w:ascii="宋体" w:hAnsi="宋体" w:cs="宋体"/>
                <w:sz w:val="24"/>
                <w:szCs w:val="24"/>
              </w:rPr>
              <w:t>数量</w:t>
            </w:r>
          </w:p>
        </w:tc>
        <w:tc>
          <w:tcPr>
            <w:tcW w:w="2095" w:type="pct"/>
            <w:vAlign w:val="center"/>
          </w:tcPr>
          <w:p w14:paraId="204638FA">
            <w:pPr>
              <w:jc w:val="center"/>
              <w:rPr>
                <w:rFonts w:ascii="宋体" w:hAnsi="宋体" w:cs="宋体"/>
                <w:sz w:val="24"/>
                <w:szCs w:val="24"/>
              </w:rPr>
            </w:pPr>
            <w:r>
              <w:rPr>
                <w:rFonts w:hint="eastAsia" w:ascii="宋体" w:hAnsi="宋体" w:cs="宋体"/>
                <w:sz w:val="24"/>
                <w:szCs w:val="24"/>
              </w:rPr>
              <w:t>技术参数及性能（配置）要求</w:t>
            </w:r>
          </w:p>
        </w:tc>
      </w:tr>
      <w:tr w14:paraId="72A95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13" w:type="pct"/>
            <w:vAlign w:val="center"/>
          </w:tcPr>
          <w:p w14:paraId="66D63A75">
            <w:pPr>
              <w:jc w:val="center"/>
              <w:rPr>
                <w:rFonts w:ascii="宋体" w:hAnsi="宋体" w:cs="宋体"/>
                <w:sz w:val="24"/>
                <w:szCs w:val="24"/>
              </w:rPr>
            </w:pPr>
            <w:r>
              <w:rPr>
                <w:rFonts w:hint="eastAsia" w:ascii="宋体" w:hAnsi="宋体" w:cs="宋体"/>
                <w:sz w:val="24"/>
                <w:szCs w:val="24"/>
              </w:rPr>
              <w:t>1</w:t>
            </w:r>
          </w:p>
        </w:tc>
        <w:tc>
          <w:tcPr>
            <w:tcW w:w="588" w:type="pct"/>
            <w:tcBorders>
              <w:top w:val="nil"/>
              <w:left w:val="single" w:color="auto" w:sz="4" w:space="0"/>
              <w:bottom w:val="single" w:color="auto" w:sz="4" w:space="0"/>
              <w:right w:val="single" w:color="auto" w:sz="4" w:space="0"/>
            </w:tcBorders>
            <w:vAlign w:val="center"/>
          </w:tcPr>
          <w:p w14:paraId="438D8EF1">
            <w:pPr>
              <w:jc w:val="center"/>
              <w:rPr>
                <w:rFonts w:ascii="宋体" w:hAnsi="宋体" w:cs="宋体"/>
                <w:sz w:val="24"/>
                <w:szCs w:val="24"/>
              </w:rPr>
            </w:pPr>
            <w:r>
              <w:rPr>
                <w:rFonts w:hint="eastAsia" w:ascii="宋体" w:hAnsi="宋体" w:cs="宋体"/>
                <w:sz w:val="24"/>
                <w:szCs w:val="24"/>
              </w:rPr>
              <w:t>LED屏及配套设备</w:t>
            </w:r>
          </w:p>
        </w:tc>
        <w:tc>
          <w:tcPr>
            <w:tcW w:w="510" w:type="pct"/>
            <w:tcBorders>
              <w:top w:val="nil"/>
              <w:left w:val="nil"/>
              <w:bottom w:val="single" w:color="auto" w:sz="4" w:space="0"/>
              <w:right w:val="single" w:color="auto" w:sz="4" w:space="0"/>
            </w:tcBorders>
            <w:vAlign w:val="center"/>
          </w:tcPr>
          <w:p w14:paraId="28B197BB">
            <w:pPr>
              <w:jc w:val="center"/>
              <w:rPr>
                <w:rFonts w:ascii="宋体" w:hAnsi="宋体" w:cs="宋体"/>
                <w:sz w:val="24"/>
                <w:szCs w:val="24"/>
              </w:rPr>
            </w:pPr>
          </w:p>
        </w:tc>
        <w:tc>
          <w:tcPr>
            <w:tcW w:w="798" w:type="pct"/>
            <w:tcBorders>
              <w:top w:val="nil"/>
              <w:left w:val="nil"/>
              <w:bottom w:val="single" w:color="auto" w:sz="4" w:space="0"/>
              <w:right w:val="single" w:color="auto" w:sz="4" w:space="0"/>
            </w:tcBorders>
            <w:vAlign w:val="center"/>
          </w:tcPr>
          <w:p w14:paraId="4016B527">
            <w:pPr>
              <w:jc w:val="center"/>
              <w:rPr>
                <w:rFonts w:ascii="宋体" w:hAnsi="宋体" w:cs="宋体"/>
                <w:sz w:val="24"/>
                <w:szCs w:val="24"/>
              </w:rPr>
            </w:pPr>
          </w:p>
        </w:tc>
        <w:tc>
          <w:tcPr>
            <w:tcW w:w="331" w:type="pct"/>
            <w:tcBorders>
              <w:top w:val="nil"/>
              <w:left w:val="single" w:color="auto" w:sz="4" w:space="0"/>
              <w:bottom w:val="single" w:color="auto" w:sz="4" w:space="0"/>
              <w:right w:val="single" w:color="auto" w:sz="4" w:space="0"/>
            </w:tcBorders>
            <w:vAlign w:val="center"/>
          </w:tcPr>
          <w:p w14:paraId="4230794D">
            <w:pPr>
              <w:jc w:val="center"/>
              <w:rPr>
                <w:rFonts w:ascii="宋体" w:hAnsi="宋体" w:cs="宋体"/>
                <w:sz w:val="24"/>
                <w:szCs w:val="24"/>
              </w:rPr>
            </w:pPr>
          </w:p>
        </w:tc>
        <w:tc>
          <w:tcPr>
            <w:tcW w:w="465" w:type="pct"/>
            <w:tcBorders>
              <w:top w:val="nil"/>
              <w:left w:val="single" w:color="auto" w:sz="4" w:space="0"/>
              <w:bottom w:val="single" w:color="auto" w:sz="4" w:space="0"/>
              <w:right w:val="single" w:color="auto" w:sz="4" w:space="0"/>
            </w:tcBorders>
            <w:vAlign w:val="center"/>
          </w:tcPr>
          <w:p w14:paraId="58AA5A89">
            <w:pPr>
              <w:jc w:val="center"/>
              <w:rPr>
                <w:rFonts w:ascii="宋体" w:hAnsi="宋体" w:cs="宋体"/>
                <w:sz w:val="24"/>
                <w:szCs w:val="24"/>
              </w:rPr>
            </w:pPr>
          </w:p>
        </w:tc>
        <w:tc>
          <w:tcPr>
            <w:tcW w:w="2095" w:type="pct"/>
            <w:vAlign w:val="center"/>
          </w:tcPr>
          <w:p w14:paraId="1A601243">
            <w:pPr>
              <w:jc w:val="center"/>
              <w:rPr>
                <w:rFonts w:ascii="宋体" w:hAnsi="宋体" w:cs="宋体"/>
                <w:sz w:val="24"/>
                <w:szCs w:val="24"/>
              </w:rPr>
            </w:pPr>
            <w:r>
              <w:rPr>
                <w:rFonts w:hint="eastAsia" w:ascii="宋体" w:hAnsi="宋体" w:cs="宋体"/>
                <w:sz w:val="24"/>
                <w:szCs w:val="24"/>
              </w:rPr>
              <w:t>详见《采购需求表》附件一</w:t>
            </w:r>
          </w:p>
        </w:tc>
      </w:tr>
      <w:tr w14:paraId="3ADBD0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905" w:type="pct"/>
            <w:gridSpan w:val="6"/>
            <w:vAlign w:val="center"/>
          </w:tcPr>
          <w:p w14:paraId="662EAC53">
            <w:pPr>
              <w:widowControl/>
              <w:tabs>
                <w:tab w:val="left" w:pos="2132"/>
              </w:tabs>
              <w:jc w:val="center"/>
              <w:textAlignment w:val="center"/>
              <w:rPr>
                <w:rFonts w:ascii="宋体" w:hAnsi="宋体" w:cs="宋体"/>
                <w:b/>
                <w:bCs/>
                <w:kern w:val="0"/>
                <w:sz w:val="24"/>
                <w:szCs w:val="24"/>
                <w:lang w:bidi="ar"/>
              </w:rPr>
            </w:pPr>
            <w:r>
              <w:rPr>
                <w:rFonts w:hint="eastAsia" w:ascii="宋体" w:hAnsi="宋体" w:cs="宋体"/>
                <w:b/>
                <w:bCs/>
                <w:kern w:val="0"/>
                <w:sz w:val="24"/>
                <w:szCs w:val="24"/>
                <w:lang w:bidi="ar"/>
              </w:rPr>
              <w:t>采购预算</w:t>
            </w:r>
          </w:p>
        </w:tc>
        <w:tc>
          <w:tcPr>
            <w:tcW w:w="2095" w:type="pct"/>
            <w:vAlign w:val="center"/>
          </w:tcPr>
          <w:p w14:paraId="2795DA13">
            <w:pPr>
              <w:widowControl/>
              <w:jc w:val="center"/>
              <w:textAlignment w:val="center"/>
              <w:rPr>
                <w:rFonts w:ascii="宋体" w:hAnsi="宋体" w:cs="宋体"/>
                <w:sz w:val="24"/>
                <w:szCs w:val="24"/>
              </w:rPr>
            </w:pPr>
            <w:r>
              <w:rPr>
                <w:rFonts w:hint="eastAsia" w:ascii="宋体" w:hAnsi="宋体" w:cs="宋体"/>
                <w:sz w:val="24"/>
                <w:szCs w:val="24"/>
              </w:rPr>
              <w:t>94</w:t>
            </w:r>
            <w:r>
              <w:rPr>
                <w:rFonts w:hint="eastAsia" w:ascii="宋体" w:hAnsi="宋体" w:cs="宋体"/>
                <w:sz w:val="24"/>
                <w:szCs w:val="24"/>
                <w:lang w:val="en-US" w:eastAsia="zh-CN"/>
              </w:rPr>
              <w:t>8480</w:t>
            </w:r>
            <w:bookmarkStart w:id="8" w:name="_GoBack"/>
            <w:bookmarkEnd w:id="8"/>
            <w:r>
              <w:rPr>
                <w:rFonts w:hint="eastAsia" w:ascii="宋体" w:hAnsi="宋体" w:cs="宋体"/>
                <w:sz w:val="24"/>
                <w:szCs w:val="24"/>
              </w:rPr>
              <w:t>.00</w:t>
            </w:r>
          </w:p>
        </w:tc>
      </w:tr>
      <w:tr w14:paraId="2B067F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tcPr>
          <w:p w14:paraId="1DD26201">
            <w:pPr>
              <w:rPr>
                <w:rFonts w:ascii="宋体" w:hAnsi="宋体" w:cs="宋体"/>
                <w:sz w:val="24"/>
                <w:szCs w:val="24"/>
              </w:rPr>
            </w:pPr>
            <w:r>
              <w:rPr>
                <w:rFonts w:hint="eastAsia" w:ascii="宋体" w:hAnsi="宋体" w:cs="宋体"/>
                <w:sz w:val="24"/>
                <w:szCs w:val="24"/>
              </w:rPr>
              <w:t>二、商务要求</w:t>
            </w:r>
          </w:p>
        </w:tc>
      </w:tr>
      <w:tr w14:paraId="679B7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gridSpan w:val="2"/>
            <w:vAlign w:val="center"/>
          </w:tcPr>
          <w:p w14:paraId="33659BF5">
            <w:pPr>
              <w:rPr>
                <w:rFonts w:ascii="宋体" w:hAnsi="宋体" w:cs="宋体"/>
                <w:sz w:val="24"/>
                <w:szCs w:val="24"/>
              </w:rPr>
            </w:pPr>
            <w:r>
              <w:rPr>
                <w:rFonts w:hint="eastAsia" w:ascii="宋体" w:hAnsi="宋体" w:cs="宋体"/>
                <w:sz w:val="24"/>
                <w:szCs w:val="24"/>
              </w:rPr>
              <w:t>竞标报价要求</w:t>
            </w:r>
          </w:p>
        </w:tc>
        <w:tc>
          <w:tcPr>
            <w:tcW w:w="4199" w:type="pct"/>
            <w:gridSpan w:val="5"/>
            <w:vAlign w:val="center"/>
          </w:tcPr>
          <w:p w14:paraId="5C1CD414">
            <w:pPr>
              <w:rPr>
                <w:rFonts w:ascii="宋体" w:hAnsi="宋体" w:cs="宋体"/>
                <w:sz w:val="24"/>
                <w:szCs w:val="24"/>
              </w:rPr>
            </w:pPr>
            <w:r>
              <w:rPr>
                <w:rFonts w:hint="eastAsia" w:ascii="宋体" w:hAnsi="宋体" w:cs="宋体"/>
                <w:sz w:val="24"/>
                <w:szCs w:val="24"/>
              </w:rPr>
              <w:t>投标报价为采购人指定地点的现场交货价，包括：</w:t>
            </w:r>
          </w:p>
          <w:p w14:paraId="5900E772">
            <w:pPr>
              <w:rPr>
                <w:rFonts w:ascii="宋体" w:hAnsi="宋体" w:cs="宋体"/>
                <w:sz w:val="24"/>
                <w:szCs w:val="24"/>
              </w:rPr>
            </w:pPr>
            <w:r>
              <w:rPr>
                <w:rFonts w:hint="eastAsia" w:ascii="宋体" w:hAnsi="宋体" w:cs="宋体"/>
                <w:sz w:val="24"/>
                <w:szCs w:val="24"/>
              </w:rPr>
              <w:t>1）货物的价格：包括货款、杂配件、安装调试费、验收费；</w:t>
            </w:r>
          </w:p>
          <w:p w14:paraId="12BBD4A3">
            <w:pPr>
              <w:rPr>
                <w:rFonts w:ascii="宋体" w:hAnsi="宋体" w:cs="宋体"/>
                <w:sz w:val="24"/>
                <w:szCs w:val="24"/>
              </w:rPr>
            </w:pPr>
            <w:r>
              <w:rPr>
                <w:rFonts w:hint="eastAsia" w:ascii="宋体" w:hAnsi="宋体" w:cs="宋体"/>
                <w:sz w:val="24"/>
                <w:szCs w:val="24"/>
              </w:rPr>
              <w:t>2）货物的标准附件、备品备件、专用工具的价格。</w:t>
            </w:r>
          </w:p>
          <w:p w14:paraId="4AD92AFC">
            <w:pPr>
              <w:rPr>
                <w:rFonts w:ascii="宋体" w:hAnsi="宋体" w:cs="宋体"/>
                <w:sz w:val="24"/>
                <w:szCs w:val="24"/>
              </w:rPr>
            </w:pPr>
            <w:r>
              <w:rPr>
                <w:rFonts w:hint="eastAsia" w:ascii="宋体" w:hAnsi="宋体" w:cs="宋体"/>
                <w:sz w:val="24"/>
                <w:szCs w:val="24"/>
              </w:rPr>
              <w:t>3）运输、装卸、调试、培训、技术支持、售后服务费。</w:t>
            </w:r>
          </w:p>
          <w:p w14:paraId="0852E11D">
            <w:pPr>
              <w:rPr>
                <w:rFonts w:ascii="宋体" w:hAnsi="宋体" w:cs="宋体"/>
                <w:sz w:val="24"/>
                <w:szCs w:val="24"/>
              </w:rPr>
            </w:pPr>
            <w:r>
              <w:rPr>
                <w:rFonts w:hint="eastAsia" w:ascii="宋体" w:hAnsi="宋体" w:cs="宋体"/>
                <w:sz w:val="24"/>
                <w:szCs w:val="24"/>
              </w:rPr>
              <w:t>4）各类软件、系统等的安装、集成、试运行等费用。</w:t>
            </w:r>
          </w:p>
          <w:p w14:paraId="6E92C7A9">
            <w:pPr>
              <w:rPr>
                <w:rFonts w:ascii="宋体" w:hAnsi="宋体" w:cs="宋体"/>
                <w:sz w:val="24"/>
                <w:szCs w:val="24"/>
              </w:rPr>
            </w:pPr>
            <w:r>
              <w:rPr>
                <w:rFonts w:hint="eastAsia" w:ascii="宋体" w:hAnsi="宋体" w:cs="宋体"/>
                <w:sz w:val="24"/>
                <w:szCs w:val="24"/>
              </w:rPr>
              <w:t>5）保险费、参与竞标的成本、各项税金及利润。</w:t>
            </w:r>
          </w:p>
          <w:p w14:paraId="10028C18">
            <w:pPr>
              <w:rPr>
                <w:rFonts w:ascii="宋体" w:hAnsi="宋体" w:cs="宋体"/>
                <w:sz w:val="24"/>
                <w:szCs w:val="24"/>
              </w:rPr>
            </w:pPr>
            <w:r>
              <w:rPr>
                <w:rFonts w:hint="eastAsia" w:ascii="宋体" w:hAnsi="宋体" w:cs="宋体"/>
                <w:sz w:val="24"/>
                <w:szCs w:val="24"/>
              </w:rPr>
              <w:t>注：</w:t>
            </w:r>
          </w:p>
          <w:p w14:paraId="4CC52532">
            <w:pPr>
              <w:rPr>
                <w:rFonts w:ascii="宋体" w:hAnsi="宋体" w:cs="宋体"/>
                <w:sz w:val="24"/>
                <w:szCs w:val="24"/>
              </w:rPr>
            </w:pPr>
            <w:r>
              <w:rPr>
                <w:rFonts w:hint="eastAsia" w:ascii="宋体" w:hAnsi="宋体" w:cs="宋体"/>
                <w:sz w:val="24"/>
                <w:szCs w:val="24"/>
              </w:rPr>
              <w:t>（1）竞标供应商自行考虑完成项目所需的辅材、杂配件等数量，投标报价中应包含全部内容，成交后采购人不再另行支付额外费用。</w:t>
            </w:r>
          </w:p>
          <w:p w14:paraId="4230DD02">
            <w:pPr>
              <w:rPr>
                <w:rFonts w:ascii="宋体" w:hAnsi="宋体" w:cs="宋体"/>
                <w:sz w:val="24"/>
                <w:szCs w:val="24"/>
              </w:rPr>
            </w:pPr>
            <w:r>
              <w:rPr>
                <w:rFonts w:hint="eastAsia" w:ascii="宋体" w:hAnsi="宋体" w:cs="宋体"/>
                <w:sz w:val="24"/>
                <w:szCs w:val="24"/>
              </w:rPr>
              <w:t>（2）竞标供应商的投标总报价≤采购预算。</w:t>
            </w:r>
          </w:p>
        </w:tc>
      </w:tr>
      <w:tr w14:paraId="5A788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gridSpan w:val="2"/>
            <w:vAlign w:val="center"/>
          </w:tcPr>
          <w:p w14:paraId="52B78C77">
            <w:pPr>
              <w:rPr>
                <w:rFonts w:ascii="宋体" w:hAnsi="宋体" w:cs="宋体"/>
                <w:sz w:val="24"/>
                <w:szCs w:val="24"/>
              </w:rPr>
            </w:pPr>
            <w:r>
              <w:rPr>
                <w:rFonts w:hint="eastAsia" w:ascii="宋体" w:hAnsi="宋体" w:cs="宋体"/>
                <w:sz w:val="24"/>
                <w:szCs w:val="24"/>
              </w:rPr>
              <w:t>合同签订期及地点</w:t>
            </w:r>
          </w:p>
        </w:tc>
        <w:tc>
          <w:tcPr>
            <w:tcW w:w="4199" w:type="pct"/>
            <w:gridSpan w:val="5"/>
            <w:vAlign w:val="center"/>
          </w:tcPr>
          <w:p w14:paraId="669496C2">
            <w:pPr>
              <w:rPr>
                <w:rFonts w:ascii="宋体" w:hAnsi="宋体" w:cs="宋体"/>
                <w:sz w:val="24"/>
                <w:szCs w:val="24"/>
              </w:rPr>
            </w:pPr>
            <w:r>
              <w:rPr>
                <w:rFonts w:hint="eastAsia" w:ascii="宋体" w:hAnsi="宋体" w:cs="宋体"/>
                <w:sz w:val="24"/>
                <w:szCs w:val="24"/>
              </w:rPr>
              <w:t>1）合同签订期：自收到成交通知书之日起</w:t>
            </w:r>
            <w:r>
              <w:rPr>
                <w:rFonts w:hint="eastAsia" w:ascii="宋体" w:hAnsi="宋体" w:cs="宋体"/>
                <w:sz w:val="24"/>
                <w:szCs w:val="24"/>
                <w:u w:val="single"/>
              </w:rPr>
              <w:t>7</w:t>
            </w:r>
            <w:r>
              <w:rPr>
                <w:rFonts w:hint="eastAsia" w:ascii="宋体" w:hAnsi="宋体" w:cs="宋体"/>
                <w:sz w:val="24"/>
                <w:szCs w:val="24"/>
              </w:rPr>
              <w:t>日内。</w:t>
            </w:r>
          </w:p>
          <w:p w14:paraId="6D686F09">
            <w:pPr>
              <w:rPr>
                <w:rFonts w:ascii="宋体" w:hAnsi="宋体" w:cs="宋体"/>
                <w:sz w:val="24"/>
                <w:szCs w:val="24"/>
              </w:rPr>
            </w:pPr>
            <w:r>
              <w:rPr>
                <w:rFonts w:hint="eastAsia" w:ascii="宋体" w:hAnsi="宋体" w:cs="宋体"/>
                <w:sz w:val="24"/>
                <w:szCs w:val="24"/>
              </w:rPr>
              <w:t>2）合同签订地点：采购人指定地点。</w:t>
            </w:r>
          </w:p>
        </w:tc>
      </w:tr>
      <w:tr w14:paraId="7D9EA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gridSpan w:val="2"/>
            <w:vAlign w:val="center"/>
          </w:tcPr>
          <w:p w14:paraId="5E10E2A8">
            <w:pPr>
              <w:rPr>
                <w:rFonts w:ascii="宋体" w:hAnsi="宋体" w:cs="宋体"/>
                <w:sz w:val="24"/>
                <w:szCs w:val="24"/>
              </w:rPr>
            </w:pPr>
            <w:r>
              <w:rPr>
                <w:rFonts w:hint="eastAsia" w:ascii="宋体" w:hAnsi="宋体" w:cs="宋体"/>
                <w:sz w:val="24"/>
                <w:szCs w:val="24"/>
              </w:rPr>
              <w:t>交付使用期及交货地点</w:t>
            </w:r>
          </w:p>
        </w:tc>
        <w:tc>
          <w:tcPr>
            <w:tcW w:w="4199" w:type="pct"/>
            <w:gridSpan w:val="5"/>
            <w:vAlign w:val="center"/>
          </w:tcPr>
          <w:p w14:paraId="48D433D4">
            <w:pPr>
              <w:rPr>
                <w:rFonts w:ascii="宋体" w:hAnsi="宋体" w:cs="宋体"/>
                <w:sz w:val="24"/>
                <w:szCs w:val="24"/>
              </w:rPr>
            </w:pPr>
            <w:r>
              <w:rPr>
                <w:rFonts w:hint="eastAsia" w:ascii="宋体" w:hAnsi="宋体" w:cs="宋体"/>
                <w:sz w:val="24"/>
                <w:szCs w:val="24"/>
              </w:rPr>
              <w:t>1）交货时间：接到采购人通知后</w:t>
            </w:r>
            <w:r>
              <w:rPr>
                <w:rFonts w:hint="eastAsia" w:ascii="宋体" w:hAnsi="宋体" w:cs="宋体"/>
                <w:sz w:val="24"/>
                <w:szCs w:val="24"/>
                <w:u w:val="single"/>
              </w:rPr>
              <w:t>15</w:t>
            </w:r>
            <w:r>
              <w:rPr>
                <w:rFonts w:hint="eastAsia" w:ascii="宋体" w:hAnsi="宋体" w:cs="宋体"/>
                <w:sz w:val="24"/>
                <w:szCs w:val="24"/>
              </w:rPr>
              <w:t>个日历日内完成所有货物包括软件硬件安装、调试完毕并交付使用。</w:t>
            </w:r>
          </w:p>
          <w:p w14:paraId="0FD51BF8">
            <w:pPr>
              <w:rPr>
                <w:rFonts w:ascii="宋体" w:hAnsi="宋体" w:cs="宋体"/>
                <w:sz w:val="24"/>
                <w:szCs w:val="24"/>
              </w:rPr>
            </w:pPr>
            <w:r>
              <w:rPr>
                <w:rFonts w:hint="eastAsia" w:ascii="宋体" w:hAnsi="宋体" w:cs="宋体"/>
                <w:sz w:val="24"/>
                <w:szCs w:val="24"/>
              </w:rPr>
              <w:t>2）交货地点：采购人指定地点。（广西工业职业技术学院南宁校区：广西南宁市西乡塘区秀灵路37号。）</w:t>
            </w:r>
          </w:p>
        </w:tc>
      </w:tr>
      <w:tr w14:paraId="3B319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gridSpan w:val="2"/>
            <w:vAlign w:val="center"/>
          </w:tcPr>
          <w:p w14:paraId="4A385B41">
            <w:pPr>
              <w:rPr>
                <w:rFonts w:ascii="宋体" w:hAnsi="宋体" w:cs="宋体"/>
                <w:sz w:val="24"/>
                <w:szCs w:val="24"/>
              </w:rPr>
            </w:pPr>
            <w:r>
              <w:rPr>
                <w:rFonts w:hint="eastAsia" w:ascii="宋体" w:hAnsi="宋体" w:cs="宋体"/>
                <w:sz w:val="24"/>
                <w:szCs w:val="24"/>
              </w:rPr>
              <w:t>售后服务要求</w:t>
            </w:r>
          </w:p>
        </w:tc>
        <w:tc>
          <w:tcPr>
            <w:tcW w:w="4199" w:type="pct"/>
            <w:gridSpan w:val="5"/>
            <w:vAlign w:val="center"/>
          </w:tcPr>
          <w:p w14:paraId="6F11B62F">
            <w:pPr>
              <w:rPr>
                <w:rFonts w:ascii="宋体" w:hAnsi="宋体" w:cs="宋体"/>
                <w:sz w:val="24"/>
                <w:szCs w:val="24"/>
              </w:rPr>
            </w:pPr>
            <w:r>
              <w:rPr>
                <w:rFonts w:hint="eastAsia" w:ascii="宋体" w:hAnsi="宋体" w:cs="宋体"/>
                <w:sz w:val="24"/>
                <w:szCs w:val="24"/>
              </w:rPr>
              <w:t>1）免费送货上门、安装、调试至正常使用。为了提高售后的时效，中标供应商在南宁市有售后维修服务点或维修厂家。设备到货后，由中标人指派专业安装调试工程师到现场进行安装调试，包括：主机与所有部件调试与连接，做到设备运转正常，演示设备的所有的功能并培训用户的技术人员直到用户能全部掌握设备的使用及日常维护。</w:t>
            </w:r>
          </w:p>
          <w:p w14:paraId="158726A8">
            <w:pPr>
              <w:rPr>
                <w:rFonts w:ascii="宋体" w:hAnsi="宋体" w:cs="宋体"/>
                <w:sz w:val="24"/>
                <w:szCs w:val="24"/>
              </w:rPr>
            </w:pPr>
            <w:r>
              <w:rPr>
                <w:rFonts w:hint="eastAsia" w:ascii="宋体" w:hAnsi="宋体" w:cs="宋体"/>
                <w:sz w:val="24"/>
                <w:szCs w:val="24"/>
              </w:rPr>
              <w:t>2）成交供应商在质量保证期内应当为采购人提供以下技术支持和服务：</w:t>
            </w:r>
          </w:p>
          <w:p w14:paraId="7CE2BEFD">
            <w:pPr>
              <w:rPr>
                <w:rFonts w:ascii="宋体" w:hAnsi="宋体" w:cs="宋体"/>
                <w:sz w:val="24"/>
                <w:szCs w:val="24"/>
              </w:rPr>
            </w:pPr>
            <w:r>
              <w:rPr>
                <w:rFonts w:hint="eastAsia" w:ascii="宋体" w:hAnsi="宋体" w:cs="宋体"/>
                <w:sz w:val="24"/>
                <w:szCs w:val="24"/>
              </w:rPr>
              <w:t>2.1 电话咨询</w:t>
            </w:r>
          </w:p>
          <w:p w14:paraId="21C5E673">
            <w:pPr>
              <w:rPr>
                <w:rFonts w:ascii="宋体" w:hAnsi="宋体" w:cs="宋体"/>
                <w:sz w:val="24"/>
                <w:szCs w:val="24"/>
              </w:rPr>
            </w:pPr>
            <w:r>
              <w:rPr>
                <w:rFonts w:hint="eastAsia" w:ascii="宋体" w:hAnsi="宋体" w:cs="宋体"/>
                <w:sz w:val="24"/>
                <w:szCs w:val="24"/>
              </w:rPr>
              <w:t>成交供应商应当为采购人提供技术援助电话，解答采购人在使用中遇到的问题，及时为采购人提出解决问题的建议。</w:t>
            </w:r>
          </w:p>
          <w:p w14:paraId="40268AE4">
            <w:pPr>
              <w:rPr>
                <w:rFonts w:ascii="宋体" w:hAnsi="宋体" w:cs="宋体"/>
                <w:sz w:val="24"/>
                <w:szCs w:val="24"/>
              </w:rPr>
            </w:pPr>
            <w:r>
              <w:rPr>
                <w:rFonts w:hint="eastAsia" w:ascii="宋体" w:hAnsi="宋体" w:cs="宋体"/>
                <w:sz w:val="24"/>
                <w:szCs w:val="24"/>
              </w:rPr>
              <w:t>2.2 现场响应</w:t>
            </w:r>
          </w:p>
          <w:p w14:paraId="21AB20C0">
            <w:pPr>
              <w:rPr>
                <w:rFonts w:ascii="宋体" w:hAnsi="宋体" w:cs="宋体"/>
                <w:sz w:val="24"/>
                <w:szCs w:val="24"/>
              </w:rPr>
            </w:pPr>
            <w:r>
              <w:rPr>
                <w:rFonts w:hint="eastAsia" w:ascii="宋体" w:hAnsi="宋体" w:cs="宋体"/>
                <w:sz w:val="24"/>
                <w:szCs w:val="24"/>
              </w:rPr>
              <w:t>采购人遇到使用或技术问题，电话咨询不能解决的，成交供应商应在在接到通知后成交供应商的维修技术人员必须在 30分钟内响应，4小时内到达现场处理，一般故障处理时限不超过4小时，重大故障处理时限不超过24小时修复。未能修复的直接更换，保证采购人正常使用。按国家及行业标准对故障进行及时处理。</w:t>
            </w:r>
          </w:p>
          <w:p w14:paraId="3D142A03">
            <w:pPr>
              <w:rPr>
                <w:rFonts w:ascii="宋体" w:hAnsi="宋体" w:cs="宋体"/>
                <w:sz w:val="24"/>
                <w:szCs w:val="24"/>
              </w:rPr>
            </w:pPr>
            <w:r>
              <w:rPr>
                <w:rFonts w:hint="eastAsia" w:ascii="宋体" w:hAnsi="宋体" w:cs="宋体"/>
                <w:sz w:val="24"/>
                <w:szCs w:val="24"/>
              </w:rPr>
              <w:t>2.3 技术升级</w:t>
            </w:r>
          </w:p>
          <w:p w14:paraId="499C7AC6">
            <w:pPr>
              <w:rPr>
                <w:rFonts w:ascii="宋体" w:hAnsi="宋体" w:cs="宋体"/>
                <w:sz w:val="24"/>
                <w:szCs w:val="24"/>
              </w:rPr>
            </w:pPr>
            <w:r>
              <w:rPr>
                <w:rFonts w:hint="eastAsia" w:ascii="宋体" w:hAnsi="宋体" w:cs="宋体"/>
                <w:sz w:val="24"/>
                <w:szCs w:val="24"/>
              </w:rPr>
              <w:t>在质保期内，如果成交供应商的产品或服务升级，成交供应商应及时通知采购人，如采购人有相应要求，成交供应商应对采购人购买的产品或服务进行升级。</w:t>
            </w:r>
          </w:p>
          <w:p w14:paraId="131ED4ED">
            <w:pPr>
              <w:rPr>
                <w:rFonts w:ascii="宋体" w:hAnsi="宋体" w:cs="宋体"/>
                <w:sz w:val="24"/>
                <w:szCs w:val="24"/>
              </w:rPr>
            </w:pPr>
            <w:r>
              <w:rPr>
                <w:rFonts w:hint="eastAsia" w:ascii="宋体" w:hAnsi="宋体" w:cs="宋体"/>
                <w:sz w:val="24"/>
                <w:szCs w:val="24"/>
              </w:rPr>
              <w:t>3）质保期外服务要求</w:t>
            </w:r>
          </w:p>
          <w:p w14:paraId="20DB3728">
            <w:pPr>
              <w:rPr>
                <w:rFonts w:ascii="宋体" w:hAnsi="宋体" w:cs="宋体"/>
                <w:sz w:val="24"/>
                <w:szCs w:val="24"/>
              </w:rPr>
            </w:pPr>
            <w:r>
              <w:rPr>
                <w:rFonts w:hint="eastAsia" w:ascii="宋体" w:hAnsi="宋体" w:cs="宋体"/>
                <w:sz w:val="24"/>
                <w:szCs w:val="24"/>
              </w:rPr>
              <w:t>3.1 质量保证期过后，成交供应商应同样提供免费电话咨询服务，并应承诺提供产品或服务上门维护。</w:t>
            </w:r>
          </w:p>
          <w:p w14:paraId="14DFAFB5">
            <w:pPr>
              <w:rPr>
                <w:rFonts w:ascii="宋体" w:hAnsi="宋体" w:cs="宋体"/>
                <w:sz w:val="24"/>
                <w:szCs w:val="24"/>
              </w:rPr>
            </w:pPr>
            <w:r>
              <w:rPr>
                <w:rFonts w:hint="eastAsia" w:ascii="宋体" w:hAnsi="宋体" w:cs="宋体"/>
                <w:sz w:val="24"/>
                <w:szCs w:val="24"/>
              </w:rPr>
              <w:t>3.2 质量保证期过后，采购人需要继续由原成交供应商提供售后服务的，该成交供应商和制造商应以优惠价格提供售后服务。</w:t>
            </w:r>
          </w:p>
          <w:p w14:paraId="646472BE">
            <w:pPr>
              <w:rPr>
                <w:rFonts w:ascii="宋体" w:hAnsi="宋体" w:cs="宋体"/>
                <w:sz w:val="24"/>
                <w:szCs w:val="24"/>
              </w:rPr>
            </w:pPr>
            <w:r>
              <w:rPr>
                <w:rFonts w:hint="eastAsia" w:ascii="宋体" w:hAnsi="宋体" w:cs="宋体"/>
                <w:sz w:val="24"/>
                <w:szCs w:val="24"/>
              </w:rPr>
              <w:t>4）备品备件及易损件</w:t>
            </w:r>
          </w:p>
          <w:p w14:paraId="7C92C181">
            <w:pPr>
              <w:rPr>
                <w:rFonts w:ascii="宋体" w:hAnsi="宋体" w:cs="宋体"/>
                <w:sz w:val="24"/>
                <w:szCs w:val="24"/>
              </w:rPr>
            </w:pPr>
            <w:r>
              <w:rPr>
                <w:rFonts w:hint="eastAsia" w:ascii="宋体" w:hAnsi="宋体" w:cs="宋体"/>
                <w:sz w:val="24"/>
                <w:szCs w:val="24"/>
              </w:rPr>
              <w:t>成交供应商售后服务中，维修使用的备品备件及易损件应为原厂配件，未经采购人同意不得使用非原厂配件。</w:t>
            </w:r>
          </w:p>
          <w:p w14:paraId="251673F1">
            <w:pPr>
              <w:numPr>
                <w:ilvl w:val="0"/>
                <w:numId w:val="3"/>
              </w:numPr>
              <w:rPr>
                <w:rFonts w:ascii="宋体" w:hAnsi="宋体" w:cs="宋体"/>
                <w:sz w:val="24"/>
                <w:szCs w:val="24"/>
              </w:rPr>
            </w:pPr>
            <w:r>
              <w:rPr>
                <w:rFonts w:hint="eastAsia" w:ascii="宋体" w:hAnsi="宋体" w:cs="宋体"/>
                <w:sz w:val="24"/>
                <w:szCs w:val="24"/>
              </w:rPr>
              <w:t>成交供应商有完善的安装施工队伍，实现销售、安装、售后服务一条龙。</w:t>
            </w:r>
          </w:p>
          <w:p w14:paraId="696AA49D">
            <w:pPr>
              <w:numPr>
                <w:ilvl w:val="0"/>
                <w:numId w:val="3"/>
              </w:numPr>
              <w:rPr>
                <w:rFonts w:ascii="宋体" w:hAnsi="宋体" w:cs="宋体"/>
                <w:sz w:val="24"/>
                <w:szCs w:val="24"/>
              </w:rPr>
            </w:pPr>
            <w:r>
              <w:rPr>
                <w:rFonts w:hint="eastAsia" w:ascii="宋体" w:hAnsi="宋体" w:cs="宋体"/>
                <w:sz w:val="24"/>
                <w:szCs w:val="24"/>
              </w:rPr>
              <w:t>培训</w:t>
            </w:r>
          </w:p>
          <w:p w14:paraId="3B3A007D">
            <w:pPr>
              <w:rPr>
                <w:rFonts w:ascii="宋体" w:hAnsi="宋体" w:cs="宋体"/>
                <w:sz w:val="24"/>
                <w:szCs w:val="24"/>
              </w:rPr>
            </w:pPr>
            <w:r>
              <w:rPr>
                <w:rFonts w:hint="eastAsia" w:ascii="宋体" w:hAnsi="宋体" w:cs="宋体"/>
                <w:sz w:val="24"/>
                <w:szCs w:val="24"/>
              </w:rPr>
              <w:t>成交供应商对其提供产品或服务的使用和操作应尽培训义务。成交供应商应提供对采购人的多次免费培训，使采购人使用人员熟练掌握所培训内容，熟练掌握全部功能。</w:t>
            </w:r>
          </w:p>
        </w:tc>
      </w:tr>
      <w:tr w14:paraId="68058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gridSpan w:val="2"/>
            <w:vAlign w:val="center"/>
          </w:tcPr>
          <w:p w14:paraId="77E14DCC">
            <w:pPr>
              <w:rPr>
                <w:rFonts w:ascii="宋体" w:hAnsi="宋体" w:cs="宋体"/>
                <w:sz w:val="24"/>
                <w:szCs w:val="24"/>
              </w:rPr>
            </w:pPr>
            <w:r>
              <w:rPr>
                <w:rFonts w:hint="eastAsia" w:ascii="宋体" w:hAnsi="宋体" w:cs="宋体"/>
                <w:sz w:val="24"/>
                <w:szCs w:val="24"/>
              </w:rPr>
              <w:t>售后技术要求</w:t>
            </w:r>
          </w:p>
        </w:tc>
        <w:tc>
          <w:tcPr>
            <w:tcW w:w="4199" w:type="pct"/>
            <w:gridSpan w:val="5"/>
            <w:vAlign w:val="center"/>
          </w:tcPr>
          <w:p w14:paraId="19729368">
            <w:pPr>
              <w:rPr>
                <w:rFonts w:ascii="宋体" w:hAnsi="宋体" w:cs="宋体"/>
                <w:sz w:val="24"/>
                <w:szCs w:val="24"/>
              </w:rPr>
            </w:pPr>
            <w:r>
              <w:rPr>
                <w:rFonts w:hint="eastAsia" w:ascii="宋体" w:hAnsi="宋体" w:cs="宋体"/>
                <w:sz w:val="24"/>
                <w:szCs w:val="24"/>
              </w:rPr>
              <w:t>1）整机在质保期内由设备制造商提供原厂免费上门维修服务（节假日不休），终身移动和固定电话均可免费拨打的呼叫中心热线7×24小时免费技术支持服务，终身提供维护服务。</w:t>
            </w:r>
          </w:p>
          <w:p w14:paraId="5B8DBFD7">
            <w:pPr>
              <w:rPr>
                <w:rFonts w:ascii="宋体" w:hAnsi="宋体" w:cs="宋体"/>
                <w:sz w:val="24"/>
                <w:szCs w:val="24"/>
              </w:rPr>
            </w:pPr>
            <w:r>
              <w:rPr>
                <w:rFonts w:hint="eastAsia" w:ascii="宋体" w:hAnsi="宋体" w:cs="宋体"/>
                <w:sz w:val="24"/>
                <w:szCs w:val="24"/>
              </w:rPr>
              <w:t>2）其余按国家标准执行。</w:t>
            </w:r>
          </w:p>
        </w:tc>
      </w:tr>
      <w:tr w14:paraId="45B080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gridSpan w:val="2"/>
            <w:vAlign w:val="center"/>
          </w:tcPr>
          <w:p w14:paraId="37A8B3F4">
            <w:pPr>
              <w:rPr>
                <w:rFonts w:ascii="宋体" w:hAnsi="宋体" w:cs="宋体"/>
                <w:sz w:val="24"/>
                <w:szCs w:val="24"/>
              </w:rPr>
            </w:pPr>
            <w:r>
              <w:rPr>
                <w:rFonts w:hint="eastAsia" w:ascii="宋体" w:hAnsi="宋体" w:cs="宋体"/>
                <w:sz w:val="24"/>
                <w:szCs w:val="24"/>
              </w:rPr>
              <w:t>质保期</w:t>
            </w:r>
          </w:p>
        </w:tc>
        <w:tc>
          <w:tcPr>
            <w:tcW w:w="4199" w:type="pct"/>
            <w:gridSpan w:val="5"/>
            <w:vAlign w:val="center"/>
          </w:tcPr>
          <w:p w14:paraId="5E0C6710">
            <w:pPr>
              <w:rPr>
                <w:rFonts w:ascii="宋体" w:hAnsi="宋体" w:cs="宋体"/>
                <w:szCs w:val="21"/>
              </w:rPr>
            </w:pPr>
            <w:r>
              <w:rPr>
                <w:rFonts w:hint="eastAsia" w:ascii="宋体" w:hAnsi="宋体" w:cs="宋体"/>
                <w:sz w:val="24"/>
                <w:szCs w:val="24"/>
              </w:rPr>
              <w:t>1）自交货并验收合格之日起至少1年，若厂家免费质保期超过此年限的，按厂家规定执行，</w:t>
            </w:r>
            <w:r>
              <w:rPr>
                <w:rFonts w:hint="eastAsia" w:ascii="宋体" w:hAnsi="宋体" w:cs="宋体"/>
                <w:szCs w:val="21"/>
              </w:rPr>
              <w:t>并提供终身维护支持。</w:t>
            </w:r>
          </w:p>
          <w:p w14:paraId="1CDABF56">
            <w:pPr>
              <w:rPr>
                <w:rFonts w:ascii="宋体" w:hAnsi="宋体" w:cs="宋体"/>
                <w:sz w:val="24"/>
                <w:szCs w:val="24"/>
              </w:rPr>
            </w:pPr>
            <w:r>
              <w:rPr>
                <w:rFonts w:hint="eastAsia" w:ascii="宋体" w:hAnsi="宋体" w:cs="宋体"/>
                <w:szCs w:val="21"/>
              </w:rPr>
              <w:t>2）如“技术参数及性能（配置）</w:t>
            </w:r>
            <w:r>
              <w:rPr>
                <w:rFonts w:hint="eastAsia" w:ascii="宋体" w:hAnsi="宋体" w:cs="宋体"/>
                <w:sz w:val="24"/>
                <w:szCs w:val="24"/>
              </w:rPr>
              <w:t>要求”中有特殊要求的，按特殊要求。</w:t>
            </w:r>
          </w:p>
          <w:p w14:paraId="0EEAF6A6">
            <w:pPr>
              <w:rPr>
                <w:rFonts w:ascii="宋体" w:hAnsi="宋体" w:cs="宋体"/>
                <w:sz w:val="24"/>
                <w:szCs w:val="24"/>
              </w:rPr>
            </w:pPr>
            <w:r>
              <w:rPr>
                <w:rFonts w:hint="eastAsia" w:ascii="宋体" w:hAnsi="宋体" w:cs="宋体"/>
                <w:sz w:val="24"/>
                <w:szCs w:val="24"/>
              </w:rPr>
              <w:t>3）质保期内免费维修、更换损坏的设备和配件及对产品进行维护和保养，终身维修。</w:t>
            </w:r>
          </w:p>
          <w:p w14:paraId="6704FED1">
            <w:pPr>
              <w:rPr>
                <w:rFonts w:ascii="宋体" w:hAnsi="宋体" w:cs="宋体"/>
                <w:sz w:val="24"/>
                <w:szCs w:val="24"/>
              </w:rPr>
            </w:pPr>
            <w:r>
              <w:rPr>
                <w:rFonts w:hint="eastAsia" w:ascii="宋体" w:hAnsi="宋体" w:cs="宋体"/>
                <w:sz w:val="24"/>
                <w:szCs w:val="24"/>
              </w:rPr>
              <w:t>4）按照国家有关规定实行“三包”，在规定的保修期内，凡货物质量事故和质量缺陷由成交供应商无偿保修。</w:t>
            </w:r>
          </w:p>
        </w:tc>
      </w:tr>
      <w:tr w14:paraId="31F02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gridSpan w:val="2"/>
            <w:vAlign w:val="center"/>
          </w:tcPr>
          <w:p w14:paraId="1F4B03E2">
            <w:pPr>
              <w:rPr>
                <w:rFonts w:ascii="宋体" w:hAnsi="宋体" w:cs="宋体"/>
                <w:sz w:val="24"/>
                <w:szCs w:val="24"/>
              </w:rPr>
            </w:pPr>
            <w:r>
              <w:rPr>
                <w:rFonts w:hint="eastAsia" w:ascii="宋体" w:hAnsi="宋体" w:cs="宋体"/>
                <w:sz w:val="24"/>
                <w:szCs w:val="24"/>
              </w:rPr>
              <w:t>付款条件（付款方式）</w:t>
            </w:r>
          </w:p>
        </w:tc>
        <w:tc>
          <w:tcPr>
            <w:tcW w:w="4199" w:type="pct"/>
            <w:gridSpan w:val="5"/>
            <w:vAlign w:val="center"/>
          </w:tcPr>
          <w:p w14:paraId="1BE0B7CA">
            <w:pPr>
              <w:rPr>
                <w:rFonts w:ascii="宋体" w:hAnsi="宋体" w:cs="宋体"/>
                <w:sz w:val="24"/>
                <w:szCs w:val="24"/>
              </w:rPr>
            </w:pPr>
            <w:r>
              <w:rPr>
                <w:rFonts w:hint="eastAsia" w:ascii="宋体" w:hAnsi="宋体" w:cs="宋体"/>
                <w:sz w:val="24"/>
                <w:szCs w:val="24"/>
              </w:rPr>
              <w:t>无预付款，自项目完成并验收合格之日起一个月内一次性付清，不付利息。</w:t>
            </w:r>
          </w:p>
          <w:p w14:paraId="16F78D30">
            <w:pPr>
              <w:rPr>
                <w:rFonts w:ascii="宋体" w:hAnsi="宋体" w:cs="宋体"/>
                <w:sz w:val="24"/>
                <w:szCs w:val="24"/>
              </w:rPr>
            </w:pPr>
            <w:r>
              <w:rPr>
                <w:rFonts w:hint="eastAsia" w:ascii="宋体" w:hAnsi="宋体" w:cs="宋体"/>
                <w:sz w:val="24"/>
                <w:szCs w:val="24"/>
              </w:rPr>
              <w:t>注：采购人支付货款前，成交供应商必须提供相应数额的有效发票。</w:t>
            </w:r>
          </w:p>
        </w:tc>
      </w:tr>
      <w:tr w14:paraId="39D3C4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gridSpan w:val="2"/>
            <w:vAlign w:val="center"/>
          </w:tcPr>
          <w:p w14:paraId="64C3BFA7">
            <w:pPr>
              <w:rPr>
                <w:rFonts w:ascii="宋体" w:hAnsi="宋体" w:cs="宋体"/>
                <w:sz w:val="24"/>
                <w:szCs w:val="24"/>
              </w:rPr>
            </w:pPr>
            <w:r>
              <w:rPr>
                <w:rFonts w:hint="eastAsia" w:ascii="宋体" w:hAnsi="宋体" w:cs="宋体"/>
                <w:sz w:val="24"/>
                <w:szCs w:val="24"/>
              </w:rPr>
              <w:t>履约保证金</w:t>
            </w:r>
          </w:p>
        </w:tc>
        <w:tc>
          <w:tcPr>
            <w:tcW w:w="4199" w:type="pct"/>
            <w:gridSpan w:val="5"/>
            <w:vAlign w:val="center"/>
          </w:tcPr>
          <w:p w14:paraId="449C436F">
            <w:pPr>
              <w:rPr>
                <w:rFonts w:ascii="宋体" w:hAnsi="宋体" w:cs="宋体"/>
                <w:sz w:val="24"/>
                <w:szCs w:val="24"/>
              </w:rPr>
            </w:pPr>
            <w:r>
              <w:rPr>
                <w:rFonts w:hint="eastAsia" w:ascii="宋体" w:hAnsi="宋体" w:cs="宋体"/>
                <w:sz w:val="24"/>
                <w:szCs w:val="24"/>
              </w:rPr>
              <w:t>按成交金额的5%（如成交供应商为中小企业，履约保证金为合同金额的2%）；成交供应商在签订合同前应提交履约保证金给采购人。项目完成验收合格后，且成交供应商无违约情形的，成交供应商提供《政府采购项目履约保证金退付意见书》及《政府采购项目合同验收报告》，向采购人提出书面申请退还，采购人在收到申请后十五个工作日内以银行转账方式无息退还。如果成交供应商履行合同过程中有违约情形，则采购人有权没收保证金，不予退还。</w:t>
            </w:r>
          </w:p>
        </w:tc>
      </w:tr>
      <w:tr w14:paraId="7A89D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01" w:type="pct"/>
            <w:gridSpan w:val="2"/>
            <w:vAlign w:val="center"/>
          </w:tcPr>
          <w:p w14:paraId="0C141E0F">
            <w:pPr>
              <w:rPr>
                <w:rFonts w:ascii="宋体" w:hAnsi="宋体" w:cs="宋体"/>
                <w:sz w:val="24"/>
                <w:szCs w:val="24"/>
              </w:rPr>
            </w:pPr>
            <w:r>
              <w:rPr>
                <w:rFonts w:hint="eastAsia" w:ascii="宋体" w:hAnsi="宋体" w:cs="宋体"/>
                <w:sz w:val="24"/>
                <w:szCs w:val="24"/>
              </w:rPr>
              <w:t>其他要求</w:t>
            </w:r>
          </w:p>
        </w:tc>
        <w:tc>
          <w:tcPr>
            <w:tcW w:w="4199" w:type="pct"/>
            <w:gridSpan w:val="5"/>
            <w:vAlign w:val="center"/>
          </w:tcPr>
          <w:p w14:paraId="7AD1CCEF">
            <w:pPr>
              <w:rPr>
                <w:rFonts w:ascii="宋体" w:hAnsi="宋体" w:cs="宋体"/>
                <w:sz w:val="24"/>
                <w:szCs w:val="24"/>
              </w:rPr>
            </w:pPr>
            <w:r>
              <w:rPr>
                <w:rFonts w:hint="eastAsia" w:ascii="宋体" w:hAnsi="宋体" w:cs="宋体"/>
                <w:sz w:val="24"/>
                <w:szCs w:val="24"/>
              </w:rPr>
              <w:t>1）本项目不接受进口产品竞标（即通过中国海关报关验放进入中国境内且产自关境外的产品）。</w:t>
            </w:r>
          </w:p>
          <w:p w14:paraId="5DAFE276">
            <w:pPr>
              <w:rPr>
                <w:rFonts w:ascii="宋体" w:hAnsi="宋体" w:cs="宋体"/>
                <w:sz w:val="24"/>
                <w:szCs w:val="24"/>
              </w:rPr>
            </w:pPr>
            <w:r>
              <w:rPr>
                <w:rFonts w:hint="eastAsia" w:ascii="宋体" w:hAnsi="宋体" w:cs="宋体"/>
                <w:sz w:val="24"/>
                <w:szCs w:val="24"/>
              </w:rPr>
              <w:t>2）成交供应商提供的产品必须是原厂生产的正品全新、完整、未使用过的合格产品，产品质量符合国家相关标准和规范，具备正规合法经销渠道。所有产品除满足上表要求的技术参数外，其余均按国家标准及生产厂家出厂标准配置。必须承诺实行“三包”，供货时必须提交检测报告，3C认证等产品材料。成交供应商提供的产品品牌、型号、规格、技术参数、质量不符合合同规定及采购需求规定标准的，采购人有权拒收该货物。成交供应商拒绝更换货物的，采购人可单方面解除合同，并有权要求乙方赔偿经济损失。</w:t>
            </w:r>
          </w:p>
          <w:p w14:paraId="3F8FA973">
            <w:pPr>
              <w:rPr>
                <w:rFonts w:ascii="宋体" w:hAnsi="宋体" w:cs="宋体"/>
                <w:sz w:val="24"/>
                <w:szCs w:val="24"/>
              </w:rPr>
            </w:pPr>
            <w:r>
              <w:rPr>
                <w:rFonts w:hint="eastAsia" w:ascii="宋体" w:hAnsi="宋体" w:cs="宋体"/>
                <w:sz w:val="24"/>
                <w:szCs w:val="24"/>
              </w:rPr>
              <w:t>3）成交供应商提供的货物及服务不满足采购要求而导致验收不合格的，采购人有权解除合同并追究成交供应商的法律责任。</w:t>
            </w:r>
          </w:p>
          <w:p w14:paraId="05647FCA">
            <w:pPr>
              <w:rPr>
                <w:rFonts w:ascii="宋体" w:hAnsi="宋体" w:cs="宋体"/>
                <w:sz w:val="24"/>
                <w:szCs w:val="24"/>
              </w:rPr>
            </w:pPr>
            <w:r>
              <w:rPr>
                <w:rFonts w:hint="eastAsia" w:ascii="宋体" w:hAnsi="宋体" w:cs="宋体"/>
                <w:sz w:val="24"/>
                <w:szCs w:val="24"/>
              </w:rPr>
              <w:t>4）成交供应商交货时应提供设备操作手册、使用指南、维修指南、服务手册和示意图等。严格按照用户指定的位置进行安装，成交供应商在施工、安装、调试等全过程中接受用户的监督。</w:t>
            </w:r>
          </w:p>
          <w:p w14:paraId="7B872825">
            <w:pPr>
              <w:rPr>
                <w:rFonts w:ascii="宋体" w:hAnsi="宋体" w:cs="宋体"/>
                <w:sz w:val="24"/>
                <w:szCs w:val="24"/>
              </w:rPr>
            </w:pPr>
            <w:r>
              <w:rPr>
                <w:rFonts w:hint="eastAsia" w:ascii="宋体" w:hAnsi="宋体" w:cs="宋体"/>
                <w:sz w:val="24"/>
                <w:szCs w:val="24"/>
              </w:rPr>
              <w:t>5）在成交供应商承诺的保修期内，设备保修包换所需要的配件均是原厂原装，不得使用兼容产品。</w:t>
            </w:r>
          </w:p>
          <w:p w14:paraId="0B1C0363">
            <w:pPr>
              <w:rPr>
                <w:rFonts w:ascii="宋体" w:hAnsi="宋体" w:cs="宋体"/>
                <w:sz w:val="24"/>
                <w:szCs w:val="24"/>
              </w:rPr>
            </w:pPr>
            <w:r>
              <w:rPr>
                <w:rFonts w:hint="eastAsia" w:ascii="宋体" w:hAnsi="宋体" w:cs="宋体"/>
                <w:sz w:val="24"/>
                <w:szCs w:val="24"/>
              </w:rPr>
              <w:t>6）竞标供应商应保证参与本次政府采购项目时其按要求所提供的所有证明材料和资质文件真实，如出现虚假应标情况，竞标供应商除了应接受有关部门的处罚外，还应依据《中华人民共和国政府采购法》及其实施条例的相关条款来确定赔偿金额。</w:t>
            </w:r>
          </w:p>
          <w:p w14:paraId="4CBAAEAD">
            <w:pPr>
              <w:rPr>
                <w:rFonts w:ascii="宋体" w:hAnsi="宋体" w:cs="宋体"/>
                <w:sz w:val="24"/>
                <w:szCs w:val="24"/>
              </w:rPr>
            </w:pPr>
            <w:r>
              <w:rPr>
                <w:rFonts w:hint="eastAsia" w:ascii="宋体" w:hAnsi="宋体" w:cs="宋体"/>
                <w:sz w:val="24"/>
                <w:szCs w:val="24"/>
              </w:rPr>
              <w:t>7）设备到货后，成交供应商和采购人应在现场进行清点，清点过程中如果发现因包装或运输不当引起的产品外观或内部的损坏，成交供应商应负责更换，若发现错发/漏发情况，成交供应商应负责更换和补发。</w:t>
            </w:r>
          </w:p>
          <w:p w14:paraId="30CC0827">
            <w:pPr>
              <w:rPr>
                <w:rFonts w:ascii="宋体" w:hAnsi="宋体" w:cs="宋体"/>
                <w:sz w:val="24"/>
                <w:szCs w:val="24"/>
              </w:rPr>
            </w:pPr>
            <w:r>
              <w:rPr>
                <w:rFonts w:hint="eastAsia" w:ascii="宋体" w:hAnsi="宋体" w:cs="宋体"/>
                <w:sz w:val="24"/>
                <w:szCs w:val="24"/>
              </w:rPr>
              <w:t>8）项目设备在安装前，成交供应商要与采购单位共同协商实施方案，两方认可后才能安装。</w:t>
            </w:r>
          </w:p>
          <w:p w14:paraId="1E6189D3">
            <w:pPr>
              <w:rPr>
                <w:rFonts w:ascii="宋体" w:hAnsi="宋体" w:cs="宋体"/>
                <w:sz w:val="24"/>
                <w:szCs w:val="24"/>
              </w:rPr>
            </w:pPr>
            <w:r>
              <w:rPr>
                <w:rFonts w:hint="eastAsia" w:ascii="宋体" w:hAnsi="宋体" w:cs="宋体"/>
                <w:sz w:val="24"/>
                <w:szCs w:val="24"/>
              </w:rPr>
              <w:t>9）竞标供应商应保证针对本项目的货物和服务涉及到的知识产权和所提供的相关技术资料是合法取得，并享有完整的知识产权，不会因为采购人的使用而被责令停止使用、追偿或要求赔偿损失，如出现此情况，一切经济和法律责任均由竞标供应商承担。成交供应商需在采购合同中书面承诺采购方免受第三方提出侵犯其著作权、专利权、商标权或设计权的纠纷。</w:t>
            </w:r>
          </w:p>
          <w:p w14:paraId="1EF12C56">
            <w:pPr>
              <w:rPr>
                <w:rFonts w:ascii="宋体" w:hAnsi="宋体" w:cs="宋体"/>
                <w:sz w:val="24"/>
                <w:szCs w:val="24"/>
              </w:rPr>
            </w:pPr>
            <w:r>
              <w:rPr>
                <w:rFonts w:hint="eastAsia" w:ascii="宋体" w:hAnsi="宋体" w:cs="宋体"/>
                <w:sz w:val="24"/>
                <w:szCs w:val="24"/>
              </w:rPr>
              <w:t>10）供应商在竞标时应在响应附件中上传加盖其单位公章的《竞价响应文件》pdf电子扫描件，《竞价响应文件》</w:t>
            </w:r>
            <w:r>
              <w:rPr>
                <w:rFonts w:hint="eastAsia" w:ascii="宋体" w:hAnsi="宋体" w:cs="宋体"/>
                <w:sz w:val="24"/>
                <w:szCs w:val="24"/>
                <w:u w:val="single"/>
              </w:rPr>
              <w:t>[格式详见“第二章 竞价响应文件（格式）”]</w:t>
            </w:r>
            <w:r>
              <w:rPr>
                <w:rFonts w:hint="eastAsia" w:ascii="宋体" w:hAnsi="宋体" w:cs="宋体"/>
                <w:sz w:val="24"/>
                <w:szCs w:val="24"/>
              </w:rPr>
              <w:t>应包含以下内容：</w:t>
            </w:r>
          </w:p>
          <w:p w14:paraId="253E9A10">
            <w:pPr>
              <w:rPr>
                <w:rFonts w:ascii="宋体" w:hAnsi="宋体" w:cs="宋体"/>
                <w:sz w:val="24"/>
                <w:szCs w:val="24"/>
                <w:u w:val="single"/>
              </w:rPr>
            </w:pPr>
            <w:r>
              <w:rPr>
                <w:rFonts w:hint="eastAsia" w:ascii="宋体" w:hAnsi="宋体" w:cs="宋体"/>
                <w:sz w:val="24"/>
                <w:szCs w:val="24"/>
                <w:u w:val="single"/>
              </w:rPr>
              <w:t>（1）《竞价响应表》。</w:t>
            </w:r>
          </w:p>
          <w:p w14:paraId="6DA921D7">
            <w:pPr>
              <w:rPr>
                <w:rFonts w:ascii="宋体" w:hAnsi="宋体" w:cs="宋体"/>
                <w:sz w:val="24"/>
                <w:szCs w:val="24"/>
                <w:u w:val="single"/>
              </w:rPr>
            </w:pPr>
            <w:r>
              <w:rPr>
                <w:rFonts w:hint="eastAsia" w:ascii="宋体" w:hAnsi="宋体" w:cs="宋体"/>
                <w:sz w:val="24"/>
                <w:szCs w:val="24"/>
                <w:u w:val="single"/>
              </w:rPr>
              <w:t>（2）《技术参数及性能（配置）要求》中要求提供的相关材料（如有）。</w:t>
            </w:r>
          </w:p>
          <w:p w14:paraId="0C8420A2">
            <w:pPr>
              <w:rPr>
                <w:rFonts w:ascii="宋体" w:hAnsi="宋体" w:cs="宋体"/>
                <w:sz w:val="24"/>
                <w:szCs w:val="24"/>
              </w:rPr>
            </w:pPr>
            <w:r>
              <w:rPr>
                <w:rFonts w:hint="eastAsia" w:ascii="宋体" w:hAnsi="宋体" w:cs="宋体"/>
                <w:sz w:val="24"/>
                <w:szCs w:val="24"/>
              </w:rPr>
              <w:t>12）拟成交供应商应当在接到采购人书面竞价审查通知书后3个工作日内，须提供以下纸质材料原件：</w:t>
            </w:r>
          </w:p>
          <w:p w14:paraId="43E48D24">
            <w:pPr>
              <w:rPr>
                <w:rFonts w:ascii="宋体" w:hAnsi="宋体" w:cs="宋体"/>
                <w:sz w:val="24"/>
                <w:szCs w:val="24"/>
                <w:u w:val="single"/>
              </w:rPr>
            </w:pPr>
            <w:r>
              <w:rPr>
                <w:rFonts w:hint="eastAsia" w:ascii="宋体" w:hAnsi="宋体" w:cs="宋体"/>
                <w:sz w:val="24"/>
                <w:szCs w:val="24"/>
                <w:u w:val="single"/>
              </w:rPr>
              <w:t>（1）《竞价响应表》。</w:t>
            </w:r>
          </w:p>
          <w:p w14:paraId="320770F3">
            <w:pPr>
              <w:rPr>
                <w:rFonts w:ascii="宋体" w:hAnsi="宋体" w:cs="宋体"/>
                <w:sz w:val="24"/>
                <w:szCs w:val="24"/>
                <w:u w:val="single"/>
              </w:rPr>
            </w:pPr>
            <w:r>
              <w:rPr>
                <w:rFonts w:hint="eastAsia" w:ascii="宋体" w:hAnsi="宋体" w:cs="宋体"/>
                <w:sz w:val="24"/>
                <w:szCs w:val="24"/>
                <w:u w:val="single"/>
              </w:rPr>
              <w:t>（2）《技术参数及性能（配置）要求》中要求提供的相关材料（如有）。</w:t>
            </w:r>
          </w:p>
          <w:p w14:paraId="6284F012">
            <w:pPr>
              <w:rPr>
                <w:rFonts w:ascii="宋体" w:hAnsi="宋体" w:cs="宋体"/>
                <w:sz w:val="24"/>
                <w:szCs w:val="24"/>
                <w:u w:val="single"/>
              </w:rPr>
            </w:pPr>
            <w:r>
              <w:rPr>
                <w:rFonts w:hint="eastAsia" w:ascii="宋体" w:hAnsi="宋体" w:cs="宋体"/>
                <w:sz w:val="24"/>
                <w:szCs w:val="24"/>
                <w:u w:val="single"/>
              </w:rPr>
              <w:t>（3）为保障货物质量及产品品质，成交供应商必须承诺在合同签订后正式供货时向采购人提供该项目产品的货物来源合法性证明（如：生产厂家针对此项目的售后服务保证原件、供货证明原件、经销证书或）。</w:t>
            </w:r>
          </w:p>
          <w:p w14:paraId="20FABB8E">
            <w:pPr>
              <w:rPr>
                <w:rFonts w:ascii="宋体" w:hAnsi="宋体" w:cs="宋体"/>
                <w:b/>
                <w:bCs/>
                <w:color w:val="auto"/>
                <w:sz w:val="24"/>
                <w:szCs w:val="24"/>
                <w:u w:val="single"/>
              </w:rPr>
            </w:pPr>
            <w:r>
              <w:rPr>
                <w:rFonts w:hint="eastAsia" w:ascii="宋体" w:hAnsi="宋体" w:cs="宋体"/>
                <w:b/>
                <w:bCs/>
                <w:color w:val="auto"/>
                <w:sz w:val="24"/>
                <w:szCs w:val="24"/>
                <w:u w:val="single"/>
              </w:rPr>
              <w:t>13）供应商供应商未按上述要求提交符合要求的资料或产品的，竞标无效。</w:t>
            </w:r>
          </w:p>
          <w:p w14:paraId="4DFA0855">
            <w:pPr>
              <w:rPr>
                <w:rFonts w:ascii="宋体" w:hAnsi="宋体" w:cs="宋体"/>
                <w:color w:val="auto"/>
                <w:sz w:val="24"/>
                <w:szCs w:val="24"/>
              </w:rPr>
            </w:pPr>
            <w:r>
              <w:rPr>
                <w:rFonts w:hint="eastAsia" w:ascii="宋体" w:hAnsi="宋体" w:cs="宋体"/>
                <w:color w:val="auto"/>
                <w:sz w:val="24"/>
                <w:szCs w:val="24"/>
              </w:rPr>
              <w:t>14）供应商不能满足参数要求而进行虚假响应，或者供应商无法按要求签订合同、无法正常交货影响采购人办公使用的，采购人取消成交结果，并按规定对供应商予以处罚并进行通报处理。采购人应依法向政采云平台及政府采购管理部门进行举报并予以禁止报价、扣除诚信分等处罚，政采云全平台各区划联动生效，不予签订合同。</w:t>
            </w:r>
          </w:p>
          <w:p w14:paraId="0C1E853D">
            <w:pPr>
              <w:rPr>
                <w:rFonts w:ascii="宋体" w:hAnsi="宋体" w:cs="宋体"/>
                <w:b/>
                <w:bCs/>
                <w:color w:val="auto"/>
                <w:sz w:val="24"/>
                <w:szCs w:val="24"/>
                <w:u w:val="single"/>
              </w:rPr>
            </w:pPr>
            <w:r>
              <w:rPr>
                <w:rFonts w:hint="eastAsia" w:ascii="宋体" w:hAnsi="宋体" w:cs="宋体"/>
                <w:b/>
                <w:bCs/>
                <w:color w:val="auto"/>
                <w:sz w:val="24"/>
                <w:szCs w:val="24"/>
                <w:u w:val="single"/>
              </w:rPr>
              <w:t>15）成交供应商必须按采购需求中所列明产品品牌、型号来供货。</w:t>
            </w:r>
          </w:p>
          <w:p w14:paraId="09EA3F45">
            <w:pPr>
              <w:rPr>
                <w:rFonts w:ascii="宋体" w:hAnsi="宋体" w:cs="宋体"/>
                <w:sz w:val="24"/>
                <w:szCs w:val="24"/>
              </w:rPr>
            </w:pPr>
            <w:r>
              <w:rPr>
                <w:rFonts w:hint="eastAsia" w:ascii="宋体" w:hAnsi="宋体" w:cs="宋体"/>
                <w:sz w:val="24"/>
                <w:szCs w:val="24"/>
              </w:rPr>
              <w:t>16）为确保采购人的合法权益，采购人将对所提供产品参数的真实性和实际效果进行验证，成交供应商必须配合采购人进行测试，通过测试方可供货。在测试过程中如出现所提供样品不符技术参数要求或无法提供所有样品，均视为虚假响应货物要求处理并追究法律责任。</w:t>
            </w:r>
          </w:p>
        </w:tc>
      </w:tr>
      <w:tr w14:paraId="7DDEF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vAlign w:val="center"/>
          </w:tcPr>
          <w:p w14:paraId="165CB6D6">
            <w:pPr>
              <w:rPr>
                <w:rFonts w:ascii="宋体" w:hAnsi="宋体" w:cs="宋体"/>
                <w:sz w:val="24"/>
                <w:szCs w:val="24"/>
              </w:rPr>
            </w:pPr>
            <w:r>
              <w:rPr>
                <w:rFonts w:hint="eastAsia" w:ascii="宋体" w:hAnsi="宋体" w:cs="宋体"/>
                <w:sz w:val="24"/>
                <w:szCs w:val="24"/>
              </w:rPr>
              <w:t>三、竞标人的资信要求表</w:t>
            </w:r>
          </w:p>
        </w:tc>
      </w:tr>
      <w:tr w14:paraId="0E869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78" w:hRule="atLeast"/>
        </w:trPr>
        <w:tc>
          <w:tcPr>
            <w:tcW w:w="801" w:type="pct"/>
            <w:gridSpan w:val="2"/>
            <w:vAlign w:val="center"/>
          </w:tcPr>
          <w:p w14:paraId="6E7A0214">
            <w:pPr>
              <w:rPr>
                <w:rFonts w:ascii="宋体" w:hAnsi="宋体" w:cs="宋体"/>
                <w:sz w:val="24"/>
                <w:szCs w:val="24"/>
              </w:rPr>
            </w:pPr>
            <w:r>
              <w:rPr>
                <w:rFonts w:hint="eastAsia" w:ascii="宋体" w:hAnsi="宋体" w:cs="宋体"/>
                <w:sz w:val="24"/>
                <w:szCs w:val="24"/>
              </w:rPr>
              <w:t>竞标人资格要求</w:t>
            </w:r>
          </w:p>
        </w:tc>
        <w:tc>
          <w:tcPr>
            <w:tcW w:w="4199" w:type="pct"/>
            <w:gridSpan w:val="5"/>
            <w:vAlign w:val="center"/>
          </w:tcPr>
          <w:p w14:paraId="59AE9F8B">
            <w:pPr>
              <w:rPr>
                <w:rFonts w:ascii="宋体" w:hAnsi="宋体" w:cs="宋体"/>
                <w:sz w:val="24"/>
                <w:szCs w:val="24"/>
              </w:rPr>
            </w:pPr>
            <w:r>
              <w:rPr>
                <w:rFonts w:hint="eastAsia" w:ascii="宋体" w:hAnsi="宋体" w:cs="宋体"/>
                <w:sz w:val="24"/>
                <w:szCs w:val="24"/>
              </w:rPr>
              <w:t>1）符合《中华人民共和国政府采购法》第二十二条的规定。</w:t>
            </w:r>
          </w:p>
          <w:p w14:paraId="1B2B6F17">
            <w:pPr>
              <w:rPr>
                <w:rFonts w:ascii="宋体" w:hAnsi="宋体" w:cs="宋体"/>
                <w:sz w:val="24"/>
                <w:szCs w:val="24"/>
              </w:rPr>
            </w:pPr>
            <w:r>
              <w:rPr>
                <w:rFonts w:hint="eastAsia" w:ascii="宋体" w:hAnsi="宋体" w:cs="宋体"/>
                <w:sz w:val="24"/>
                <w:szCs w:val="24"/>
              </w:rPr>
              <w:t>2）已在政采云平台系统注册。</w:t>
            </w:r>
          </w:p>
          <w:p w14:paraId="6C5185CB">
            <w:pPr>
              <w:rPr>
                <w:rFonts w:ascii="宋体" w:hAnsi="宋体" w:cs="宋体"/>
                <w:sz w:val="24"/>
                <w:szCs w:val="24"/>
              </w:rPr>
            </w:pPr>
            <w:r>
              <w:rPr>
                <w:rFonts w:hint="eastAsia" w:ascii="宋体" w:hAnsi="宋体" w:cs="宋体"/>
                <w:sz w:val="24"/>
                <w:szCs w:val="24"/>
              </w:rPr>
              <w:t>3）对在“信用中国”网站(www.creditchina.gov.cn)、中国政府采购网(www.ccgp.gov.cn)等渠道列入失信被执行人、重大税收违法案件当事人名单、政府采购严重违法失信行为记录名单的供应商，不得参与本项目政府采购活动。</w:t>
            </w:r>
          </w:p>
        </w:tc>
      </w:tr>
    </w:tbl>
    <w:p w14:paraId="5D823C45">
      <w:pPr>
        <w:outlineLvl w:val="1"/>
        <w:rPr>
          <w:rStyle w:val="42"/>
        </w:rPr>
      </w:pPr>
      <w:r>
        <w:br w:type="page"/>
      </w:r>
      <w:bookmarkStart w:id="2" w:name="_Toc18075"/>
    </w:p>
    <w:p w14:paraId="684F12B5">
      <w:pPr>
        <w:outlineLvl w:val="1"/>
      </w:pPr>
      <w:r>
        <w:rPr>
          <w:rStyle w:val="42"/>
          <w:rFonts w:hint="eastAsia"/>
        </w:rPr>
        <w:t>附件一、LED屏及配套设备的主要技术性能</w:t>
      </w:r>
      <w:bookmarkEnd w:id="2"/>
    </w:p>
    <w:p w14:paraId="3C8D9C52">
      <w:pPr>
        <w:pStyle w:val="2"/>
        <w:spacing w:line="440" w:lineRule="exact"/>
        <w:rPr>
          <w:rFonts w:ascii="黑体" w:eastAsia="黑体"/>
          <w:sz w:val="32"/>
          <w:szCs w:val="32"/>
        </w:rPr>
      </w:pPr>
    </w:p>
    <w:p w14:paraId="1FB2C537">
      <w:pPr>
        <w:pStyle w:val="2"/>
        <w:spacing w:line="360" w:lineRule="auto"/>
        <w:rPr>
          <w:rFonts w:ascii="黑体" w:eastAsia="黑体"/>
          <w:sz w:val="32"/>
          <w:szCs w:val="32"/>
        </w:rPr>
      </w:pPr>
      <w:bookmarkStart w:id="3" w:name="_Toc12191"/>
      <w:r>
        <w:rPr>
          <w:rFonts w:hint="eastAsia" w:ascii="黑体" w:eastAsia="黑体"/>
          <w:sz w:val="32"/>
          <w:szCs w:val="32"/>
        </w:rPr>
        <w:t>LED屏及配套设备的主要技术性能</w:t>
      </w:r>
      <w:bookmarkEnd w:id="3"/>
    </w:p>
    <w:tbl>
      <w:tblPr>
        <w:tblStyle w:val="20"/>
        <w:tblW w:w="10106" w:type="dxa"/>
        <w:jc w:val="center"/>
        <w:tblLayout w:type="fixed"/>
        <w:tblCellMar>
          <w:top w:w="0" w:type="dxa"/>
          <w:left w:w="108" w:type="dxa"/>
          <w:bottom w:w="0" w:type="dxa"/>
          <w:right w:w="108" w:type="dxa"/>
        </w:tblCellMar>
      </w:tblPr>
      <w:tblGrid>
        <w:gridCol w:w="743"/>
        <w:gridCol w:w="1375"/>
        <w:gridCol w:w="5230"/>
        <w:gridCol w:w="1253"/>
        <w:gridCol w:w="804"/>
        <w:gridCol w:w="701"/>
      </w:tblGrid>
      <w:tr w14:paraId="6A66F07B">
        <w:tblPrEx>
          <w:tblCellMar>
            <w:top w:w="0" w:type="dxa"/>
            <w:left w:w="108" w:type="dxa"/>
            <w:bottom w:w="0" w:type="dxa"/>
            <w:right w:w="108" w:type="dxa"/>
          </w:tblCellMar>
        </w:tblPrEx>
        <w:trPr>
          <w:trHeight w:val="498" w:hRule="atLeast"/>
          <w:jc w:val="center"/>
        </w:trPr>
        <w:tc>
          <w:tcPr>
            <w:tcW w:w="10106" w:type="dxa"/>
            <w:gridSpan w:val="6"/>
            <w:tcBorders>
              <w:top w:val="single" w:color="000000" w:sz="4" w:space="0"/>
              <w:left w:val="single" w:color="000000" w:sz="4" w:space="0"/>
              <w:bottom w:val="single" w:color="000000" w:sz="4" w:space="0"/>
              <w:right w:val="single" w:color="000000" w:sz="4" w:space="0"/>
            </w:tcBorders>
            <w:vAlign w:val="center"/>
          </w:tcPr>
          <w:p w14:paraId="28449723">
            <w:pPr>
              <w:widowControl/>
              <w:textAlignment w:val="center"/>
              <w:rPr>
                <w:rFonts w:ascii="宋体" w:hAnsi="宋体" w:cs="宋体"/>
                <w:b/>
                <w:bCs/>
                <w:color w:val="auto"/>
                <w:kern w:val="0"/>
                <w:sz w:val="24"/>
                <w:szCs w:val="24"/>
                <w:lang w:bidi="ar"/>
              </w:rPr>
            </w:pPr>
            <w:bookmarkStart w:id="4" w:name="_Toc21066"/>
            <w:r>
              <w:rPr>
                <w:rFonts w:hint="eastAsia" w:ascii="宋体" w:hAnsi="宋体" w:cs="宋体"/>
                <w:b/>
                <w:bCs/>
                <w:color w:val="auto"/>
                <w:sz w:val="24"/>
                <w:szCs w:val="24"/>
              </w:rPr>
              <w:t>注：本表所有要求均为实质性要求，供应商的任何负偏离响应均视为无效竞标。</w:t>
            </w:r>
          </w:p>
        </w:tc>
      </w:tr>
      <w:tr w14:paraId="59084835">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vAlign w:val="center"/>
          </w:tcPr>
          <w:p w14:paraId="0A248590">
            <w:pPr>
              <w:widowControl/>
              <w:jc w:val="center"/>
              <w:textAlignment w:val="center"/>
              <w:rPr>
                <w:rFonts w:ascii="宋体" w:hAnsi="宋体" w:cs="宋体"/>
                <w:b/>
                <w:bCs/>
                <w:color w:val="auto"/>
                <w:sz w:val="24"/>
                <w:szCs w:val="24"/>
              </w:rPr>
            </w:pPr>
            <w:r>
              <w:rPr>
                <w:rFonts w:hint="eastAsia" w:ascii="宋体" w:hAnsi="宋体" w:cs="宋体"/>
                <w:b/>
                <w:bCs/>
                <w:color w:val="auto"/>
                <w:kern w:val="0"/>
                <w:sz w:val="24"/>
                <w:szCs w:val="24"/>
                <w:lang w:bidi="ar"/>
              </w:rPr>
              <w:t>序号</w:t>
            </w:r>
          </w:p>
        </w:tc>
        <w:tc>
          <w:tcPr>
            <w:tcW w:w="1375" w:type="dxa"/>
            <w:tcBorders>
              <w:top w:val="single" w:color="000000" w:sz="4" w:space="0"/>
              <w:left w:val="single" w:color="000000" w:sz="4" w:space="0"/>
              <w:bottom w:val="single" w:color="000000" w:sz="4" w:space="0"/>
              <w:right w:val="single" w:color="000000" w:sz="4" w:space="0"/>
            </w:tcBorders>
            <w:vAlign w:val="center"/>
          </w:tcPr>
          <w:p w14:paraId="3624A7DA">
            <w:pPr>
              <w:widowControl/>
              <w:jc w:val="center"/>
              <w:textAlignment w:val="center"/>
              <w:rPr>
                <w:rFonts w:ascii="宋体" w:hAnsi="宋体" w:cs="宋体"/>
                <w:b/>
                <w:bCs/>
                <w:color w:val="auto"/>
                <w:sz w:val="24"/>
                <w:szCs w:val="24"/>
              </w:rPr>
            </w:pPr>
            <w:r>
              <w:rPr>
                <w:rFonts w:hint="eastAsia" w:ascii="宋体" w:hAnsi="宋体" w:cs="宋体"/>
                <w:b/>
                <w:bCs/>
                <w:color w:val="auto"/>
                <w:kern w:val="0"/>
                <w:sz w:val="24"/>
                <w:szCs w:val="24"/>
                <w:lang w:bidi="ar"/>
              </w:rPr>
              <w:t>标的名称</w:t>
            </w:r>
          </w:p>
        </w:tc>
        <w:tc>
          <w:tcPr>
            <w:tcW w:w="5230" w:type="dxa"/>
            <w:tcBorders>
              <w:top w:val="single" w:color="000000" w:sz="4" w:space="0"/>
              <w:left w:val="single" w:color="000000" w:sz="4" w:space="0"/>
              <w:bottom w:val="single" w:color="000000" w:sz="4" w:space="0"/>
              <w:right w:val="single" w:color="000000" w:sz="4" w:space="0"/>
            </w:tcBorders>
            <w:vAlign w:val="center"/>
          </w:tcPr>
          <w:p w14:paraId="37481510">
            <w:pPr>
              <w:widowControl/>
              <w:jc w:val="center"/>
              <w:textAlignment w:val="center"/>
              <w:rPr>
                <w:rFonts w:ascii="宋体" w:hAnsi="宋体" w:cs="宋体"/>
                <w:b/>
                <w:bCs/>
                <w:color w:val="auto"/>
                <w:sz w:val="24"/>
                <w:szCs w:val="24"/>
              </w:rPr>
            </w:pPr>
            <w:r>
              <w:rPr>
                <w:rFonts w:hint="eastAsia" w:ascii="宋体" w:hAnsi="宋体" w:cs="宋体"/>
                <w:b/>
                <w:bCs/>
                <w:color w:val="auto"/>
                <w:kern w:val="0"/>
                <w:sz w:val="24"/>
                <w:szCs w:val="24"/>
                <w:lang w:bidi="ar"/>
              </w:rPr>
              <w:t>主要技术参数及性能（配置）要求</w:t>
            </w:r>
          </w:p>
        </w:tc>
        <w:tc>
          <w:tcPr>
            <w:tcW w:w="1253" w:type="dxa"/>
            <w:tcBorders>
              <w:top w:val="single" w:color="000000" w:sz="4" w:space="0"/>
              <w:left w:val="single" w:color="000000" w:sz="4" w:space="0"/>
              <w:bottom w:val="single" w:color="000000" w:sz="4" w:space="0"/>
              <w:right w:val="single" w:color="000000" w:sz="4" w:space="0"/>
            </w:tcBorders>
            <w:vAlign w:val="center"/>
          </w:tcPr>
          <w:p w14:paraId="635CC97F">
            <w:pPr>
              <w:widowControl/>
              <w:jc w:val="center"/>
              <w:textAlignment w:val="center"/>
              <w:rPr>
                <w:rFonts w:ascii="宋体" w:hAnsi="宋体" w:cs="宋体"/>
                <w:b/>
                <w:bCs/>
                <w:color w:val="auto"/>
                <w:kern w:val="0"/>
                <w:sz w:val="24"/>
                <w:szCs w:val="24"/>
                <w:lang w:bidi="ar"/>
              </w:rPr>
            </w:pPr>
            <w:r>
              <w:rPr>
                <w:rFonts w:hint="eastAsia" w:ascii="宋体" w:hAnsi="宋体" w:cs="宋体"/>
                <w:b/>
                <w:bCs/>
                <w:color w:val="auto"/>
                <w:kern w:val="0"/>
                <w:sz w:val="24"/>
                <w:szCs w:val="24"/>
                <w:lang w:bidi="ar"/>
              </w:rPr>
              <w:t>品牌型号</w:t>
            </w:r>
          </w:p>
        </w:tc>
        <w:tc>
          <w:tcPr>
            <w:tcW w:w="804" w:type="dxa"/>
            <w:tcBorders>
              <w:top w:val="single" w:color="000000" w:sz="4" w:space="0"/>
              <w:left w:val="single" w:color="000000" w:sz="4" w:space="0"/>
              <w:bottom w:val="single" w:color="000000" w:sz="4" w:space="0"/>
              <w:right w:val="single" w:color="000000" w:sz="4" w:space="0"/>
            </w:tcBorders>
            <w:vAlign w:val="center"/>
          </w:tcPr>
          <w:p w14:paraId="79AB004C">
            <w:pPr>
              <w:widowControl/>
              <w:jc w:val="center"/>
              <w:textAlignment w:val="center"/>
              <w:rPr>
                <w:rFonts w:ascii="宋体" w:hAnsi="宋体" w:cs="宋体"/>
                <w:b/>
                <w:bCs/>
                <w:color w:val="auto"/>
                <w:sz w:val="24"/>
                <w:szCs w:val="24"/>
              </w:rPr>
            </w:pPr>
            <w:r>
              <w:rPr>
                <w:rFonts w:hint="eastAsia" w:ascii="宋体" w:hAnsi="宋体" w:cs="宋体"/>
                <w:b/>
                <w:bCs/>
                <w:color w:val="auto"/>
                <w:kern w:val="0"/>
                <w:sz w:val="24"/>
                <w:szCs w:val="24"/>
                <w:lang w:bidi="ar"/>
              </w:rPr>
              <w:t>数量</w:t>
            </w:r>
          </w:p>
        </w:tc>
        <w:tc>
          <w:tcPr>
            <w:tcW w:w="701" w:type="dxa"/>
            <w:tcBorders>
              <w:top w:val="single" w:color="000000" w:sz="4" w:space="0"/>
              <w:left w:val="single" w:color="000000" w:sz="4" w:space="0"/>
              <w:bottom w:val="single" w:color="000000" w:sz="4" w:space="0"/>
              <w:right w:val="single" w:color="000000" w:sz="4" w:space="0"/>
            </w:tcBorders>
            <w:vAlign w:val="center"/>
          </w:tcPr>
          <w:p w14:paraId="30376AC8">
            <w:pPr>
              <w:widowControl/>
              <w:jc w:val="center"/>
              <w:textAlignment w:val="center"/>
              <w:rPr>
                <w:rFonts w:ascii="宋体" w:hAnsi="宋体" w:cs="宋体"/>
                <w:b/>
                <w:bCs/>
                <w:color w:val="auto"/>
                <w:sz w:val="24"/>
                <w:szCs w:val="24"/>
              </w:rPr>
            </w:pPr>
            <w:r>
              <w:rPr>
                <w:rFonts w:hint="eastAsia" w:ascii="宋体" w:hAnsi="宋体" w:cs="宋体"/>
                <w:b/>
                <w:bCs/>
                <w:color w:val="auto"/>
                <w:kern w:val="0"/>
                <w:sz w:val="24"/>
                <w:szCs w:val="24"/>
                <w:lang w:bidi="ar"/>
              </w:rPr>
              <w:t>单位</w:t>
            </w:r>
          </w:p>
        </w:tc>
      </w:tr>
      <w:tr w14:paraId="41CDEAD4">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2DC6F30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4465D18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LED显示屏（定制）</w:t>
            </w:r>
          </w:p>
          <w:p w14:paraId="1123B8D5">
            <w:pPr>
              <w:widowControl/>
              <w:jc w:val="center"/>
              <w:textAlignment w:val="center"/>
              <w:rPr>
                <w:rFonts w:ascii="宋体" w:hAnsi="宋体" w:cs="宋体"/>
                <w:color w:val="auto"/>
                <w:kern w:val="0"/>
                <w:sz w:val="24"/>
                <w:szCs w:val="24"/>
                <w:lang w:bidi="ar"/>
              </w:rPr>
            </w:pPr>
          </w:p>
          <w:p w14:paraId="22766ADE">
            <w:pPr>
              <w:widowControl/>
              <w:jc w:val="center"/>
              <w:textAlignment w:val="center"/>
              <w:rPr>
                <w:rFonts w:ascii="宋体" w:hAnsi="宋体" w:cs="宋体"/>
                <w:color w:val="auto"/>
                <w:kern w:val="0"/>
                <w:sz w:val="24"/>
                <w:szCs w:val="24"/>
                <w:lang w:bidi="ar"/>
              </w:rPr>
            </w:pPr>
          </w:p>
          <w:p w14:paraId="33EE95EC">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参考图见附图一</w:t>
            </w:r>
          </w:p>
        </w:tc>
        <w:tc>
          <w:tcPr>
            <w:tcW w:w="5230" w:type="dxa"/>
            <w:tcBorders>
              <w:top w:val="single" w:color="000000" w:sz="4" w:space="0"/>
              <w:left w:val="single" w:color="000000" w:sz="4" w:space="0"/>
              <w:bottom w:val="single" w:color="000000" w:sz="4" w:space="0"/>
              <w:right w:val="single" w:color="000000" w:sz="4" w:space="0"/>
            </w:tcBorders>
            <w:vAlign w:val="center"/>
          </w:tcPr>
          <w:p w14:paraId="62FA5F5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1.点间距：≤1.25mm。</w:t>
            </w:r>
          </w:p>
          <w:p w14:paraId="3A27856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2.整体尺寸：≥2.56米×2.56米；3套</w:t>
            </w:r>
          </w:p>
          <w:p w14:paraId="1936D97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3.模组分辨率（宽×高）：≥256点×128点。</w:t>
            </w:r>
          </w:p>
          <w:p w14:paraId="684100B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4.模组尺寸（宽×高）：320mm×160mm 。厚度≤10mm（含磁铁）</w:t>
            </w:r>
          </w:p>
          <w:p w14:paraId="20C57AE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5.亮度：≥600cd/㎡，亮度0-600cd/㎡可调，可设置亮度手动、定时调节，支持通过亮度传感器随环境变化亮暗自动调节，0～100%无级可调。</w:t>
            </w:r>
          </w:p>
          <w:p w14:paraId="53096EA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6.刷新率≥3840Hz。</w:t>
            </w:r>
          </w:p>
          <w:p w14:paraId="2BE7AC8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7.水平视角/垂直视角：≥170°/170°。</w:t>
            </w:r>
          </w:p>
          <w:p w14:paraId="71D1998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8.模组间缝隙及平整度：≤0.1mm，发光点中心距偏差：≤0.1%。</w:t>
            </w:r>
          </w:p>
          <w:p w14:paraId="10FC4AA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9.亮度均匀性：≥99%，色度均匀性：±0.001  Cx，Cy之内。</w:t>
            </w:r>
          </w:p>
          <w:p w14:paraId="39C9BF5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10.对比度：≥15000:1。</w:t>
            </w:r>
          </w:p>
          <w:p w14:paraId="0BBD528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11.驱动方式：恒流驱动。</w:t>
            </w:r>
          </w:p>
          <w:p w14:paraId="7914DA0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12.低亮高灰，100%亮度时，16bit灰度；70%亮度时16bit灰度；50%亮度时15bit灰度；20%亮度时15bit灰度。</w:t>
            </w:r>
          </w:p>
          <w:p w14:paraId="2FFDA44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13.前后左右1米噪音≤6dB。</w:t>
            </w:r>
          </w:p>
          <w:p w14:paraId="3093E7D3">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14.换帧频率：50/60 Hz。</w:t>
            </w:r>
          </w:p>
          <w:p w14:paraId="35314DB0">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15.屏体色温：1000～15000K可调。</w:t>
            </w:r>
          </w:p>
          <w:p w14:paraId="3F7E301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16.校正：支持亮度与色度逐点校正。</w:t>
            </w:r>
          </w:p>
          <w:p w14:paraId="6707529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17.校正数据存储在模块里，可进行逐点校正、色度校正。</w:t>
            </w:r>
          </w:p>
          <w:p w14:paraId="1EF9720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18.平均无故障时间≥50000小时。</w:t>
            </w:r>
          </w:p>
          <w:p w14:paraId="62996A2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19.像素失控率及盲点率：≤1/100000。</w:t>
            </w:r>
          </w:p>
          <w:p w14:paraId="328B8AE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20.观看舒适度：“人眼视觉舒适度（VICO）”指数低于2.0，去除100%紫外线，消除80%摩尔纹，基本无疲劳感1级，满足GB/T 44441-2024《LED 照明产品视觉健康舒适度测试》标准。</w:t>
            </w:r>
          </w:p>
          <w:p w14:paraId="2E5BB29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21.屏体安装结构：前/后安装，完全前维护，可贴墙安装、无需预留空间。</w:t>
            </w:r>
          </w:p>
          <w:p w14:paraId="0EDFA81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22.电磁兼容性EMC检测：符合GB/T9254.1-2021限值要求。</w:t>
            </w:r>
          </w:p>
          <w:p w14:paraId="35416F80">
            <w:pPr>
              <w:widowControl/>
              <w:jc w:val="left"/>
              <w:rPr>
                <w:rFonts w:ascii="宋体" w:hAnsi="宋体" w:cs="宋体"/>
                <w:color w:val="auto"/>
                <w:sz w:val="24"/>
                <w:szCs w:val="24"/>
                <w:lang w:bidi="ar"/>
              </w:rPr>
            </w:pPr>
            <w:r>
              <w:rPr>
                <w:rFonts w:hint="eastAsia" w:ascii="宋体" w:hAnsi="宋体" w:cs="宋体"/>
                <w:color w:val="auto"/>
                <w:sz w:val="24"/>
                <w:szCs w:val="24"/>
                <w:lang w:bidi="ar"/>
              </w:rPr>
              <w:t>23.脉冲、浪涌试验：电快速瞬变脉冲群试验，浪涌试验以及电压暂降和短时中断试验，试验结束后样品可正常工作。</w:t>
            </w:r>
          </w:p>
          <w:p w14:paraId="2A5F4ADB">
            <w:pPr>
              <w:widowControl/>
              <w:jc w:val="left"/>
              <w:rPr>
                <w:rFonts w:ascii="宋体" w:hAnsi="宋体" w:cs="宋体"/>
                <w:color w:val="auto"/>
                <w:sz w:val="24"/>
                <w:szCs w:val="24"/>
                <w:lang w:bidi="ar"/>
              </w:rPr>
            </w:pPr>
            <w:r>
              <w:rPr>
                <w:rFonts w:hint="eastAsia" w:ascii="宋体" w:hAnsi="宋体" w:cs="宋体"/>
                <w:color w:val="auto"/>
                <w:sz w:val="24"/>
                <w:szCs w:val="24"/>
                <w:lang w:bidi="ar"/>
              </w:rPr>
              <w:t>24.抗紫外UV辐射：辐照强度0.76W/㎡，使用UVA340灯，温度60℃，冷凝温度50℃，24小时循环，试验后样品无异常可正常工作。</w:t>
            </w:r>
          </w:p>
          <w:p w14:paraId="24C786BB">
            <w:pPr>
              <w:widowControl/>
              <w:jc w:val="left"/>
              <w:rPr>
                <w:rFonts w:ascii="宋体" w:hAnsi="宋体" w:cs="宋体"/>
                <w:color w:val="auto"/>
                <w:sz w:val="24"/>
                <w:szCs w:val="24"/>
                <w:lang w:bidi="ar"/>
              </w:rPr>
            </w:pPr>
            <w:r>
              <w:rPr>
                <w:rFonts w:hint="eastAsia" w:ascii="宋体" w:hAnsi="宋体" w:cs="宋体"/>
                <w:color w:val="auto"/>
                <w:sz w:val="24"/>
                <w:szCs w:val="24"/>
                <w:lang w:bidi="ar"/>
              </w:rPr>
              <w:t>25.抗压力及拉力要求：显示屏所选材料符合《GB/T15115-2024 压铸铝合金》标准，抗拉强度≥5000N，屈服强度≥5000N，硬度不小于70HBS。</w:t>
            </w:r>
          </w:p>
          <w:p w14:paraId="15887F3D">
            <w:pPr>
              <w:widowControl/>
              <w:jc w:val="left"/>
              <w:rPr>
                <w:rFonts w:ascii="宋体" w:hAnsi="宋体" w:cs="宋体"/>
                <w:color w:val="auto"/>
                <w:sz w:val="24"/>
                <w:szCs w:val="24"/>
                <w:lang w:bidi="ar"/>
              </w:rPr>
            </w:pPr>
            <w:r>
              <w:rPr>
                <w:rFonts w:hint="eastAsia" w:ascii="宋体" w:hAnsi="宋体" w:cs="宋体"/>
                <w:color w:val="auto"/>
                <w:sz w:val="24"/>
                <w:szCs w:val="24"/>
                <w:lang w:bidi="ar"/>
              </w:rPr>
              <w:t>26. 蓝光安全和光生物安全检测：光生物安全及蓝光危害检测，符合GB/T20145-2006标准要求，属于无危害类产品。检测蓝光对皮肤和眼睛紫外线危害，宽波段的光源对视网膜的危害，以及蓝光对皮肤表面、角膜和视网膜的辐射值。</w:t>
            </w:r>
          </w:p>
          <w:p w14:paraId="30860FB1">
            <w:pPr>
              <w:widowControl/>
              <w:jc w:val="left"/>
              <w:rPr>
                <w:rFonts w:ascii="宋体" w:hAnsi="宋体" w:cs="宋体"/>
                <w:color w:val="auto"/>
                <w:sz w:val="24"/>
                <w:szCs w:val="24"/>
                <w:lang w:bidi="ar"/>
              </w:rPr>
            </w:pPr>
            <w:r>
              <w:rPr>
                <w:rFonts w:hint="eastAsia" w:ascii="宋体" w:hAnsi="宋体" w:cs="宋体"/>
                <w:color w:val="auto"/>
                <w:sz w:val="24"/>
                <w:szCs w:val="24"/>
                <w:lang w:bidi="ar"/>
              </w:rPr>
              <w:t>27.阻燃（防火）：PCB的阻燃等级达到GB/T 2408 V-0级。试验过程中无滴落物，样品自燃10秒内熄灭，阻燃等级符合GB/T 2408 V-0级。显示屏整体/箱体，满足V-0级阻燃（防火）标准。</w:t>
            </w:r>
          </w:p>
          <w:p w14:paraId="2214CC8C">
            <w:pPr>
              <w:widowControl/>
              <w:jc w:val="left"/>
              <w:rPr>
                <w:rFonts w:ascii="宋体" w:hAnsi="宋体" w:cs="宋体"/>
                <w:color w:val="auto"/>
                <w:sz w:val="24"/>
                <w:szCs w:val="24"/>
                <w:lang w:bidi="ar"/>
              </w:rPr>
            </w:pPr>
            <w:r>
              <w:rPr>
                <w:rFonts w:hint="eastAsia" w:ascii="宋体" w:hAnsi="宋体" w:cs="宋体"/>
                <w:color w:val="auto"/>
                <w:sz w:val="24"/>
                <w:szCs w:val="24"/>
                <w:lang w:bidi="ar"/>
              </w:rPr>
              <w:t>28.振动试验：符合SJ/T11141-2025《发光二极管（LED）显示屏通用规范》，对LED显示屏进行振动试验，试验后样品无损坏工作正常。</w:t>
            </w:r>
          </w:p>
          <w:p w14:paraId="12F7E922">
            <w:pPr>
              <w:widowControl/>
              <w:jc w:val="left"/>
              <w:rPr>
                <w:rFonts w:ascii="宋体" w:hAnsi="宋体" w:cs="宋体"/>
                <w:color w:val="auto"/>
                <w:sz w:val="24"/>
                <w:szCs w:val="24"/>
                <w:lang w:bidi="ar"/>
              </w:rPr>
            </w:pPr>
            <w:r>
              <w:rPr>
                <w:rFonts w:hint="eastAsia" w:ascii="宋体" w:hAnsi="宋体" w:cs="宋体"/>
                <w:color w:val="auto"/>
                <w:sz w:val="24"/>
                <w:szCs w:val="24"/>
                <w:lang w:bidi="ar"/>
              </w:rPr>
              <w:t xml:space="preserve">29.峰值功率：≤600W/㎡。平均功率：≤200W/㎡ 。  </w:t>
            </w:r>
          </w:p>
          <w:p w14:paraId="4BB781C3">
            <w:pPr>
              <w:widowControl/>
              <w:jc w:val="left"/>
              <w:rPr>
                <w:rFonts w:ascii="宋体" w:hAnsi="宋体" w:cs="宋体"/>
                <w:color w:val="auto"/>
                <w:sz w:val="24"/>
                <w:szCs w:val="24"/>
                <w:lang w:bidi="ar"/>
              </w:rPr>
            </w:pPr>
            <w:r>
              <w:rPr>
                <w:rFonts w:hint="eastAsia" w:ascii="宋体" w:hAnsi="宋体" w:cs="宋体"/>
                <w:color w:val="auto"/>
                <w:sz w:val="24"/>
                <w:szCs w:val="24"/>
                <w:lang w:bidi="ar"/>
              </w:rPr>
              <w:t>30.工作电压：AC: 110V～240V（50/60 Hz）。</w:t>
            </w:r>
          </w:p>
          <w:p w14:paraId="59F9E975">
            <w:pPr>
              <w:widowControl/>
              <w:jc w:val="left"/>
              <w:rPr>
                <w:rFonts w:ascii="宋体" w:hAnsi="宋体" w:cs="宋体"/>
                <w:color w:val="auto"/>
                <w:sz w:val="24"/>
                <w:szCs w:val="24"/>
                <w:lang w:bidi="ar"/>
              </w:rPr>
            </w:pPr>
            <w:r>
              <w:rPr>
                <w:rFonts w:hint="eastAsia" w:ascii="宋体" w:hAnsi="宋体" w:cs="宋体"/>
                <w:color w:val="auto"/>
                <w:sz w:val="24"/>
                <w:szCs w:val="24"/>
                <w:lang w:bidi="ar"/>
              </w:rPr>
              <w:t>31.LED典型寿命 ≥10万小时。</w:t>
            </w:r>
          </w:p>
          <w:p w14:paraId="637E229D">
            <w:pPr>
              <w:widowControl/>
              <w:jc w:val="left"/>
              <w:rPr>
                <w:rFonts w:ascii="宋体" w:hAnsi="宋体" w:cs="宋体"/>
                <w:color w:val="auto"/>
                <w:sz w:val="24"/>
                <w:szCs w:val="24"/>
                <w:lang w:bidi="ar"/>
              </w:rPr>
            </w:pPr>
            <w:r>
              <w:rPr>
                <w:rFonts w:hint="eastAsia" w:ascii="宋体" w:hAnsi="宋体" w:cs="宋体"/>
                <w:color w:val="auto"/>
                <w:sz w:val="24"/>
                <w:szCs w:val="24"/>
                <w:lang w:bidi="ar"/>
              </w:rPr>
              <w:t>32.运行环境温度：-10℃～40℃。</w:t>
            </w:r>
          </w:p>
          <w:p w14:paraId="7902DD90">
            <w:pPr>
              <w:widowControl/>
              <w:jc w:val="left"/>
              <w:textAlignment w:val="center"/>
              <w:rPr>
                <w:rFonts w:ascii="宋体" w:hAnsi="宋体" w:cs="宋体"/>
                <w:color w:val="auto"/>
                <w:kern w:val="0"/>
                <w:sz w:val="24"/>
                <w:szCs w:val="24"/>
                <w:lang w:bidi="ar"/>
              </w:rPr>
            </w:pPr>
            <w:r>
              <w:rPr>
                <w:rFonts w:hint="eastAsia" w:ascii="宋体" w:hAnsi="宋体" w:cs="宋体"/>
                <w:color w:val="auto"/>
                <w:sz w:val="24"/>
                <w:szCs w:val="24"/>
                <w:lang w:bidi="ar"/>
              </w:rPr>
              <w:t>33.运行环境湿度：10％～90％RH，无结露。</w:t>
            </w:r>
          </w:p>
          <w:p w14:paraId="7DFAD92A">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34.在供货时提供国家认可的具有相应检测资质的第三方检测机构出具的关于该产品的检测报告复印件，并加盖竞标人公章。</w:t>
            </w:r>
          </w:p>
          <w:p w14:paraId="1B6A2A34">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35. LED显示屏具有“中国国家强制性产品认证证书”（并在响应文件中提供相关认证证书复印件加盖竞标人公章）</w:t>
            </w:r>
          </w:p>
          <w:p w14:paraId="52E1CFCD">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36. LED显示屏具有“中国节能产品认证证书”（并在响应文件中提供相关认证证书复印件加盖竞标人公章）</w:t>
            </w:r>
          </w:p>
          <w:p w14:paraId="3BEDCD2E">
            <w:pPr>
              <w:widowControl/>
              <w:jc w:val="left"/>
              <w:textAlignment w:val="center"/>
              <w:rPr>
                <w:rFonts w:ascii="宋体" w:hAnsi="宋体" w:cs="宋体"/>
                <w:color w:val="auto"/>
                <w:kern w:val="0"/>
                <w:sz w:val="24"/>
                <w:szCs w:val="24"/>
                <w:highlight w:val="yellow"/>
                <w:lang w:bidi="ar"/>
              </w:rPr>
            </w:pPr>
            <w:r>
              <w:rPr>
                <w:rFonts w:hint="eastAsia" w:ascii="宋体" w:hAnsi="宋体" w:cs="宋体"/>
                <w:color w:val="auto"/>
                <w:kern w:val="0"/>
                <w:sz w:val="24"/>
                <w:szCs w:val="24"/>
                <w:lang w:bidi="ar"/>
              </w:rPr>
              <w:t>37. LED显示屏具有“环境标志（Ⅱ型）产品认证证书”（并在响应文件中提供相关认证证书复印件加盖竞标人公章）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2CE5322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嘉河JH-P1.2</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FC1F734">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19.66</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7F357B73">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3F68359C">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13B6B131">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62B86709">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拼接处理器二合一</w:t>
            </w:r>
          </w:p>
        </w:tc>
        <w:tc>
          <w:tcPr>
            <w:tcW w:w="5230" w:type="dxa"/>
            <w:tcBorders>
              <w:top w:val="single" w:color="000000" w:sz="4" w:space="0"/>
              <w:left w:val="single" w:color="000000" w:sz="4" w:space="0"/>
              <w:bottom w:val="single" w:color="000000" w:sz="4" w:space="0"/>
              <w:right w:val="single" w:color="000000" w:sz="4" w:space="0"/>
            </w:tcBorders>
            <w:vAlign w:val="center"/>
          </w:tcPr>
          <w:p w14:paraId="5755B3FD">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1.支持三画面布局。支持不少于1路HDMI1.4输入，2路DVI输入，1路SDI输入，最大输入分辨率≥1920×1200@60Hz。控制方式：前面板按键/USB接口上位机/232接口协议对接。1U机箱，AC100-240V电源输入。</w:t>
            </w:r>
          </w:p>
          <w:p w14:paraId="0DE6C415">
            <w:pPr>
              <w:widowControl/>
              <w:jc w:val="left"/>
              <w:textAlignment w:val="center"/>
              <w:rPr>
                <w:rFonts w:ascii="宋体" w:hAnsi="宋体" w:cs="宋体"/>
                <w:color w:val="auto"/>
                <w:kern w:val="0"/>
                <w:sz w:val="24"/>
                <w:szCs w:val="24"/>
                <w:highlight w:val="yellow"/>
                <w:lang w:bidi="ar"/>
              </w:rPr>
            </w:pPr>
            <w:r>
              <w:rPr>
                <w:rFonts w:hint="eastAsia" w:ascii="宋体" w:hAnsi="宋体" w:cs="宋体"/>
                <w:color w:val="auto"/>
                <w:kern w:val="0"/>
                <w:sz w:val="24"/>
                <w:szCs w:val="24"/>
                <w:lang w:bidi="ar"/>
              </w:rPr>
              <w:t>2. LED视频处理器具有“中国国家强制性产品认证证书”（并在响应文件中提供相关认证证书复印件，加盖竞标人公章）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68FD24EE">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嘉河JH-L100-C08</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527EAD5B">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60CD4F4D">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台</w:t>
            </w:r>
          </w:p>
        </w:tc>
      </w:tr>
      <w:tr w14:paraId="6A4E3FA1">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1BDD661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4F0075C5">
            <w:pPr>
              <w:widowControl/>
              <w:jc w:val="center"/>
              <w:textAlignment w:val="center"/>
              <w:rPr>
                <w:rFonts w:hint="eastAsia" w:ascii="宋体" w:hAnsi="宋体" w:cs="宋体"/>
                <w:color w:val="auto"/>
                <w:kern w:val="0"/>
                <w:sz w:val="24"/>
                <w:szCs w:val="24"/>
                <w:lang w:bidi="ar"/>
              </w:rPr>
            </w:pPr>
            <w:r>
              <w:rPr>
                <w:rFonts w:hint="eastAsia" w:ascii="宋体" w:hAnsi="宋体" w:cs="宋体"/>
                <w:color w:val="auto"/>
                <w:kern w:val="0"/>
                <w:sz w:val="24"/>
                <w:szCs w:val="24"/>
                <w:lang w:bidi="ar"/>
              </w:rPr>
              <w:t>LED定制结构</w:t>
            </w:r>
          </w:p>
          <w:p w14:paraId="17A2074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参考图见附图一</w:t>
            </w:r>
          </w:p>
        </w:tc>
        <w:tc>
          <w:tcPr>
            <w:tcW w:w="5230" w:type="dxa"/>
            <w:tcBorders>
              <w:top w:val="single" w:color="000000" w:sz="4" w:space="0"/>
              <w:left w:val="single" w:color="000000" w:sz="4" w:space="0"/>
              <w:bottom w:val="single" w:color="000000" w:sz="4" w:space="0"/>
              <w:right w:val="single" w:color="000000" w:sz="4" w:space="0"/>
            </w:tcBorders>
            <w:vAlign w:val="center"/>
          </w:tcPr>
          <w:p w14:paraId="3DFCF100">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1.安装结构能满足LED高清显示屏的整体均匀平滑要求，采用环保型材，结构应便于安装和调试。</w:t>
            </w:r>
          </w:p>
          <w:p w14:paraId="2BB6632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2.所有材料采用国家标准材料施工制作，防锈防氧化处理。</w:t>
            </w:r>
          </w:p>
          <w:p w14:paraId="0F073E1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3.结构设计标准：遵循《钢结构设计规范》及 《钢结构工程施工及验收规范》等要求。</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23E6C20B">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定制</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6AEDBDD">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19.66</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5D358C2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2D695831">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56EBFBAC">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4</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3622DCD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LED显示屏（圆柱形）（软屏幕定制）</w:t>
            </w:r>
          </w:p>
          <w:p w14:paraId="727DDD8B">
            <w:pPr>
              <w:widowControl/>
              <w:jc w:val="center"/>
              <w:textAlignment w:val="center"/>
              <w:rPr>
                <w:rFonts w:ascii="宋体" w:hAnsi="宋体" w:cs="宋体"/>
                <w:color w:val="auto"/>
                <w:kern w:val="0"/>
                <w:sz w:val="24"/>
                <w:szCs w:val="24"/>
                <w:lang w:bidi="ar"/>
              </w:rPr>
            </w:pPr>
          </w:p>
          <w:p w14:paraId="61A9105C">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参考图见附图二</w:t>
            </w:r>
          </w:p>
        </w:tc>
        <w:tc>
          <w:tcPr>
            <w:tcW w:w="5230" w:type="dxa"/>
            <w:tcBorders>
              <w:top w:val="single" w:color="000000" w:sz="4" w:space="0"/>
              <w:left w:val="single" w:color="000000" w:sz="4" w:space="0"/>
              <w:bottom w:val="single" w:color="000000" w:sz="4" w:space="0"/>
              <w:right w:val="single" w:color="000000" w:sz="4" w:space="0"/>
            </w:tcBorders>
            <w:vAlign w:val="center"/>
          </w:tcPr>
          <w:p w14:paraId="2DE584C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1.点间距：≤1.538mm；</w:t>
            </w:r>
          </w:p>
          <w:p w14:paraId="592444C0">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2.整体尺寸：≥3.84米×2.08米；</w:t>
            </w:r>
          </w:p>
          <w:p w14:paraId="5F6E4DE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3.模组分辨率（宽×高）：≥208点×104点。</w:t>
            </w:r>
          </w:p>
          <w:p w14:paraId="25AF235C">
            <w:pPr>
              <w:widowControl/>
              <w:jc w:val="left"/>
              <w:textAlignment w:val="center"/>
              <w:rPr>
                <w:rFonts w:hint="eastAsia" w:ascii="宋体" w:hAnsi="宋体" w:eastAsia="宋体" w:cs="宋体"/>
                <w:color w:val="auto"/>
                <w:kern w:val="0"/>
                <w:sz w:val="24"/>
                <w:szCs w:val="24"/>
                <w:lang w:eastAsia="zh-CN" w:bidi="ar"/>
              </w:rPr>
            </w:pPr>
            <w:r>
              <w:rPr>
                <w:rFonts w:hint="eastAsia" w:ascii="宋体" w:hAnsi="宋体" w:cs="宋体"/>
                <w:color w:val="auto"/>
                <w:kern w:val="0"/>
                <w:sz w:val="24"/>
                <w:szCs w:val="24"/>
                <w:lang w:bidi="ar"/>
              </w:rPr>
              <w:t>4.模组尺寸（宽×高）：320mm×160mm 。软屏幕，厚度≤10mm（含磁铁）。弯曲度≤45度</w:t>
            </w:r>
            <w:r>
              <w:rPr>
                <w:rFonts w:hint="eastAsia" w:ascii="宋体" w:hAnsi="宋体" w:cs="宋体"/>
                <w:color w:val="auto"/>
                <w:kern w:val="0"/>
                <w:sz w:val="24"/>
                <w:szCs w:val="24"/>
                <w:lang w:eastAsia="zh-CN" w:bidi="ar"/>
              </w:rPr>
              <w:t>。</w:t>
            </w:r>
          </w:p>
          <w:p w14:paraId="4AEC39B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5.亮度：≥600cd/㎡，亮度0～600cd/㎡可调，可手动、定时调节亮度，支持通过亮度传感器随环境变化自动调节亮暗，0～100%无级可调。</w:t>
            </w:r>
          </w:p>
          <w:p w14:paraId="63700623">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6刷新率≥3840Hz。</w:t>
            </w:r>
          </w:p>
          <w:p w14:paraId="5BA85DE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7. 水平视角/垂直视角：≥170°/170°。</w:t>
            </w:r>
          </w:p>
          <w:p w14:paraId="65285EE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8.模组间缝隙及平整度：≤0.1mm，发光点中心距偏差：≤0.1%。</w:t>
            </w:r>
          </w:p>
          <w:p w14:paraId="58CDD640">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9.亮度均匀性：≥99%，色度均匀性：±0.001  Cx，Cy之内。</w:t>
            </w:r>
          </w:p>
          <w:p w14:paraId="6BA14BA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10.对比度：≥15000:1。</w:t>
            </w:r>
          </w:p>
          <w:p w14:paraId="25DF85C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11.驱动方式：恒流驱动。</w:t>
            </w:r>
          </w:p>
          <w:p w14:paraId="0B1B195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12.低亮高灰，100%亮度时，16bit灰度；70%亮度时16bit灰度；50%亮度时15bit灰度；20%亮度时15bit灰度。</w:t>
            </w:r>
          </w:p>
          <w:p w14:paraId="29A85C2D">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13. 前后左右1米噪音≤6dB。</w:t>
            </w:r>
          </w:p>
          <w:p w14:paraId="3AE4F2F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14.换帧频率：50/60 Hz。</w:t>
            </w:r>
          </w:p>
          <w:p w14:paraId="7C4954D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15.屏体色温：1000～15000K可调。</w:t>
            </w:r>
          </w:p>
          <w:p w14:paraId="244923B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16.校正：支持亮度与色度逐点校正。</w:t>
            </w:r>
          </w:p>
          <w:p w14:paraId="24EBC1F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17. 校正数据存储在模块里，可进行逐点校正、色度校正。</w:t>
            </w:r>
          </w:p>
          <w:p w14:paraId="037D6AE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18.平均无故障时间≥50000小时。</w:t>
            </w:r>
          </w:p>
          <w:p w14:paraId="7D7A62D9">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19.像素失控率及盲点率：≤1/100000。</w:t>
            </w:r>
          </w:p>
          <w:p w14:paraId="5B2F1D9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20.观看舒适度：“人眼视觉舒适度（VICO）”指数低于2.0，去除100%紫外线，消除80%摩尔纹，基本无疲劳感1级，满足GB/T 44441-2024《LED 照明产品视觉健康舒适度测试》标准。</w:t>
            </w:r>
          </w:p>
          <w:p w14:paraId="398FD06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21.屏体安装结构：前/后安装，完全前维护，可贴墙安装、无需预留空间。</w:t>
            </w:r>
          </w:p>
          <w:p w14:paraId="5D3AB404">
            <w:pPr>
              <w:widowControl/>
              <w:jc w:val="left"/>
              <w:rPr>
                <w:rFonts w:ascii="宋体" w:hAnsi="宋体" w:cs="宋体"/>
                <w:color w:val="auto"/>
                <w:sz w:val="24"/>
                <w:szCs w:val="24"/>
                <w:lang w:bidi="ar"/>
              </w:rPr>
            </w:pPr>
            <w:r>
              <w:rPr>
                <w:rFonts w:hint="eastAsia" w:ascii="宋体" w:hAnsi="宋体" w:cs="宋体"/>
                <w:color w:val="auto"/>
                <w:sz w:val="24"/>
                <w:szCs w:val="24"/>
                <w:lang w:bidi="ar"/>
              </w:rPr>
              <w:t>22.脉冲、浪涌试验：电快速瞬变脉冲群试验，浪涌试验以及电压暂降和短时中断试验，试验结束后样品可正常工作。</w:t>
            </w:r>
          </w:p>
          <w:p w14:paraId="3018EAED">
            <w:pPr>
              <w:widowControl/>
              <w:jc w:val="left"/>
              <w:rPr>
                <w:rFonts w:ascii="宋体" w:hAnsi="宋体" w:cs="宋体"/>
                <w:color w:val="auto"/>
                <w:sz w:val="24"/>
                <w:szCs w:val="24"/>
                <w:lang w:bidi="ar"/>
              </w:rPr>
            </w:pPr>
            <w:r>
              <w:rPr>
                <w:rFonts w:hint="eastAsia" w:ascii="宋体" w:hAnsi="宋体" w:cs="宋体"/>
                <w:color w:val="auto"/>
                <w:sz w:val="24"/>
                <w:szCs w:val="24"/>
                <w:lang w:bidi="ar"/>
              </w:rPr>
              <w:t>23.抗紫外UV辐射：辐照强度0.76W/㎡，使用UVA340灯，温度60℃，冷凝温度50℃，24小时循环，试验后样品无异常可正常工作。</w:t>
            </w:r>
          </w:p>
          <w:p w14:paraId="46F94809">
            <w:pPr>
              <w:widowControl/>
              <w:jc w:val="left"/>
              <w:rPr>
                <w:rFonts w:ascii="宋体" w:hAnsi="宋体" w:cs="宋体"/>
                <w:color w:val="auto"/>
                <w:sz w:val="24"/>
                <w:szCs w:val="24"/>
                <w:lang w:bidi="ar"/>
              </w:rPr>
            </w:pPr>
            <w:r>
              <w:rPr>
                <w:rFonts w:hint="eastAsia" w:ascii="宋体" w:hAnsi="宋体" w:cs="宋体"/>
                <w:color w:val="auto"/>
                <w:sz w:val="24"/>
                <w:szCs w:val="24"/>
                <w:lang w:bidi="ar"/>
              </w:rPr>
              <w:t>24.抗压力及拉力要求：显示屏所选材料符合《GB/T15115-2024 压铸铝合金》标准，抗拉强度≥5000N，屈服强度≥5000N，硬度不小于70HBS。</w:t>
            </w:r>
          </w:p>
          <w:p w14:paraId="644D551D">
            <w:pPr>
              <w:widowControl/>
              <w:jc w:val="left"/>
              <w:rPr>
                <w:rFonts w:ascii="宋体" w:hAnsi="宋体" w:cs="宋体"/>
                <w:color w:val="auto"/>
                <w:sz w:val="24"/>
                <w:szCs w:val="24"/>
                <w:lang w:bidi="ar"/>
              </w:rPr>
            </w:pPr>
            <w:r>
              <w:rPr>
                <w:rFonts w:hint="eastAsia" w:ascii="宋体" w:hAnsi="宋体" w:cs="宋体"/>
                <w:color w:val="auto"/>
                <w:sz w:val="24"/>
                <w:szCs w:val="24"/>
                <w:lang w:bidi="ar"/>
              </w:rPr>
              <w:t>25.蓝光安全和光生物安全检测：光生物安全及蓝光危害检测，符合GB/T20145-2006标准要求，属于无危害类产品。进行蓝光对皮肤和眼睛紫外线危害，宽波段的光源对视网膜的危害，蓝光对皮肤表面及角膜和视网膜的辐射值检测。</w:t>
            </w:r>
          </w:p>
          <w:p w14:paraId="05C71D32">
            <w:pPr>
              <w:widowControl/>
              <w:jc w:val="left"/>
              <w:rPr>
                <w:rFonts w:ascii="宋体" w:hAnsi="宋体" w:cs="宋体"/>
                <w:color w:val="auto"/>
                <w:sz w:val="24"/>
                <w:szCs w:val="24"/>
                <w:lang w:bidi="ar"/>
              </w:rPr>
            </w:pPr>
            <w:r>
              <w:rPr>
                <w:rFonts w:hint="eastAsia" w:ascii="宋体" w:hAnsi="宋体" w:cs="宋体"/>
                <w:color w:val="auto"/>
                <w:sz w:val="24"/>
                <w:szCs w:val="24"/>
                <w:lang w:bidi="ar"/>
              </w:rPr>
              <w:t>26.阻燃（防火）：PCB的阻燃等级达到GB/T 2408 V-0级。试验过程中无滴落物，样品自燃10秒内熄灭，阻燃等级符合GB/T 2408 V-0级。显示屏整体/箱体，满足V-0级阻燃（防火）标准。</w:t>
            </w:r>
          </w:p>
          <w:p w14:paraId="42B7AA9B">
            <w:pPr>
              <w:widowControl/>
              <w:jc w:val="left"/>
              <w:rPr>
                <w:rFonts w:ascii="宋体" w:hAnsi="宋体" w:cs="宋体"/>
                <w:color w:val="auto"/>
                <w:sz w:val="24"/>
                <w:szCs w:val="24"/>
                <w:lang w:bidi="ar"/>
              </w:rPr>
            </w:pPr>
            <w:r>
              <w:rPr>
                <w:rFonts w:hint="eastAsia" w:ascii="宋体" w:hAnsi="宋体" w:cs="宋体"/>
                <w:color w:val="auto"/>
                <w:sz w:val="24"/>
                <w:szCs w:val="24"/>
                <w:lang w:bidi="ar"/>
              </w:rPr>
              <w:t>27.振动试验：符合SJ/T11141-2025《发光二极管（LED）显示屏通用规范》，对LED显示屏进行振动试验，试验后样品无损坏工作正常。</w:t>
            </w:r>
          </w:p>
          <w:p w14:paraId="1B18D2EE">
            <w:pPr>
              <w:widowControl/>
              <w:jc w:val="left"/>
              <w:rPr>
                <w:rFonts w:ascii="宋体" w:hAnsi="宋体" w:cs="宋体"/>
                <w:color w:val="auto"/>
                <w:sz w:val="24"/>
                <w:szCs w:val="24"/>
                <w:lang w:bidi="ar"/>
              </w:rPr>
            </w:pPr>
            <w:r>
              <w:rPr>
                <w:rFonts w:hint="eastAsia" w:ascii="宋体" w:hAnsi="宋体" w:cs="宋体"/>
                <w:color w:val="auto"/>
                <w:sz w:val="24"/>
                <w:szCs w:val="24"/>
                <w:lang w:bidi="ar"/>
              </w:rPr>
              <w:t xml:space="preserve">28.峰值功率：≤600W/㎡。平均功率：≤200W/㎡ 。  </w:t>
            </w:r>
          </w:p>
          <w:p w14:paraId="2260A70A">
            <w:pPr>
              <w:widowControl/>
              <w:jc w:val="left"/>
              <w:rPr>
                <w:rFonts w:ascii="宋体" w:hAnsi="宋体" w:cs="宋体"/>
                <w:color w:val="auto"/>
                <w:sz w:val="24"/>
                <w:szCs w:val="24"/>
                <w:lang w:bidi="ar"/>
              </w:rPr>
            </w:pPr>
            <w:r>
              <w:rPr>
                <w:rFonts w:hint="eastAsia" w:ascii="宋体" w:hAnsi="宋体" w:cs="宋体"/>
                <w:color w:val="auto"/>
                <w:sz w:val="24"/>
                <w:szCs w:val="24"/>
                <w:lang w:bidi="ar"/>
              </w:rPr>
              <w:t>29.工作电压：AC: 110V～240V（50/60 Hz）。</w:t>
            </w:r>
          </w:p>
          <w:p w14:paraId="70F4F569">
            <w:pPr>
              <w:widowControl/>
              <w:jc w:val="left"/>
              <w:rPr>
                <w:rFonts w:ascii="宋体" w:hAnsi="宋体" w:cs="宋体"/>
                <w:color w:val="auto"/>
                <w:sz w:val="24"/>
                <w:szCs w:val="24"/>
                <w:lang w:bidi="ar"/>
              </w:rPr>
            </w:pPr>
            <w:r>
              <w:rPr>
                <w:rFonts w:hint="eastAsia" w:ascii="宋体" w:hAnsi="宋体" w:cs="宋体"/>
                <w:color w:val="auto"/>
                <w:sz w:val="24"/>
                <w:szCs w:val="24"/>
                <w:lang w:bidi="ar"/>
              </w:rPr>
              <w:t>30.LED典型寿命 ≥10万小时。</w:t>
            </w:r>
          </w:p>
          <w:p w14:paraId="0077A1A1">
            <w:pPr>
              <w:widowControl/>
              <w:jc w:val="left"/>
              <w:rPr>
                <w:rFonts w:ascii="宋体" w:hAnsi="宋体" w:cs="宋体"/>
                <w:color w:val="auto"/>
                <w:sz w:val="24"/>
                <w:szCs w:val="24"/>
                <w:lang w:bidi="ar"/>
              </w:rPr>
            </w:pPr>
            <w:r>
              <w:rPr>
                <w:rFonts w:hint="eastAsia" w:ascii="宋体" w:hAnsi="宋体" w:cs="宋体"/>
                <w:color w:val="auto"/>
                <w:sz w:val="24"/>
                <w:szCs w:val="24"/>
                <w:lang w:bidi="ar"/>
              </w:rPr>
              <w:t>31.运行环境温度：-10℃～40℃。</w:t>
            </w:r>
          </w:p>
          <w:p w14:paraId="088040EF">
            <w:pPr>
              <w:widowControl/>
              <w:jc w:val="left"/>
              <w:textAlignment w:val="center"/>
              <w:rPr>
                <w:rFonts w:ascii="宋体" w:hAnsi="宋体" w:cs="宋体"/>
                <w:color w:val="auto"/>
                <w:kern w:val="0"/>
                <w:sz w:val="24"/>
                <w:szCs w:val="24"/>
                <w:lang w:bidi="ar"/>
              </w:rPr>
            </w:pPr>
            <w:r>
              <w:rPr>
                <w:rFonts w:hint="eastAsia" w:ascii="宋体" w:hAnsi="宋体" w:cs="宋体"/>
                <w:color w:val="auto"/>
                <w:sz w:val="24"/>
                <w:szCs w:val="24"/>
                <w:lang w:bidi="ar"/>
              </w:rPr>
              <w:t>32.运行环境湿度：10％～90％RH，无结露。</w:t>
            </w:r>
          </w:p>
          <w:p w14:paraId="3B47C114">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33.在供货时提供国家认可的具有相应检测资质的第三方检测机构出具的关于该产品的检测报告复印件，并加盖竞标人公章。</w:t>
            </w:r>
          </w:p>
          <w:p w14:paraId="4AC700B5">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34. LED显示屏具有“中国国家强制性产品认证证书”（并在响应文件中提供相关认证证书复印件加盖竞标人公章）</w:t>
            </w:r>
          </w:p>
          <w:p w14:paraId="4F72F938">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35. LED显示屏具有“中国节能产品认证证书”（并在响应文件中提供相关认证证书复印件加盖竞标人公章）</w:t>
            </w:r>
          </w:p>
          <w:p w14:paraId="08CFAE8A">
            <w:pPr>
              <w:widowControl/>
              <w:jc w:val="left"/>
              <w:textAlignment w:val="center"/>
              <w:rPr>
                <w:rFonts w:ascii="宋体" w:hAnsi="宋体" w:cs="宋体"/>
                <w:color w:val="auto"/>
                <w:kern w:val="0"/>
                <w:sz w:val="24"/>
                <w:szCs w:val="24"/>
                <w:highlight w:val="yellow"/>
                <w:lang w:bidi="ar"/>
              </w:rPr>
            </w:pPr>
            <w:r>
              <w:rPr>
                <w:rFonts w:hint="eastAsia" w:ascii="宋体" w:hAnsi="宋体" w:cs="宋体"/>
                <w:color w:val="auto"/>
                <w:kern w:val="0"/>
                <w:sz w:val="24"/>
                <w:szCs w:val="24"/>
                <w:lang w:bidi="ar"/>
              </w:rPr>
              <w:t>36. LED显示屏具有“环境标志（Ⅱ型）产品认证证书”（并在响应文件中提供相关认证证书复印件加盖竞标人公章）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2267ABC4">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嘉河JH-FCP1.5</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7E354A8D">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7.99</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5D7A06F2">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5684433E">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3D692751">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5</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06162E43">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拼接处理器</w:t>
            </w:r>
          </w:p>
        </w:tc>
        <w:tc>
          <w:tcPr>
            <w:tcW w:w="5230" w:type="dxa"/>
            <w:tcBorders>
              <w:top w:val="single" w:color="000000" w:sz="4" w:space="0"/>
              <w:left w:val="single" w:color="000000" w:sz="4" w:space="0"/>
              <w:bottom w:val="single" w:color="000000" w:sz="4" w:space="0"/>
              <w:right w:val="single" w:color="000000" w:sz="4" w:space="0"/>
            </w:tcBorders>
            <w:vAlign w:val="center"/>
          </w:tcPr>
          <w:p w14:paraId="1BF9800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二合一视频处理器。发送+视频处理。配置≥20个千兆网口输出。最宽≥16384点，最高8192点。配置≥2个万兆全双工LC接口单模双芯接口。支持六画面布局。支持不少于1路DP1.2输入，1路HDMI2.0输入、2路HDMI1.4输入，2路DVI输入，最大输入分辨率≥4096×2160@60Hz。控制方式：前面板按键/USB接口上位机/RJ45接口网络上位机/232接口协议对接。2U机箱，AC100-240V电源输入。</w:t>
            </w:r>
          </w:p>
          <w:p w14:paraId="4DB1758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2.LED视频处理器具有“中国国家强制性产品认证证书”（并在响应文件中提供相关认证证书复印件，加盖竞标人公章）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2BF63527">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嘉河JH-L100-C20</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1F61D7BC">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079E147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台</w:t>
            </w:r>
          </w:p>
        </w:tc>
      </w:tr>
      <w:tr w14:paraId="4870CECA">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2B1480D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6</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4C9F4704">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LED显示屏</w:t>
            </w:r>
            <w:r>
              <w:rPr>
                <w:rFonts w:hint="eastAsia" w:ascii="宋体" w:hAnsi="宋体" w:cs="宋体"/>
                <w:color w:val="auto"/>
                <w:kern w:val="0"/>
                <w:sz w:val="24"/>
                <w:szCs w:val="24"/>
                <w:lang w:bidi="ar"/>
              </w:rPr>
              <w:br w:type="textWrapping"/>
            </w:r>
            <w:r>
              <w:rPr>
                <w:rFonts w:hint="eastAsia" w:ascii="宋体" w:hAnsi="宋体" w:cs="宋体"/>
                <w:color w:val="auto"/>
                <w:kern w:val="0"/>
                <w:sz w:val="24"/>
                <w:szCs w:val="24"/>
                <w:lang w:bidi="ar"/>
              </w:rPr>
              <w:t>（空心圆）</w:t>
            </w:r>
          </w:p>
          <w:p w14:paraId="157443E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（定制）</w:t>
            </w:r>
          </w:p>
          <w:p w14:paraId="285E2B38">
            <w:pPr>
              <w:widowControl/>
              <w:jc w:val="center"/>
              <w:textAlignment w:val="center"/>
              <w:rPr>
                <w:rFonts w:ascii="宋体" w:hAnsi="宋体" w:cs="宋体"/>
                <w:color w:val="auto"/>
                <w:kern w:val="0"/>
                <w:sz w:val="24"/>
                <w:szCs w:val="24"/>
                <w:lang w:bidi="ar"/>
              </w:rPr>
            </w:pPr>
          </w:p>
          <w:p w14:paraId="3FACDA9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参考图见附图二</w:t>
            </w:r>
          </w:p>
        </w:tc>
        <w:tc>
          <w:tcPr>
            <w:tcW w:w="5230" w:type="dxa"/>
            <w:tcBorders>
              <w:top w:val="single" w:color="000000" w:sz="4" w:space="0"/>
              <w:left w:val="single" w:color="000000" w:sz="4" w:space="0"/>
              <w:bottom w:val="single" w:color="000000" w:sz="4" w:space="0"/>
              <w:right w:val="single" w:color="000000" w:sz="4" w:space="0"/>
            </w:tcBorders>
            <w:vAlign w:val="center"/>
          </w:tcPr>
          <w:p w14:paraId="65498A4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 点间距：≤1.538mm。尺寸，内圈直径1.2米、外圈直径2米（空心圆）</w:t>
            </w:r>
          </w:p>
          <w:p w14:paraId="514A6F9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2.支持前维护，定制</w:t>
            </w:r>
          </w:p>
          <w:p w14:paraId="2FA84E6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3.亮度（色温6500K）：≥600cd/㎡。</w:t>
            </w:r>
          </w:p>
          <w:p w14:paraId="66D5592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4.水平视角/垂直视角：≥160°/160°。</w:t>
            </w:r>
          </w:p>
          <w:p w14:paraId="21CA17C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5.平整度：≤0.1mm。发光点中心距偏差：≤1%。</w:t>
            </w:r>
          </w:p>
          <w:p w14:paraId="60FF8C6D">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6.亮度均匀性：≥99%。色度均匀性：±0.003  Cx，Cy之内。</w:t>
            </w:r>
          </w:p>
          <w:p w14:paraId="46BB2EF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7.对比度：</w:t>
            </w:r>
            <w:r>
              <w:rPr>
                <w:rFonts w:hint="eastAsia" w:ascii="宋体" w:hAnsi="宋体" w:cs="宋体"/>
                <w:color w:val="auto"/>
                <w:kern w:val="0"/>
                <w:sz w:val="20"/>
                <w:szCs w:val="20"/>
                <w:lang w:bidi="ar"/>
              </w:rPr>
              <w:t>≥</w:t>
            </w:r>
            <w:r>
              <w:rPr>
                <w:rFonts w:hint="eastAsia" w:ascii="宋体" w:hAnsi="宋体" w:cs="宋体"/>
                <w:color w:val="auto"/>
                <w:kern w:val="0"/>
                <w:sz w:val="24"/>
                <w:szCs w:val="24"/>
                <w:lang w:bidi="ar"/>
              </w:rPr>
              <w:t>5000:1。颜色处理位数：16bit。</w:t>
            </w:r>
          </w:p>
          <w:p w14:paraId="16051C10">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8.灰度级别：65536。驱动方式：恒流驱动。</w:t>
            </w:r>
          </w:p>
          <w:p w14:paraId="5D1247F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9.低亮高灰，刷新率≥3840Hz时，100%亮度，灰度≥16bit。刷新率≥3840Hz时，50%亮度，灰度≥14bit。刷新率≥3840Hz时，20%亮度，灰度≥12bit。</w:t>
            </w:r>
          </w:p>
          <w:p w14:paraId="216074E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10.前后左右1米噪音≤18dB。</w:t>
            </w:r>
          </w:p>
          <w:p w14:paraId="0C717A0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11.换帧频率：50/60 Hz。</w:t>
            </w:r>
          </w:p>
          <w:p w14:paraId="7863AD5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12.屏体色温：2000～15000K可调。</w:t>
            </w:r>
          </w:p>
          <w:p w14:paraId="22FDEF6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13.校正：支持亮度与色度逐点校正。</w:t>
            </w:r>
          </w:p>
          <w:p w14:paraId="02D5DB39">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14.校正数据存储在模块里，可进行逐点校正、色度校正。</w:t>
            </w:r>
          </w:p>
          <w:p w14:paraId="6147D1E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15.峰值功率：≤600W/㎡。平均功率：200W/㎡。</w:t>
            </w:r>
          </w:p>
          <w:p w14:paraId="1B4C6D9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16.工作电压：AC: 110V～240V（50/60 Hz）。</w:t>
            </w:r>
          </w:p>
          <w:p w14:paraId="5E157FE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17.LED典型寿命≥10万小时。</w:t>
            </w:r>
          </w:p>
          <w:p w14:paraId="79D82A9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18.运行环境温度：-20℃～60℃。</w:t>
            </w:r>
          </w:p>
          <w:p w14:paraId="74E6B7B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19.运行环境湿度：20％～80％RH，无结露。</w:t>
            </w:r>
          </w:p>
          <w:p w14:paraId="522412F2">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20.在供货时提供国家认可的具有相应检测资质的第三方检测机构出具的关于该产品的检测报告复印件，并加盖竞标人公章。</w:t>
            </w:r>
          </w:p>
          <w:p w14:paraId="4CF7B1CB">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21.LED显示屏具有“中国国家强制性产品认证证书”（并在响应文件中提供相关认证证书复印件加盖竞标人公章）</w:t>
            </w:r>
          </w:p>
          <w:p w14:paraId="556C9774">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22.LED显示屏具有“中国节能产品认证证书”（并在响应文件中提供相关认证证书复印件加盖竞标人公章）</w:t>
            </w:r>
          </w:p>
          <w:p w14:paraId="41FB2DC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23.LED显示屏具有“环境标志（Ⅱ型）产品认证证书”（并在响应文件中提供相关认证证书复印件加盖竞标人公章）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C17458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嘉河JH-GCP1.5</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3D3A5B7">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2.01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69890424">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23927F03">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2ABA02EF">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7</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3D0F65B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拼接处理器</w:t>
            </w:r>
          </w:p>
        </w:tc>
        <w:tc>
          <w:tcPr>
            <w:tcW w:w="5230" w:type="dxa"/>
            <w:tcBorders>
              <w:top w:val="single" w:color="000000" w:sz="4" w:space="0"/>
              <w:left w:val="single" w:color="000000" w:sz="4" w:space="0"/>
              <w:bottom w:val="single" w:color="000000" w:sz="4" w:space="0"/>
              <w:right w:val="single" w:color="000000" w:sz="4" w:space="0"/>
            </w:tcBorders>
            <w:vAlign w:val="center"/>
          </w:tcPr>
          <w:p w14:paraId="12BDDD9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支持发送+视频处理。配置≥8个千兆网口输出。最大带载≥520万像素，最宽≥8192点，最高≥4096点。支持三画面布局。支持不少于1路HDMI1.4输入，2路DVI输入，1路SDI输入，最大输入分辨率≥1920×1200@60Hz。控制方式：前面板按键/USB接口上位机/232接口协议对接。1U机箱，AC100-240V电源输入。</w:t>
            </w:r>
          </w:p>
          <w:p w14:paraId="18EBE2D3">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2.LED视频处理器具有“中国国家强制性产品认证证书”（并在响应文件中提供相关认证证书复印件加盖竞标人公章）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2C6965C3">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嘉河JH-L100-C08</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271AAA7">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3DACA714">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台</w:t>
            </w:r>
          </w:p>
        </w:tc>
      </w:tr>
      <w:tr w14:paraId="491F8D9B">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461F5A4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8</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519E7B3B">
            <w:pPr>
              <w:widowControl/>
              <w:jc w:val="center"/>
              <w:textAlignment w:val="center"/>
              <w:rPr>
                <w:rFonts w:hint="eastAsia" w:ascii="宋体" w:hAnsi="宋体" w:cs="宋体"/>
                <w:color w:val="auto"/>
                <w:kern w:val="0"/>
                <w:sz w:val="24"/>
                <w:szCs w:val="24"/>
                <w:lang w:bidi="ar"/>
              </w:rPr>
            </w:pPr>
            <w:r>
              <w:rPr>
                <w:rFonts w:hint="eastAsia" w:ascii="宋体" w:hAnsi="宋体" w:cs="宋体"/>
                <w:color w:val="auto"/>
                <w:kern w:val="0"/>
                <w:sz w:val="24"/>
                <w:szCs w:val="24"/>
                <w:lang w:bidi="ar"/>
              </w:rPr>
              <w:t>LED定制结构</w:t>
            </w:r>
          </w:p>
          <w:p w14:paraId="3BD71482">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参考图见附图二</w:t>
            </w:r>
          </w:p>
        </w:tc>
        <w:tc>
          <w:tcPr>
            <w:tcW w:w="5230" w:type="dxa"/>
            <w:tcBorders>
              <w:top w:val="single" w:color="000000" w:sz="4" w:space="0"/>
              <w:left w:val="single" w:color="000000" w:sz="4" w:space="0"/>
              <w:bottom w:val="single" w:color="000000" w:sz="4" w:space="0"/>
              <w:right w:val="single" w:color="000000" w:sz="4" w:space="0"/>
            </w:tcBorders>
            <w:vAlign w:val="center"/>
          </w:tcPr>
          <w:p w14:paraId="453A9A5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1.安装结构能满足LED高清显示屏的整体均匀平滑要求，采用环保型材，结构应便于安装和调试。</w:t>
            </w:r>
          </w:p>
          <w:p w14:paraId="743FD0A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2.所有材料采用国家标准材料施工制作，防锈防氧化处理。</w:t>
            </w:r>
          </w:p>
          <w:p w14:paraId="4F34505D">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3.结构设计标准：遵循《钢结构设计规范》及 《钢结构工程施工及验收规范》等要求。</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24FBD462">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定制</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C0F69D9">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10</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265C972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1E67FA31">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5A88565D">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9</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3B660C92">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LED显示屏（软屏幕）</w:t>
            </w:r>
          </w:p>
          <w:p w14:paraId="54FD0E43">
            <w:pPr>
              <w:widowControl/>
              <w:jc w:val="center"/>
              <w:textAlignment w:val="center"/>
              <w:rPr>
                <w:rFonts w:ascii="宋体" w:hAnsi="宋体" w:cs="宋体"/>
                <w:color w:val="auto"/>
                <w:kern w:val="0"/>
                <w:sz w:val="24"/>
                <w:szCs w:val="24"/>
                <w:lang w:bidi="ar"/>
              </w:rPr>
            </w:pPr>
          </w:p>
          <w:p w14:paraId="0B18F649">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参考图见附图三</w:t>
            </w:r>
          </w:p>
        </w:tc>
        <w:tc>
          <w:tcPr>
            <w:tcW w:w="5230" w:type="dxa"/>
            <w:tcBorders>
              <w:top w:val="single" w:color="000000" w:sz="4" w:space="0"/>
              <w:left w:val="single" w:color="000000" w:sz="4" w:space="0"/>
              <w:bottom w:val="single" w:color="000000" w:sz="4" w:space="0"/>
              <w:right w:val="single" w:color="000000" w:sz="4" w:space="0"/>
            </w:tcBorders>
            <w:vAlign w:val="center"/>
          </w:tcPr>
          <w:p w14:paraId="57AD0F1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1.点间距：≤1.538mm。</w:t>
            </w:r>
          </w:p>
          <w:p w14:paraId="25296EA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2.整体尺寸：≥3.2米×1.92米。</w:t>
            </w:r>
          </w:p>
          <w:p w14:paraId="4187C3F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3.模组分辨率（宽×高）：208点×104点。</w:t>
            </w:r>
          </w:p>
          <w:p w14:paraId="10755111">
            <w:pPr>
              <w:widowControl/>
              <w:jc w:val="left"/>
              <w:textAlignment w:val="center"/>
              <w:rPr>
                <w:rFonts w:hint="eastAsia" w:ascii="宋体" w:hAnsi="宋体" w:eastAsia="宋体" w:cs="宋体"/>
                <w:color w:val="auto"/>
                <w:kern w:val="0"/>
                <w:sz w:val="24"/>
                <w:szCs w:val="24"/>
                <w:lang w:eastAsia="zh-CN" w:bidi="ar"/>
              </w:rPr>
            </w:pPr>
            <w:r>
              <w:rPr>
                <w:rFonts w:hint="eastAsia" w:ascii="宋体" w:hAnsi="宋体" w:cs="宋体"/>
                <w:color w:val="auto"/>
                <w:kern w:val="0"/>
                <w:sz w:val="24"/>
                <w:szCs w:val="24"/>
                <w:lang w:bidi="ar"/>
              </w:rPr>
              <w:t>4.模组尺寸（宽×高）：320mm×160mm。软屏幕，厚度≤10mm（含磁铁）。弯曲度≤45度</w:t>
            </w:r>
            <w:r>
              <w:rPr>
                <w:rFonts w:hint="eastAsia" w:ascii="宋体" w:hAnsi="宋体" w:cs="宋体"/>
                <w:color w:val="auto"/>
                <w:kern w:val="0"/>
                <w:sz w:val="24"/>
                <w:szCs w:val="24"/>
                <w:lang w:eastAsia="zh-CN" w:bidi="ar"/>
              </w:rPr>
              <w:t>。</w:t>
            </w:r>
          </w:p>
          <w:p w14:paraId="7FB3C27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5.亮度：≥600cd/㎡，亮度0-600cd/㎡可调，可设置亮度手动、定时调节，支持通过亮度传感器随环境变化亮暗自动调节，0～100%无级可调。</w:t>
            </w:r>
          </w:p>
          <w:p w14:paraId="2E37CEB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6刷新率≥3840Hz。</w:t>
            </w:r>
          </w:p>
          <w:p w14:paraId="2E01C54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7.水平视角/垂直视角：≥170°/170°。</w:t>
            </w:r>
          </w:p>
          <w:p w14:paraId="14F91DB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8.模组间缝隙及平整度：≤0.1mm，发光点中心距偏差：≤0.1%。</w:t>
            </w:r>
          </w:p>
          <w:p w14:paraId="33F6AE4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9.亮度均匀性：≥99%，色度均匀性：±0.001  Cx，Cy之内。</w:t>
            </w:r>
          </w:p>
          <w:p w14:paraId="1989CD9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10.对比度：≥15000:1。</w:t>
            </w:r>
          </w:p>
          <w:p w14:paraId="56A0D8D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11.驱动方式：恒流驱动。</w:t>
            </w:r>
          </w:p>
          <w:p w14:paraId="73ACB3A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12.低亮高灰，100%亮度时，16bit灰度；70%亮度时16bit灰度；50%亮度时15bit灰度；20%亮度时15bit灰度。</w:t>
            </w:r>
          </w:p>
          <w:p w14:paraId="437438C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13.前后左右1米噪音≤6dB。</w:t>
            </w:r>
          </w:p>
          <w:p w14:paraId="5CB2E58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14.换帧频率：50/60 Hz。</w:t>
            </w:r>
          </w:p>
          <w:p w14:paraId="561D92C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15.屏体色温：1000～15000K可调。</w:t>
            </w:r>
          </w:p>
          <w:p w14:paraId="4795222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16.校正：支持亮度与色度逐点校正。</w:t>
            </w:r>
          </w:p>
          <w:p w14:paraId="3F4D0D89">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17.校正数据存储在模块里，可进行逐点校正、色度校正。</w:t>
            </w:r>
          </w:p>
          <w:p w14:paraId="0A0D1DE9">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18.平均无故障时间≥50000小时。</w:t>
            </w:r>
          </w:p>
          <w:p w14:paraId="34411EA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19.像素失控率及盲点率：≤1/100000。</w:t>
            </w:r>
          </w:p>
          <w:p w14:paraId="4141D08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20.观看舒适度：“人眼视觉舒适度（VICO）”指数低于2.0，去除100%紫外线，消除80%摩尔纹，基本无疲劳感1级，满足GB/T 44441-2024《LED 照明产品视觉健康舒适度测试》标准。</w:t>
            </w:r>
          </w:p>
          <w:p w14:paraId="14EA6992">
            <w:pPr>
              <w:widowControl/>
              <w:jc w:val="left"/>
              <w:textAlignment w:val="center"/>
              <w:rPr>
                <w:rFonts w:ascii="宋体" w:hAnsi="宋体" w:cs="宋体"/>
                <w:color w:val="auto"/>
                <w:kern w:val="0"/>
                <w:sz w:val="24"/>
                <w:szCs w:val="24"/>
                <w:highlight w:val="yellow"/>
                <w:lang w:bidi="ar"/>
              </w:rPr>
            </w:pPr>
            <w:r>
              <w:rPr>
                <w:rFonts w:hint="eastAsia" w:ascii="宋体" w:hAnsi="宋体" w:cs="宋体"/>
                <w:color w:val="auto"/>
                <w:kern w:val="0"/>
                <w:sz w:val="24"/>
                <w:szCs w:val="24"/>
                <w:lang w:bidi="ar"/>
              </w:rPr>
              <w:t>21.屏体安装结构：前/后安装，完全前维护，可贴墙安装、无需预留空间。</w:t>
            </w:r>
          </w:p>
          <w:p w14:paraId="7FE0D04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22.脉冲、浪涌试验：电快速瞬变脉冲群试验，浪涌试验以及电压暂降和短时中断试验，试验结束后样品可正常工作。</w:t>
            </w:r>
          </w:p>
          <w:p w14:paraId="6EA3A74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23.抗紫外UV辐射：辐照强度0.76W/㎡，使用UVA340灯，温度60℃，冷凝温度50℃，24小时循环，试验后样品无异常可正常工作。</w:t>
            </w:r>
          </w:p>
          <w:p w14:paraId="1756684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24.抗压力及拉力要求：显示屏所选材料符合《GB/T15115-2024 压铸铝合金》标准，抗拉强度≥5000N，屈服强度≥5000N，硬度不小于70HBS。</w:t>
            </w:r>
          </w:p>
          <w:p w14:paraId="68EB38E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25.蓝光安全和光生物安全检测：光生物安全及蓝光危害检测，符合GB/T20145-2006标准要求，属于无危害类产品。检测蓝光对皮肤和眼睛的紫外线危害，宽波段的光源对视网膜的危害，以及蓝光对皮肤表面、角膜和视网膜的辐射值。</w:t>
            </w:r>
          </w:p>
          <w:p w14:paraId="22F27F83">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26.阻燃（防火）：PCB的阻燃等级达到GB/T 2408 V-0级。试验过程中无滴落物，样品自燃10秒内熄灭，阻燃等级符合GB/T 2408 V-0级。显示屏整体/箱体，满足V-0级阻燃（防火）标准。</w:t>
            </w:r>
          </w:p>
          <w:p w14:paraId="4C1281A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27.振动试验：符合SJ/T11141-2025《发光二极管（LED）显示屏通用规范》，对LED显示屏进行振动试验，试验后样品无损坏工作正常。</w:t>
            </w:r>
          </w:p>
          <w:p w14:paraId="7D04E54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 xml:space="preserve">28.峰值功率：≤600W/㎡。平均功率：200W/㎡ 。  </w:t>
            </w:r>
          </w:p>
          <w:p w14:paraId="3FDD513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29.工作电压：AC: 110V～240V（50/60 Hz）。</w:t>
            </w:r>
          </w:p>
          <w:p w14:paraId="2881F5F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30.LED典型寿命 ≥10万小时。</w:t>
            </w:r>
          </w:p>
          <w:p w14:paraId="1CC5BAA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31.运行环境温度：-10℃～40℃。</w:t>
            </w:r>
          </w:p>
          <w:p w14:paraId="689776A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32.运行环境湿度：10％～90％RH，无结露。</w:t>
            </w:r>
          </w:p>
          <w:p w14:paraId="15AFF5E2">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33.在供货时提供国家认可的具有相应检测资质的第三方检测机构出具的关于该产品的检测报告复印件，并加盖竞标人公章。</w:t>
            </w:r>
          </w:p>
          <w:p w14:paraId="1A789354">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34.LED显示屏具有“中国国家强制性产品认证证书”（并在响应文件中提供相关认证证书复印件加盖竞标人公章）</w:t>
            </w:r>
          </w:p>
          <w:p w14:paraId="1EB8C82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35.LED显示屏具有“中国节能产品认证证书”（并在响应文件中提供相关认证证书复印件加盖竞标人公章）</w:t>
            </w:r>
          </w:p>
          <w:p w14:paraId="31E309F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36.LED显示屏具有“环境标志（Ⅱ型）产品认证证书”（并在响应文件中提供相关认证证书复印件加盖竞标人公章）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6E02DA84">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嘉河JH-FCP1.5</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7E85EF3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6.15</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7336F52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27A59E18">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15F5EA9E">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10</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16366773">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拼接处理器二合一</w:t>
            </w:r>
          </w:p>
        </w:tc>
        <w:tc>
          <w:tcPr>
            <w:tcW w:w="5230" w:type="dxa"/>
            <w:tcBorders>
              <w:top w:val="single" w:color="000000" w:sz="4" w:space="0"/>
              <w:left w:val="single" w:color="000000" w:sz="4" w:space="0"/>
              <w:bottom w:val="single" w:color="000000" w:sz="4" w:space="0"/>
              <w:right w:val="single" w:color="000000" w:sz="4" w:space="0"/>
            </w:tcBorders>
            <w:vAlign w:val="center"/>
          </w:tcPr>
          <w:p w14:paraId="402B5529">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1.支持三画面布局。支持不少于1路HDMI1.4输入，2路DVI输入，1路SDI输入，最大输入分辨率≥1920×1200@60Hz。控制方式：前面板按键/USB接口上位机/232接口协议对接。1U机箱，AC100-240V电源输入。</w:t>
            </w:r>
          </w:p>
          <w:p w14:paraId="596ECA14">
            <w:pPr>
              <w:widowControl/>
              <w:jc w:val="left"/>
              <w:textAlignment w:val="center"/>
              <w:rPr>
                <w:rFonts w:ascii="宋体" w:hAnsi="宋体" w:cs="宋体"/>
                <w:color w:val="auto"/>
                <w:kern w:val="0"/>
                <w:sz w:val="24"/>
                <w:szCs w:val="24"/>
                <w:highlight w:val="yellow"/>
                <w:lang w:bidi="ar"/>
              </w:rPr>
            </w:pPr>
            <w:r>
              <w:rPr>
                <w:rFonts w:hint="eastAsia" w:ascii="宋体" w:hAnsi="宋体" w:cs="宋体"/>
                <w:color w:val="auto"/>
                <w:kern w:val="0"/>
                <w:sz w:val="24"/>
                <w:szCs w:val="24"/>
                <w:lang w:bidi="ar"/>
              </w:rPr>
              <w:t>2. LED视频处理器具有“中国国家强制性产品认证证书”（并在响应文件中提供相关认证证书复印件，加盖竞标人公章）。</w:t>
            </w:r>
          </w:p>
          <w:p w14:paraId="0A4B4659">
            <w:pPr>
              <w:widowControl/>
              <w:jc w:val="left"/>
              <w:textAlignment w:val="center"/>
              <w:rPr>
                <w:rFonts w:ascii="宋体" w:hAnsi="宋体" w:cs="宋体"/>
                <w:color w:val="auto"/>
                <w:kern w:val="0"/>
                <w:sz w:val="24"/>
                <w:szCs w:val="24"/>
                <w:highlight w:val="yellow"/>
                <w:lang w:bidi="ar"/>
              </w:rPr>
            </w:pPr>
            <w:r>
              <w:rPr>
                <w:rFonts w:hint="eastAsia" w:ascii="宋体" w:hAnsi="宋体" w:cs="宋体"/>
                <w:color w:val="auto"/>
                <w:kern w:val="0"/>
                <w:sz w:val="24"/>
                <w:szCs w:val="24"/>
                <w:lang w:bidi="ar"/>
              </w:rPr>
              <w:t>2.LED视频处理器具有“中国国家强制性产品认证证书”（并在响应文件中提供相关认证证书复印件加盖竞标人公章）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4D6791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嘉河JH-L100-C08</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32EFEFAC">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39CA798B">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台</w:t>
            </w:r>
          </w:p>
        </w:tc>
      </w:tr>
      <w:tr w14:paraId="40123C64">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17AEB4F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11</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60441BA0">
            <w:pPr>
              <w:widowControl/>
              <w:jc w:val="center"/>
              <w:textAlignment w:val="center"/>
              <w:rPr>
                <w:rFonts w:hint="eastAsia" w:ascii="宋体" w:hAnsi="宋体" w:cs="宋体"/>
                <w:color w:val="auto"/>
                <w:kern w:val="0"/>
                <w:sz w:val="24"/>
                <w:szCs w:val="24"/>
                <w:lang w:bidi="ar"/>
              </w:rPr>
            </w:pPr>
            <w:r>
              <w:rPr>
                <w:rFonts w:hint="eastAsia" w:ascii="宋体" w:hAnsi="宋体" w:cs="宋体"/>
                <w:color w:val="auto"/>
                <w:kern w:val="0"/>
                <w:sz w:val="24"/>
                <w:szCs w:val="24"/>
                <w:lang w:bidi="ar"/>
              </w:rPr>
              <w:t>LED定制结构</w:t>
            </w:r>
          </w:p>
          <w:p w14:paraId="2461550E">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参考图见附图三</w:t>
            </w:r>
          </w:p>
        </w:tc>
        <w:tc>
          <w:tcPr>
            <w:tcW w:w="5230" w:type="dxa"/>
            <w:tcBorders>
              <w:top w:val="single" w:color="000000" w:sz="4" w:space="0"/>
              <w:left w:val="single" w:color="000000" w:sz="4" w:space="0"/>
              <w:bottom w:val="single" w:color="000000" w:sz="4" w:space="0"/>
              <w:right w:val="single" w:color="000000" w:sz="4" w:space="0"/>
            </w:tcBorders>
            <w:vAlign w:val="center"/>
          </w:tcPr>
          <w:p w14:paraId="4508AE1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1.安装结构能满足LED高清显示屏的整体均匀平滑要求，采用环保型材，结构应便于安装和调试。</w:t>
            </w:r>
          </w:p>
          <w:p w14:paraId="790B5E13">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2.所有材料采用国家标准材料施工制作，防锈防氧化处理。</w:t>
            </w:r>
          </w:p>
          <w:p w14:paraId="4425082C">
            <w:pPr>
              <w:widowControl/>
              <w:jc w:val="left"/>
              <w:textAlignment w:val="center"/>
              <w:rPr>
                <w:rFonts w:ascii="宋体" w:hAnsi="宋体" w:cs="宋体"/>
                <w:color w:val="auto"/>
                <w:kern w:val="0"/>
                <w:sz w:val="24"/>
                <w:szCs w:val="24"/>
                <w:highlight w:val="yellow"/>
                <w:lang w:bidi="ar"/>
              </w:rPr>
            </w:pPr>
            <w:r>
              <w:rPr>
                <w:rFonts w:hint="eastAsia" w:ascii="宋体" w:hAnsi="宋体" w:cs="宋体"/>
                <w:color w:val="auto"/>
                <w:kern w:val="0"/>
                <w:sz w:val="24"/>
                <w:szCs w:val="24"/>
                <w:lang w:bidi="ar"/>
              </w:rPr>
              <w:t>3.结构设计标准：遵循《钢结构设计规范》及 《钢结构工程施工及验收规范》等要求。</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BB750D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定制</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22A4D4D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6.15</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288637A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4D1268D2">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16A394AF">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12</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1C8BB493">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Kinect互动装置</w:t>
            </w:r>
          </w:p>
        </w:tc>
        <w:tc>
          <w:tcPr>
            <w:tcW w:w="5230" w:type="dxa"/>
            <w:tcBorders>
              <w:top w:val="single" w:color="000000" w:sz="4" w:space="0"/>
              <w:left w:val="single" w:color="000000" w:sz="4" w:space="0"/>
              <w:bottom w:val="single" w:color="000000" w:sz="4" w:space="0"/>
              <w:right w:val="single" w:color="000000" w:sz="4" w:space="0"/>
            </w:tcBorders>
            <w:vAlign w:val="center"/>
          </w:tcPr>
          <w:p w14:paraId="369B2B5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1.感应器：深度感应镜头（≥320×240分辨率，16bit，30fps）和彩色镜头（≥640×480分辨率，32bit，30fps）。</w:t>
            </w:r>
          </w:p>
          <w:p w14:paraId="79D999F0">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2.音效：16bit，16kHz，支持语音聊天和回声消除。</w:t>
            </w:r>
          </w:p>
          <w:p w14:paraId="2BF39263">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3.视野：水平≥57度，垂直≥43度，追踪范围1.2</w:t>
            </w:r>
            <w:r>
              <w:rPr>
                <w:rFonts w:hint="eastAsia" w:ascii="宋体" w:hAnsi="宋体" w:cs="宋体"/>
                <w:color w:val="auto"/>
                <w:sz w:val="24"/>
                <w:szCs w:val="24"/>
              </w:rPr>
              <w:t>～</w:t>
            </w:r>
            <w:r>
              <w:rPr>
                <w:rFonts w:hint="eastAsia" w:ascii="宋体" w:hAnsi="宋体" w:cs="宋体"/>
                <w:color w:val="auto"/>
                <w:kern w:val="0"/>
                <w:sz w:val="24"/>
                <w:szCs w:val="24"/>
                <w:lang w:bidi="ar"/>
              </w:rPr>
              <w:t>3.5米。</w:t>
            </w:r>
          </w:p>
          <w:p w14:paraId="3A439FB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4.语音识别：支持多语言，≥4麦克风阵列。</w:t>
            </w:r>
          </w:p>
          <w:p w14:paraId="4F539283">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5.功能特性</w:t>
            </w:r>
          </w:p>
          <w:p w14:paraId="542893A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（1）最多同时追踪≥6人；</w:t>
            </w:r>
          </w:p>
          <w:p w14:paraId="33B5C610">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（2）支持骨骼追踪（≥48个骨骼点）、面部识别和手势控制；</w:t>
            </w:r>
          </w:p>
          <w:p w14:paraId="5F7C1D7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（3）支持≥1080P高清视频，改进骨骼追踪（≥25个骨骼点/人）；</w:t>
            </w:r>
          </w:p>
          <w:p w14:paraId="37834D46">
            <w:pPr>
              <w:widowControl/>
              <w:jc w:val="left"/>
              <w:textAlignment w:val="center"/>
              <w:rPr>
                <w:rFonts w:ascii="宋体" w:hAnsi="宋体" w:cs="宋体"/>
                <w:color w:val="auto"/>
                <w:kern w:val="0"/>
                <w:sz w:val="24"/>
                <w:szCs w:val="24"/>
                <w:highlight w:val="yellow"/>
                <w:lang w:bidi="ar"/>
              </w:rPr>
            </w:pPr>
            <w:r>
              <w:rPr>
                <w:rFonts w:hint="eastAsia" w:ascii="宋体" w:hAnsi="宋体" w:cs="宋体"/>
                <w:color w:val="auto"/>
                <w:kern w:val="0"/>
                <w:sz w:val="24"/>
                <w:szCs w:val="24"/>
                <w:lang w:bidi="ar"/>
              </w:rPr>
              <w:t>（4）支持主动式红外检测、拇指追踪和手势识别。</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4338579D">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XBOXkinect2.0</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385EC1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23BE0D5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套</w:t>
            </w:r>
          </w:p>
        </w:tc>
      </w:tr>
      <w:tr w14:paraId="608DC8BD">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564C0C31">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13</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3E7C8DB7">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雷达互动装置</w:t>
            </w:r>
          </w:p>
        </w:tc>
        <w:tc>
          <w:tcPr>
            <w:tcW w:w="5230" w:type="dxa"/>
            <w:tcBorders>
              <w:top w:val="single" w:color="000000" w:sz="4" w:space="0"/>
              <w:left w:val="single" w:color="000000" w:sz="4" w:space="0"/>
              <w:bottom w:val="single" w:color="000000" w:sz="4" w:space="0"/>
              <w:right w:val="single" w:color="000000" w:sz="4" w:space="0"/>
            </w:tcBorders>
            <w:vAlign w:val="center"/>
          </w:tcPr>
          <w:p w14:paraId="4B557E1F">
            <w:pPr>
              <w:widowControl/>
              <w:jc w:val="left"/>
              <w:textAlignment w:val="center"/>
              <w:rPr>
                <w:rFonts w:ascii="宋体" w:hAnsi="宋体" w:cs="宋体"/>
                <w:color w:val="auto"/>
                <w:kern w:val="0"/>
                <w:sz w:val="24"/>
                <w:szCs w:val="24"/>
                <w:highlight w:val="yellow"/>
                <w:lang w:bidi="ar"/>
              </w:rPr>
            </w:pPr>
            <w:r>
              <w:rPr>
                <w:rFonts w:hint="eastAsia" w:ascii="宋体" w:hAnsi="宋体" w:cs="宋体"/>
                <w:color w:val="auto"/>
                <w:kern w:val="0"/>
                <w:sz w:val="24"/>
                <w:szCs w:val="24"/>
                <w:lang w:bidi="ar"/>
              </w:rPr>
              <w:t>扫描角度：≥240°，触点数量：20 点～255 点，支持多人同时互动，可识别对象：手指、手掌、触控笔、人体（≥10cm 物体）</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29D4408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星秒SIMO-LS-10HM</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4EBC7001">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6</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2E21C4F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套</w:t>
            </w:r>
          </w:p>
        </w:tc>
      </w:tr>
      <w:tr w14:paraId="22B9D8B7">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3A5ADD6B">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14</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4AED14C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LED显示屏</w:t>
            </w:r>
          </w:p>
        </w:tc>
        <w:tc>
          <w:tcPr>
            <w:tcW w:w="5230" w:type="dxa"/>
            <w:tcBorders>
              <w:top w:val="single" w:color="000000" w:sz="4" w:space="0"/>
              <w:left w:val="single" w:color="000000" w:sz="4" w:space="0"/>
              <w:bottom w:val="single" w:color="000000" w:sz="4" w:space="0"/>
              <w:right w:val="single" w:color="000000" w:sz="4" w:space="0"/>
            </w:tcBorders>
            <w:vAlign w:val="center"/>
          </w:tcPr>
          <w:p w14:paraId="04431E5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1.点间距：≤1.8605mm。</w:t>
            </w:r>
          </w:p>
          <w:p w14:paraId="1DF0AA3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2.整体尺寸：≥（3.2米×0.64米）×2块</w:t>
            </w:r>
          </w:p>
          <w:p w14:paraId="34BF681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3.模组分辨率（宽×高）：≥172点×86点。</w:t>
            </w:r>
          </w:p>
          <w:p w14:paraId="2E09C95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4.模组尺寸（宽×高）：320mm×160mm。厚度≤10mm（含磁铁）</w:t>
            </w:r>
          </w:p>
          <w:p w14:paraId="487F1B20">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5.亮度：≥600cd/㎡，亮度0-600cd/㎡可调，可设置亮度手动、定时调节，支持通过亮度传感器随环境变化亮暗自动调节，0～100%无级可调。</w:t>
            </w:r>
          </w:p>
          <w:p w14:paraId="4F407DC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6刷新率≥3840Hz。</w:t>
            </w:r>
          </w:p>
          <w:p w14:paraId="78253ADD">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7. 水平视角/垂直视角：≥170°/170°。</w:t>
            </w:r>
          </w:p>
          <w:p w14:paraId="475023C0">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8.模组间缝隙及平整度：≤0.1mm，发光点中心距偏差：≤0.1%。</w:t>
            </w:r>
          </w:p>
          <w:p w14:paraId="6878532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9.亮度均匀性：≥99%，色度均匀性：±0.001  Cx，Cy之内。</w:t>
            </w:r>
          </w:p>
          <w:p w14:paraId="6B1A7679">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10.对比度：≥15000:1。</w:t>
            </w:r>
          </w:p>
          <w:p w14:paraId="713FFD7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11.驱动方式：恒流驱动。</w:t>
            </w:r>
          </w:p>
          <w:p w14:paraId="3EEB7B4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12.低亮高灰，100%亮度时，16bit灰度；70%亮度时16bit灰度；50%亮度时15bit灰度；20%亮度时15bit灰度。</w:t>
            </w:r>
          </w:p>
          <w:p w14:paraId="6AE5EDF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13. 前后左右1米噪音≤6dB。</w:t>
            </w:r>
          </w:p>
          <w:p w14:paraId="11E646D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14.换帧频率：50/60 Hz。</w:t>
            </w:r>
          </w:p>
          <w:p w14:paraId="4A395FF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15.屏体色温：1000～15000K可调。</w:t>
            </w:r>
          </w:p>
          <w:p w14:paraId="1623F5E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16.校正：支持亮度与色度逐点校正。</w:t>
            </w:r>
          </w:p>
          <w:p w14:paraId="7C9D70F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17.校正数据存储在模块里，可进行逐点校正、色度校正。</w:t>
            </w:r>
          </w:p>
          <w:p w14:paraId="3F038999">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18.平均无故障时间≥50000小时。</w:t>
            </w:r>
          </w:p>
          <w:p w14:paraId="05C2929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19.像素失控率及盲点率：≤1/100000。</w:t>
            </w:r>
          </w:p>
          <w:p w14:paraId="147D924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20.观看舒适度：“人眼视觉舒适度（VICO）”指数低于2.0，去除100%紫外线，消除80%摩尔纹，基本无疲劳感1级，满足GB/T 44441-2024《LED 照明产品视觉健康舒适度测试》标准。</w:t>
            </w:r>
          </w:p>
          <w:p w14:paraId="306274B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21.屏体安装结构：前/后安装，完全前维护，可贴墙安装、无需预留空间。</w:t>
            </w:r>
          </w:p>
          <w:p w14:paraId="4C240A5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22.脉冲、浪涌试验：电快速瞬变脉冲群试验，浪涌试验以及电压暂降和短时中断试验，试验结束后样品可正常工作。</w:t>
            </w:r>
          </w:p>
          <w:p w14:paraId="1DAD632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23.抗紫外UV辐射：辐照强度0.76W/㎡，使用UVA340灯，温度60℃，冷凝温度50℃，24小时循环，试验后样品无异常可正常工作。</w:t>
            </w:r>
          </w:p>
          <w:p w14:paraId="1FC0B35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24.抗压力及拉力要求：显示屏所选材料符合《GB/T15115-2024 压铸铝合金》标准，抗拉强度≥5000N，屈服强度≥5000N，硬度不小于70HBS。</w:t>
            </w:r>
          </w:p>
          <w:p w14:paraId="3EAC0B7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25.蓝光安全和光生物安全检测：光生物安全及蓝光危害检测，符合GB/T20145-2006标准要求，属于无危害类产品。检测蓝光对皮肤和眼睛的紫外线危害，宽波段的光源对视网膜的危害，以及蓝光对皮肤表面及角膜和视网膜的辐射值。</w:t>
            </w:r>
          </w:p>
          <w:p w14:paraId="694069F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26.阻燃（防火）：PCB的阻燃等级达到GB/T 2408 V-0级。试验过程中无滴落物，样品自燃10秒内熄灭，阻燃等级符合GB/T 2408 V-0级。显示屏整体/箱体，满足V-0级阻燃（防火）标准。</w:t>
            </w:r>
          </w:p>
          <w:p w14:paraId="672DCFC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27.振动试验：符合SJ/T11141-2025《发光二极管（LED）显示屏通用规范》，对LED显示屏进行振动试验，试验后样品无损坏工作正常。</w:t>
            </w:r>
          </w:p>
          <w:p w14:paraId="6388846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 xml:space="preserve">28.峰值功率：≤600W/㎡。平均功率：≤200W/㎡ 。  </w:t>
            </w:r>
          </w:p>
          <w:p w14:paraId="074BE9A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29.工作电压：AC: 110V～240V（50/60 Hz）。</w:t>
            </w:r>
          </w:p>
          <w:p w14:paraId="064EEEFB">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30.LED典型寿命 ≥10万小时。</w:t>
            </w:r>
          </w:p>
          <w:p w14:paraId="1D32C1B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31.运行环境温度：-10℃～40℃。</w:t>
            </w:r>
          </w:p>
          <w:p w14:paraId="3F3E5B9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32.运行环境湿度：10％～90％RH，无结露。</w:t>
            </w:r>
          </w:p>
          <w:p w14:paraId="564CFFC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33.在供货时提供国家认可的具有相应检测资质的第三方检测机构出具的关于该产品的检测报告复印件，并加盖竞标人公章。</w:t>
            </w:r>
          </w:p>
          <w:p w14:paraId="62FD778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34.LED显示屏具有“中国国家强制性产品认证证书”（并在响应文件中提供相关认证证书复印件加盖竞标人公章）</w:t>
            </w:r>
          </w:p>
          <w:p w14:paraId="30DEF75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35.LED显示屏具有“中国节能产品认证证书”（并在响应文件中提供相关认证证书复印件加盖竞标人公章）</w:t>
            </w:r>
          </w:p>
          <w:p w14:paraId="74C2BBA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36.LED显示屏具有“环境标志（Ⅱ型）产品认证证书”（并在响应文件中提供相关认证证书复印件加盖竞标人公章）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6DA5348E">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w:t>
            </w:r>
          </w:p>
          <w:p w14:paraId="75DE0B6B">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JH-P1.8</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268EDFF">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4.1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6E7F3FA7">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14FEDBDC">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4EBB9F4C">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15</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0EDB1701">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拼接处理器二合一</w:t>
            </w:r>
          </w:p>
        </w:tc>
        <w:tc>
          <w:tcPr>
            <w:tcW w:w="5230" w:type="dxa"/>
            <w:tcBorders>
              <w:top w:val="single" w:color="000000" w:sz="4" w:space="0"/>
              <w:left w:val="single" w:color="000000" w:sz="4" w:space="0"/>
              <w:bottom w:val="single" w:color="000000" w:sz="4" w:space="0"/>
              <w:right w:val="single" w:color="000000" w:sz="4" w:space="0"/>
            </w:tcBorders>
            <w:vAlign w:val="center"/>
          </w:tcPr>
          <w:p w14:paraId="060E4687">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1.二合一联网播放盒。发送+联网播放。配置≥2个千兆网口输出。最大带载≥130万像素，最宽4096点，最高2560点。控制方式：USB接口上位机/RJ45接口网络上位机/Wi-Fi网络上位机。可增配4G模块、GPS定位。内置Android OS 9.0系统，≥32G存储内存（节目可用25G），支持U盘即插即播。供电电源DC12V。</w:t>
            </w:r>
          </w:p>
          <w:p w14:paraId="6CB44F4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2.LED视频处理器具有“中国国家强制性产品认证证书”（并在响应文件中提供相关认证证书复印件加盖竞标人公章）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C5162E1">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JH-YC02A</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394B2BB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13D95E2F">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台</w:t>
            </w:r>
          </w:p>
        </w:tc>
      </w:tr>
      <w:tr w14:paraId="277DFE61">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104555E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16</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74990FE3">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LED定制结构</w:t>
            </w:r>
          </w:p>
          <w:p w14:paraId="4EFD1D43">
            <w:pPr>
              <w:widowControl/>
              <w:jc w:val="center"/>
              <w:textAlignment w:val="center"/>
              <w:rPr>
                <w:rFonts w:hint="eastAsia" w:ascii="宋体" w:hAnsi="宋体" w:cs="宋体"/>
                <w:color w:val="auto"/>
                <w:kern w:val="0"/>
                <w:sz w:val="24"/>
                <w:szCs w:val="24"/>
                <w:lang w:bidi="ar"/>
              </w:rPr>
            </w:pPr>
            <w:r>
              <w:rPr>
                <w:rFonts w:hint="eastAsia" w:ascii="宋体" w:hAnsi="宋体" w:cs="宋体"/>
                <w:color w:val="auto"/>
                <w:kern w:val="0"/>
                <w:sz w:val="24"/>
                <w:szCs w:val="24"/>
                <w:lang w:bidi="ar"/>
              </w:rPr>
              <w:t>过道区</w:t>
            </w:r>
          </w:p>
        </w:tc>
        <w:tc>
          <w:tcPr>
            <w:tcW w:w="5230" w:type="dxa"/>
            <w:tcBorders>
              <w:top w:val="single" w:color="000000" w:sz="4" w:space="0"/>
              <w:left w:val="single" w:color="000000" w:sz="4" w:space="0"/>
              <w:bottom w:val="single" w:color="000000" w:sz="4" w:space="0"/>
              <w:right w:val="single" w:color="000000" w:sz="4" w:space="0"/>
            </w:tcBorders>
            <w:vAlign w:val="center"/>
          </w:tcPr>
          <w:p w14:paraId="5F5882D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1.安装结构能满足LED高清显示屏的整体均匀平滑要求，采用环保型材，结构应便于安装和调试。</w:t>
            </w:r>
          </w:p>
          <w:p w14:paraId="61A00A0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2.所有材料采用国家标准材料施工制作，防锈防氧化处理。</w:t>
            </w:r>
          </w:p>
          <w:p w14:paraId="53ACC66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3.结构设计标准：遵循《钢结构设计规范》及 《钢结构工程施工及验收规范》等要求。</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2643D81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定制</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13C614E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4.1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311C588E">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67EE6C68">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27948AF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17</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08A3A9EE">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LED显示屏</w:t>
            </w:r>
          </w:p>
          <w:p w14:paraId="09BAC989">
            <w:pPr>
              <w:widowControl/>
              <w:jc w:val="center"/>
              <w:textAlignment w:val="center"/>
              <w:rPr>
                <w:rFonts w:ascii="宋体" w:hAnsi="宋体" w:cs="宋体"/>
                <w:color w:val="auto"/>
                <w:kern w:val="0"/>
                <w:sz w:val="24"/>
                <w:szCs w:val="24"/>
                <w:lang w:bidi="ar"/>
              </w:rPr>
            </w:pPr>
          </w:p>
          <w:p w14:paraId="5DD2377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屏二（软屏幕）参考图见附图四</w:t>
            </w:r>
          </w:p>
        </w:tc>
        <w:tc>
          <w:tcPr>
            <w:tcW w:w="5230" w:type="dxa"/>
            <w:tcBorders>
              <w:top w:val="single" w:color="000000" w:sz="4" w:space="0"/>
              <w:left w:val="single" w:color="000000" w:sz="4" w:space="0"/>
              <w:bottom w:val="single" w:color="000000" w:sz="4" w:space="0"/>
              <w:right w:val="single" w:color="000000" w:sz="4" w:space="0"/>
            </w:tcBorders>
            <w:vAlign w:val="center"/>
          </w:tcPr>
          <w:p w14:paraId="64A731B0">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1.点间距：≤1.8605mm。</w:t>
            </w:r>
          </w:p>
          <w:p w14:paraId="7D2A1C21">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2.整体尺寸：屏一≥（7.3米×2.65米），屏二≥（16米×0.64米），屏三≥（1.92米*1.6米）</w:t>
            </w:r>
          </w:p>
          <w:p w14:paraId="53860D1B">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3.模组分辨率（宽×高）：≥172点×86点。</w:t>
            </w:r>
          </w:p>
          <w:p w14:paraId="58B1AD08">
            <w:pPr>
              <w:widowControl/>
              <w:jc w:val="left"/>
              <w:rPr>
                <w:rFonts w:hint="eastAsia" w:ascii="宋体" w:hAnsi="宋体" w:eastAsia="宋体" w:cs="宋体"/>
                <w:color w:val="auto"/>
                <w:kern w:val="0"/>
                <w:sz w:val="24"/>
                <w:szCs w:val="24"/>
                <w:lang w:eastAsia="zh-CN" w:bidi="ar"/>
              </w:rPr>
            </w:pPr>
            <w:r>
              <w:rPr>
                <w:rFonts w:hint="eastAsia" w:ascii="宋体" w:hAnsi="宋体" w:cs="宋体"/>
                <w:color w:val="auto"/>
                <w:kern w:val="0"/>
                <w:sz w:val="24"/>
                <w:szCs w:val="24"/>
                <w:lang w:bidi="ar"/>
              </w:rPr>
              <w:t>4.模组尺寸（宽×高）：320mm×160mm。厚度≤10mm（含磁铁）</w:t>
            </w:r>
            <w:r>
              <w:rPr>
                <w:rFonts w:hint="eastAsia" w:ascii="宋体" w:hAnsi="宋体" w:cs="宋体"/>
                <w:color w:val="auto"/>
                <w:kern w:val="0"/>
                <w:sz w:val="24"/>
                <w:szCs w:val="24"/>
                <w:lang w:eastAsia="zh-CN" w:bidi="ar"/>
              </w:rPr>
              <w:t>（</w:t>
            </w:r>
            <w:r>
              <w:rPr>
                <w:rFonts w:hint="eastAsia" w:ascii="宋体" w:hAnsi="宋体" w:cs="宋体"/>
                <w:color w:val="auto"/>
                <w:kern w:val="0"/>
                <w:sz w:val="24"/>
                <w:szCs w:val="24"/>
                <w:lang w:val="en-US" w:eastAsia="zh-CN" w:bidi="ar"/>
              </w:rPr>
              <w:t>屏一与屏三</w:t>
            </w:r>
            <w:r>
              <w:rPr>
                <w:rFonts w:hint="eastAsia" w:ascii="宋体" w:hAnsi="宋体" w:cs="宋体"/>
                <w:color w:val="auto"/>
                <w:kern w:val="0"/>
                <w:sz w:val="24"/>
                <w:szCs w:val="24"/>
                <w:lang w:eastAsia="zh-CN" w:bidi="ar"/>
              </w:rPr>
              <w:t>）；</w:t>
            </w:r>
          </w:p>
          <w:p w14:paraId="43FF2A88">
            <w:pPr>
              <w:widowControl/>
              <w:jc w:val="left"/>
              <w:rPr>
                <w:rFonts w:hint="eastAsia" w:ascii="宋体" w:hAnsi="宋体" w:cs="宋体"/>
                <w:color w:val="auto"/>
                <w:kern w:val="0"/>
                <w:sz w:val="24"/>
                <w:szCs w:val="24"/>
                <w:lang w:bidi="ar"/>
              </w:rPr>
            </w:pPr>
            <w:r>
              <w:rPr>
                <w:rFonts w:hint="eastAsia" w:ascii="宋体" w:hAnsi="宋体" w:cs="宋体"/>
                <w:color w:val="auto"/>
                <w:kern w:val="0"/>
                <w:sz w:val="24"/>
                <w:szCs w:val="24"/>
                <w:lang w:bidi="ar"/>
              </w:rPr>
              <w:t>软屏幕</w:t>
            </w:r>
            <w:r>
              <w:rPr>
                <w:rFonts w:hint="eastAsia" w:ascii="宋体" w:hAnsi="宋体" w:cs="宋体"/>
                <w:color w:val="auto"/>
                <w:kern w:val="0"/>
                <w:sz w:val="24"/>
                <w:szCs w:val="24"/>
                <w:lang w:eastAsia="zh-CN" w:bidi="ar"/>
              </w:rPr>
              <w:t>（</w:t>
            </w:r>
            <w:r>
              <w:rPr>
                <w:rFonts w:hint="eastAsia" w:ascii="宋体" w:hAnsi="宋体" w:cs="宋体"/>
                <w:color w:val="auto"/>
                <w:kern w:val="0"/>
                <w:sz w:val="24"/>
                <w:szCs w:val="24"/>
                <w:lang w:val="en-US" w:eastAsia="zh-CN" w:bidi="ar"/>
              </w:rPr>
              <w:t>屏二</w:t>
            </w:r>
            <w:r>
              <w:rPr>
                <w:rFonts w:hint="eastAsia" w:ascii="宋体" w:hAnsi="宋体" w:cs="宋体"/>
                <w:color w:val="auto"/>
                <w:kern w:val="0"/>
                <w:sz w:val="24"/>
                <w:szCs w:val="24"/>
                <w:lang w:eastAsia="zh-CN" w:bidi="ar"/>
              </w:rPr>
              <w:t>）</w:t>
            </w:r>
            <w:r>
              <w:rPr>
                <w:rFonts w:hint="eastAsia" w:ascii="宋体" w:hAnsi="宋体" w:cs="宋体"/>
                <w:color w:val="auto"/>
                <w:kern w:val="0"/>
                <w:sz w:val="24"/>
                <w:szCs w:val="24"/>
                <w:lang w:bidi="ar"/>
              </w:rPr>
              <w:t>，厚度≤10mm（含磁铁）。弯曲度≤45度。</w:t>
            </w:r>
          </w:p>
          <w:p w14:paraId="3347FF2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5.亮度：≥600cd/㎡，亮度0-600cd/㎡可调，可设置亮度手动、定时调节，支持通过亮度传感器随环境变化亮暗自动调节，0～100%无级可调。</w:t>
            </w:r>
          </w:p>
          <w:p w14:paraId="6C141637">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6刷新率≥3840Hz。</w:t>
            </w:r>
          </w:p>
          <w:p w14:paraId="59A52BC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7. 水平视角/垂直视角：≥170°/170°。</w:t>
            </w:r>
          </w:p>
          <w:p w14:paraId="308D2512">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8.模组间缝隙及平整度：≤0.1mm，发光点中心距偏差：≤0.1%。</w:t>
            </w:r>
          </w:p>
          <w:p w14:paraId="31D3EAB9">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9.亮度均匀性：≥99%，色度均匀性：±0.001  Cx，Cy之内。</w:t>
            </w:r>
          </w:p>
          <w:p w14:paraId="29E0841D">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10.对比度：≥15000:1。</w:t>
            </w:r>
          </w:p>
          <w:p w14:paraId="25391C43">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11.驱动方式：恒流驱动。</w:t>
            </w:r>
          </w:p>
          <w:p w14:paraId="1AFDF402">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12.低亮高灰，100%亮度时，16bit灰度；70%亮度时16bit灰度；50%亮度时15bit灰度；20%亮度时15bit灰度。</w:t>
            </w:r>
          </w:p>
          <w:p w14:paraId="1B86B703">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13. 前后左右1米噪音≤6dB。</w:t>
            </w:r>
          </w:p>
          <w:p w14:paraId="1A27B01B">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14.换帧频率：50/60 Hz。</w:t>
            </w:r>
          </w:p>
          <w:p w14:paraId="7F9BB041">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15.屏体色温：1000～15000K可调。</w:t>
            </w:r>
          </w:p>
          <w:p w14:paraId="12C5B383">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16.校正：支持亮度与色度逐点校正。</w:t>
            </w:r>
          </w:p>
          <w:p w14:paraId="458472D8">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17.校正数据存储在模块里，可进行逐点校正、色度校正。</w:t>
            </w:r>
          </w:p>
          <w:p w14:paraId="0536A289">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18.平均无故障时间≥50000小时。</w:t>
            </w:r>
          </w:p>
          <w:p w14:paraId="1C0621FC">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19.像素失控率及盲点率：≤1/100000。</w:t>
            </w:r>
          </w:p>
          <w:p w14:paraId="32528D93">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20.观看舒适度：“人眼视觉舒适度（VICO）”指数低于2.0，去除100%紫外线，消除80%摩尔纹，基本无疲劳感1级，满足GB/T 44441-2024《LED 照明产品视觉健康舒适度测试》标准。</w:t>
            </w:r>
          </w:p>
          <w:p w14:paraId="240E0FC1">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21.屏体安装结构：前/后安装，完全前维护，可贴墙安装、无需预留空间。</w:t>
            </w:r>
          </w:p>
          <w:p w14:paraId="4A7F204D">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22.脉冲、浪涌试验：电快速瞬变脉冲群试验，浪涌试验以及电压暂降和短时中断试验，试验结束后样品可正常工作。</w:t>
            </w:r>
          </w:p>
          <w:p w14:paraId="0A0704DD">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23.抗紫外UV辐射：辐照强度0.76W/㎡，使用UVA340灯，温度60℃，冷凝温度50℃，24小时循环，试验后样品无异常可正常工作。</w:t>
            </w:r>
          </w:p>
          <w:p w14:paraId="4A52526C">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24.抗压力及拉力要求：显示屏所选材料符合《GB/T15115-2024 压铸铝合金》标准，抗拉强度≥5000N，屈服强度≥5000N，硬度不小于70HBS。</w:t>
            </w:r>
          </w:p>
          <w:p w14:paraId="5330E5A8">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25.蓝光安全和光生物安全检测：光生物安全及蓝光危害检测，符合GB/T20145-2006标准要求，属于无危害类产品。检测蓝光对皮肤和眼睛紫外线危害，宽波段的光源对视网膜的危害，以及蓝光对皮肤表面及角膜和视网膜的辐射值检测。</w:t>
            </w:r>
          </w:p>
          <w:p w14:paraId="15E73181">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26.阻燃（防火）：PCB的阻燃等级达到GB/T 2408 V-0级。试验过程中无滴落物，样品自燃10秒内熄灭，阻燃等级符合GB/T 2408 V-0级。显示屏整体/箱体，满足V-0级阻燃（防火）标准。</w:t>
            </w:r>
          </w:p>
          <w:p w14:paraId="6162E2AD">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27.振动试验：符合SJ/T11141-2025《发光二极管（LED）显示屏通用规范》，对LED显示屏进行振动试验，试验后样品无损坏工作正常。</w:t>
            </w:r>
          </w:p>
          <w:p w14:paraId="299EE542">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 xml:space="preserve">28.峰值功率：≤600W/㎡。平均功率：≤200W/㎡ 。  </w:t>
            </w:r>
          </w:p>
          <w:p w14:paraId="4FCDE9B8">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29.工作电压：AC: 110V～240V（50/60 Hz）。</w:t>
            </w:r>
          </w:p>
          <w:p w14:paraId="298C2265">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30.LED典型寿命 ≥10万小时。</w:t>
            </w:r>
          </w:p>
          <w:p w14:paraId="00103B69">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31.运行环境温度：-10℃～40℃。</w:t>
            </w:r>
          </w:p>
          <w:p w14:paraId="09C3DFE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32.运行环境湿度：10％～90％RH，无结露。</w:t>
            </w:r>
          </w:p>
          <w:p w14:paraId="3A71293D">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33.在供货时提供国家认可的具有相应检测资质的第三方检测机构出具的关于该产品的检测报告复印件，并加盖竞标人公章。</w:t>
            </w:r>
          </w:p>
          <w:p w14:paraId="2247D083">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34.LED显示屏具有“中国国家强制性产品认证证书”（并在响应文件中提供相关认证证书复印件加盖竞标人公章）</w:t>
            </w:r>
          </w:p>
          <w:p w14:paraId="38170091">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35.LED显示屏具有“中国节能产品认证证书”（并在响应文件中提供相关认证证书复印件加盖竞标人公章）</w:t>
            </w:r>
          </w:p>
          <w:p w14:paraId="657D7F62">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36.LED显示屏具有“环境标志（Ⅱ型）产品认证证书”（并在响应文件中提供相关认证证书复印件加盖竞标人公章）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1A8CC219">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JH-P1.8</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24FEF759">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32.1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6463E8FF">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3E8AFF3F">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40C1AF97">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18</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617A1D94">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拼接处理器二合一</w:t>
            </w:r>
          </w:p>
        </w:tc>
        <w:tc>
          <w:tcPr>
            <w:tcW w:w="5230" w:type="dxa"/>
            <w:tcBorders>
              <w:top w:val="single" w:color="000000" w:sz="4" w:space="0"/>
              <w:left w:val="single" w:color="000000" w:sz="4" w:space="0"/>
              <w:bottom w:val="single" w:color="000000" w:sz="4" w:space="0"/>
              <w:right w:val="single" w:color="000000" w:sz="4" w:space="0"/>
            </w:tcBorders>
            <w:vAlign w:val="center"/>
          </w:tcPr>
          <w:p w14:paraId="24CD9BE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二合一视频处理器。发送+视频处理。配置≥12个千兆网口输出。最大带载≥780万像素，最宽8192点，最高4096点。三画面布局。配置≥3路HDMI1.4输入，1路DVI输入，最大输入分辨率≥1920×1200@60Hz。控制方式：前面板按键/USB接口上位机/232接口协议对接。1U机箱，AC100-240V电源输入。</w:t>
            </w:r>
          </w:p>
          <w:p w14:paraId="7EE36873">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2.LED视频处理器具有“中国国家强制性产品认证证书”（并在响应文件中提供相关认证证书复印件，加盖竞标人公章）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752AFB0F">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JH-L100-C12</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CEE754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3314C309">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台</w:t>
            </w:r>
          </w:p>
        </w:tc>
      </w:tr>
      <w:tr w14:paraId="2F21975A">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756ED89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19</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38782EB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拼接处理器二合一</w:t>
            </w:r>
          </w:p>
        </w:tc>
        <w:tc>
          <w:tcPr>
            <w:tcW w:w="5230" w:type="dxa"/>
            <w:tcBorders>
              <w:top w:val="single" w:color="000000" w:sz="4" w:space="0"/>
              <w:left w:val="single" w:color="000000" w:sz="4" w:space="0"/>
              <w:bottom w:val="single" w:color="000000" w:sz="4" w:space="0"/>
              <w:right w:val="single" w:color="000000" w:sz="4" w:space="0"/>
            </w:tcBorders>
            <w:vAlign w:val="center"/>
          </w:tcPr>
          <w:p w14:paraId="75A4E0B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1.二合一联网播放盒。发送+联网播放。配置≥2个千兆网口输出。最大带载≥130万像素，最宽4096点，最高2560点。控制方式：USB接口上位机/RJ45接口网络上位机/Wi-Fi网络上位机。可增配4G模块、GPS定位。内置Android OS 9.0系统或同等系统，≥32G存储内存（节目可用25G），支持U盘即插即播。供电电源DC12V。</w:t>
            </w:r>
          </w:p>
          <w:p w14:paraId="514ED70D">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2.LED视频处理器具有“中国国家强制性产品认证证书”（并在响应文件中提供相关认证证书复印件，加盖竞标人公章）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589CFB7E">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JH-YC02A</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1968EE9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6995B3D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台</w:t>
            </w:r>
          </w:p>
        </w:tc>
      </w:tr>
      <w:tr w14:paraId="4F6DA8DB">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36B8136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20</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022F494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LED定制结构</w:t>
            </w:r>
          </w:p>
          <w:p w14:paraId="4ECD9A6E">
            <w:pPr>
              <w:widowControl/>
              <w:jc w:val="center"/>
              <w:textAlignment w:val="center"/>
              <w:rPr>
                <w:rFonts w:hint="eastAsia" w:ascii="宋体" w:hAnsi="宋体" w:cs="宋体"/>
                <w:color w:val="auto"/>
                <w:kern w:val="0"/>
                <w:sz w:val="24"/>
                <w:szCs w:val="24"/>
                <w:lang w:bidi="ar"/>
              </w:rPr>
            </w:pPr>
            <w:r>
              <w:rPr>
                <w:rFonts w:hint="eastAsia" w:ascii="宋体" w:hAnsi="宋体" w:cs="宋体"/>
                <w:color w:val="auto"/>
                <w:kern w:val="0"/>
                <w:sz w:val="24"/>
                <w:szCs w:val="24"/>
                <w:lang w:bidi="ar"/>
              </w:rPr>
              <w:t>屏二（软屏幕）参考图见附图四</w:t>
            </w:r>
          </w:p>
        </w:tc>
        <w:tc>
          <w:tcPr>
            <w:tcW w:w="5230" w:type="dxa"/>
            <w:tcBorders>
              <w:top w:val="single" w:color="000000" w:sz="4" w:space="0"/>
              <w:left w:val="single" w:color="000000" w:sz="4" w:space="0"/>
              <w:bottom w:val="single" w:color="000000" w:sz="4" w:space="0"/>
              <w:right w:val="single" w:color="000000" w:sz="4" w:space="0"/>
            </w:tcBorders>
            <w:vAlign w:val="center"/>
          </w:tcPr>
          <w:p w14:paraId="40AA4E6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1.安装结构能满足LED高清显示屏的整体均匀平滑要求，采用环保型材，结构应便于安装和调试。</w:t>
            </w:r>
          </w:p>
          <w:p w14:paraId="608E49C3">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2.所有材料采用国家标准材料施工制作，防锈防氧化处理。</w:t>
            </w:r>
          </w:p>
          <w:p w14:paraId="4DB0AC35">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3.结构设计标准：遵循《钢结构设计规范》及 《钢结构工程施工及验收规范》等要求。</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DCB5C73">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定制</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4DA6708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32.1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0537F98F">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14E31808">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3CF3C575">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21</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6EEAE28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LED显示屏</w:t>
            </w:r>
          </w:p>
        </w:tc>
        <w:tc>
          <w:tcPr>
            <w:tcW w:w="5230" w:type="dxa"/>
            <w:tcBorders>
              <w:top w:val="single" w:color="000000" w:sz="4" w:space="0"/>
              <w:left w:val="single" w:color="000000" w:sz="4" w:space="0"/>
              <w:bottom w:val="single" w:color="000000" w:sz="4" w:space="0"/>
              <w:right w:val="single" w:color="000000" w:sz="4" w:space="0"/>
            </w:tcBorders>
            <w:vAlign w:val="center"/>
          </w:tcPr>
          <w:p w14:paraId="4402659C">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1.点间距：≤1.538mm。</w:t>
            </w:r>
          </w:p>
          <w:p w14:paraId="2B00ED7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2.整体尺寸：≥3.84米×2.08米。</w:t>
            </w:r>
          </w:p>
          <w:p w14:paraId="5DA28EE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3.模组分辨率（宽×高）：≥208点×104点。</w:t>
            </w:r>
          </w:p>
          <w:p w14:paraId="4050EEE3">
            <w:pPr>
              <w:widowControl/>
              <w:jc w:val="left"/>
              <w:rPr>
                <w:rFonts w:hint="eastAsia" w:ascii="宋体" w:hAnsi="宋体" w:eastAsia="宋体" w:cs="宋体"/>
                <w:color w:val="auto"/>
                <w:kern w:val="0"/>
                <w:sz w:val="24"/>
                <w:szCs w:val="24"/>
                <w:lang w:eastAsia="zh-CN" w:bidi="ar"/>
              </w:rPr>
            </w:pPr>
            <w:r>
              <w:rPr>
                <w:rFonts w:hint="eastAsia" w:ascii="宋体" w:hAnsi="宋体" w:cs="宋体"/>
                <w:color w:val="auto"/>
                <w:kern w:val="0"/>
                <w:sz w:val="24"/>
                <w:szCs w:val="24"/>
                <w:lang w:bidi="ar"/>
              </w:rPr>
              <w:t>4.模组尺寸（宽×高）：320mm×160mm。厚度≤10mm（含磁铁）</w:t>
            </w:r>
            <w:r>
              <w:rPr>
                <w:rFonts w:hint="eastAsia" w:ascii="宋体" w:hAnsi="宋体" w:cs="宋体"/>
                <w:color w:val="auto"/>
                <w:kern w:val="0"/>
                <w:sz w:val="24"/>
                <w:szCs w:val="24"/>
                <w:lang w:eastAsia="zh-CN" w:bidi="ar"/>
              </w:rPr>
              <w:t>。</w:t>
            </w:r>
          </w:p>
          <w:p w14:paraId="7BE9526D">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5.亮度：≥600cd/㎡，亮度0-600cd/㎡可调，可设置亮度手动、定时调节，支持通过亮度传感器随环境变化亮暗自动调节，0～100%无级可调。</w:t>
            </w:r>
          </w:p>
          <w:p w14:paraId="410C293E">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6刷新率≥3840Hz。</w:t>
            </w:r>
          </w:p>
          <w:p w14:paraId="0A96FCEE">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7. 水平视角/垂直视角：≥170°/170°。</w:t>
            </w:r>
          </w:p>
          <w:p w14:paraId="5D71DBEC">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8.模组间缝隙及平整度：≤0.1mm，发光点中心距偏差：≤0.1%。</w:t>
            </w:r>
          </w:p>
          <w:p w14:paraId="740EE60A">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9.亮度均匀性：≥99%，色度均匀性：±0.001  Cx，Cy之内。</w:t>
            </w:r>
          </w:p>
          <w:p w14:paraId="7A9C10C1">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10.对比度：≥15000:1。</w:t>
            </w:r>
          </w:p>
          <w:p w14:paraId="503BB75F">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11.驱动方式：恒流驱动。</w:t>
            </w:r>
          </w:p>
          <w:p w14:paraId="1DF689B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12.低亮高灰，100%亮度时，16bit灰度；70%亮度时16bit灰度；50%亮度时15bit灰度；20%亮度时15bit灰度。</w:t>
            </w:r>
          </w:p>
          <w:p w14:paraId="160DC890">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13. 前后左右1米噪音≤6dB。</w:t>
            </w:r>
          </w:p>
          <w:p w14:paraId="29D3EDB1">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14.换帧频率：50/60 Hz。</w:t>
            </w:r>
          </w:p>
          <w:p w14:paraId="42526DAD">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15.屏体色温：1000～15000K可调。</w:t>
            </w:r>
          </w:p>
          <w:p w14:paraId="6F465F89">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16.校正：支持亮度与色度逐点校正。</w:t>
            </w:r>
          </w:p>
          <w:p w14:paraId="79CBF4DD">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17.校正数据存储在模块中，可进行逐点校正、色度校正。</w:t>
            </w:r>
          </w:p>
          <w:p w14:paraId="207DCA48">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18.平均无故障时间≥50000小时。</w:t>
            </w:r>
          </w:p>
          <w:p w14:paraId="14C5F9B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19.像素失控率及盲点率：≤1/100000。</w:t>
            </w:r>
          </w:p>
          <w:p w14:paraId="0A096E8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20.观看舒适度：“人眼视觉舒适度（VICO）”指数低于2.0，去除100%紫外线，消除80%摩尔纹，基本无疲劳感1级，满足GB/T 44441-2024《LED 照明产品视觉健康舒适度测试》标准。</w:t>
            </w:r>
          </w:p>
          <w:p w14:paraId="26E1AF06">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21.屏体安装结构：前/后安装，完全前维护，可贴墙安装、无需预留空间。</w:t>
            </w:r>
          </w:p>
          <w:p w14:paraId="3B043054">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22.脉冲、浪涌试验：电快速瞬变脉冲群试验，浪涌试验以及电压暂降和短时中断试验，试验结束后样品可正常工作。</w:t>
            </w:r>
          </w:p>
          <w:p w14:paraId="2ABED45E">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23.抗紫外UV辐射：辐照强度0.76W/㎡，使用UVA340灯，温度60℃，冷凝温度50℃，24小时循环，试验后样品无异常可正常工作。</w:t>
            </w:r>
          </w:p>
          <w:p w14:paraId="75E5E96B">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24.抗压力及拉力要求：显示屏所选材料符合《GB/T15115-2024 压铸铝合金》标准，抗拉强度≥5000N，屈服强度≥5000N，硬度不小于70HBS。</w:t>
            </w:r>
          </w:p>
          <w:p w14:paraId="1038B4D2">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25.蓝光安全和光生物安全检测：光生物安全及蓝光危害检测，符合GB/T20145-2006标准要求，属于无危害类产品。检测蓝光对皮肤和眼睛的紫外线危害，宽波段的光源对视网膜的危害，以及蓝光对皮肤表面、角膜和视网膜的辐射值。</w:t>
            </w:r>
          </w:p>
          <w:p w14:paraId="6A7D9502">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26.阻燃（防火）：PCB的阻燃等级达到GB/T 2408 V-0级。试验过程中无滴落物，样品自燃10秒内熄灭，阻燃等级符合GB/T 2408 V-0级。显示屏整体/箱体，满足V-0级阻燃（防火）标准。</w:t>
            </w:r>
          </w:p>
          <w:p w14:paraId="6ECA5AD2">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27.振动试验：符合SJ/T11141-2025《发光二极管（LED）显示屏通用规范》，对LED显示屏进行振动试验，试验后样品无损坏工作正常。</w:t>
            </w:r>
          </w:p>
          <w:p w14:paraId="640B161C">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 xml:space="preserve">28.峰值功率：≤600W/㎡。平均功率：200W/㎡ 。  </w:t>
            </w:r>
          </w:p>
          <w:p w14:paraId="185C18B3">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29.工作电压：AC: 110V～240V（50/60 Hz）。</w:t>
            </w:r>
          </w:p>
          <w:p w14:paraId="202C4D6B">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30.LED典型寿命 ≥10万小时。</w:t>
            </w:r>
          </w:p>
          <w:p w14:paraId="5EA2B2CC">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31.运行环境温度：-10℃～40℃。</w:t>
            </w:r>
          </w:p>
          <w:p w14:paraId="22B22D67">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32.运行环境湿度：10%～90%RH，无结露。</w:t>
            </w:r>
          </w:p>
          <w:p w14:paraId="28849479">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33.在供货时提供国家认可的具有相应检测资质的第三方检测机构出具的关于该产品的检测报告复印件，并加盖竞标人公章。</w:t>
            </w:r>
          </w:p>
          <w:p w14:paraId="0140A773">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34.LED显示屏具有“中国国家强制性产品认证证书”（并在响应文件中提供相关认证证书复印件加盖竞标人公章）</w:t>
            </w:r>
          </w:p>
          <w:p w14:paraId="286490D0">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35.LED显示屏具有“中国节能产品认证证书”（并在响应文件中提供相关认证证书复印件加盖竞标人公章）</w:t>
            </w:r>
          </w:p>
          <w:p w14:paraId="35145195">
            <w:pPr>
              <w:widowControl/>
              <w:jc w:val="left"/>
              <w:rPr>
                <w:rFonts w:ascii="宋体" w:hAnsi="宋体" w:cs="宋体"/>
                <w:color w:val="auto"/>
                <w:kern w:val="0"/>
                <w:sz w:val="24"/>
                <w:szCs w:val="24"/>
                <w:lang w:bidi="ar"/>
              </w:rPr>
            </w:pPr>
            <w:r>
              <w:rPr>
                <w:rFonts w:hint="eastAsia" w:ascii="宋体" w:hAnsi="宋体" w:cs="宋体"/>
                <w:color w:val="auto"/>
                <w:kern w:val="0"/>
                <w:sz w:val="24"/>
                <w:szCs w:val="24"/>
                <w:lang w:bidi="ar"/>
              </w:rPr>
              <w:t>36.LED显示屏具有“环境标志（Ⅱ型）产品认证证书”（并在响应文件中提供相关认证证书复印件加盖竞标人公章）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678A942F">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嘉河JH-P1.5</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4A63C97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7.99</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7134E28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53A00EEF">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671DAD37">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22</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788B0DA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拼接处理器二合一</w:t>
            </w:r>
          </w:p>
        </w:tc>
        <w:tc>
          <w:tcPr>
            <w:tcW w:w="5230" w:type="dxa"/>
            <w:tcBorders>
              <w:top w:val="single" w:color="000000" w:sz="4" w:space="0"/>
              <w:left w:val="single" w:color="000000" w:sz="4" w:space="0"/>
              <w:bottom w:val="single" w:color="000000" w:sz="4" w:space="0"/>
              <w:right w:val="single" w:color="000000" w:sz="4" w:space="0"/>
            </w:tcBorders>
            <w:vAlign w:val="center"/>
          </w:tcPr>
          <w:p w14:paraId="0998282D">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1.支持三画面布局。支持不少于1路HDMI1.4输入，2路DVI输入，1路SDI输入，最大输入分辨率≥1920×1200@60Hz。控制方式：前面板按键/USB接口上位机/232接口协议对接。1U机箱，AC100-240V电源输入。</w:t>
            </w:r>
          </w:p>
          <w:p w14:paraId="2D49EBBD">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 LED视频处理器具有“中国国家强制性产品认证证书”（并在响应文件中提供相关认证证书复印件，加盖竞标人公章）。</w:t>
            </w:r>
          </w:p>
          <w:p w14:paraId="07E57DA4">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2.LED视频处理器具有“中国国家强制性产品认证证书”（并在响应文件中提供相关认证证书复印件，加盖竞标人公章）</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A11B71A">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嘉河JH-L100-C08</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4AA0E99">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6AFEFF9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台</w:t>
            </w:r>
          </w:p>
        </w:tc>
      </w:tr>
      <w:tr w14:paraId="46D1A291">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3E69C0D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23</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7A16CB2B">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配电箱</w:t>
            </w:r>
          </w:p>
        </w:tc>
        <w:tc>
          <w:tcPr>
            <w:tcW w:w="5230" w:type="dxa"/>
            <w:tcBorders>
              <w:top w:val="single" w:color="000000" w:sz="4" w:space="0"/>
              <w:left w:val="single" w:color="000000" w:sz="4" w:space="0"/>
              <w:bottom w:val="single" w:color="000000" w:sz="4" w:space="0"/>
              <w:right w:val="single" w:color="000000" w:sz="4" w:space="0"/>
            </w:tcBorders>
            <w:vAlign w:val="center"/>
          </w:tcPr>
          <w:p w14:paraId="577D2821">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1.配电功率≥10kW；</w:t>
            </w:r>
          </w:p>
          <w:p w14:paraId="77796F66">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2.实现PLC控制功能。</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08B38E19">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嘉河JH-PLC/10kW</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6B5F1A17">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3A78C95C">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套</w:t>
            </w:r>
          </w:p>
        </w:tc>
      </w:tr>
      <w:tr w14:paraId="6C5A5169">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73566DD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24</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09493FB1">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LED定制结构</w:t>
            </w:r>
          </w:p>
          <w:p w14:paraId="55C0B0CA">
            <w:pPr>
              <w:widowControl/>
              <w:jc w:val="center"/>
              <w:textAlignment w:val="center"/>
              <w:rPr>
                <w:rFonts w:hint="eastAsia" w:ascii="宋体" w:hAnsi="宋体" w:cs="宋体"/>
                <w:color w:val="auto"/>
                <w:kern w:val="0"/>
                <w:sz w:val="24"/>
                <w:szCs w:val="24"/>
                <w:lang w:bidi="ar"/>
              </w:rPr>
            </w:pPr>
            <w:r>
              <w:rPr>
                <w:rFonts w:hint="eastAsia" w:ascii="宋体" w:hAnsi="宋体" w:cs="宋体"/>
                <w:color w:val="auto"/>
                <w:kern w:val="0"/>
                <w:sz w:val="24"/>
                <w:szCs w:val="24"/>
                <w:lang w:bidi="ar"/>
              </w:rPr>
              <w:t>东盟之窗</w:t>
            </w:r>
          </w:p>
        </w:tc>
        <w:tc>
          <w:tcPr>
            <w:tcW w:w="5230" w:type="dxa"/>
            <w:tcBorders>
              <w:top w:val="single" w:color="000000" w:sz="4" w:space="0"/>
              <w:left w:val="single" w:color="000000" w:sz="4" w:space="0"/>
              <w:bottom w:val="single" w:color="000000" w:sz="4" w:space="0"/>
              <w:right w:val="single" w:color="000000" w:sz="4" w:space="0"/>
            </w:tcBorders>
            <w:vAlign w:val="center"/>
          </w:tcPr>
          <w:p w14:paraId="5C4B0D92">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1.安装结构能满足LED高清显示屏的整体均匀平滑要求，采用环保型材，结构应便于安装和调试。</w:t>
            </w:r>
          </w:p>
          <w:p w14:paraId="46549239">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2.所有材料采用国家标准材料施工制作，防锈防氧化处理。</w:t>
            </w:r>
          </w:p>
          <w:p w14:paraId="357A7C09">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3.结构设计标准：遵循《钢结构设计规范》及 《钢结构工程施工及验收规范》等要求。</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36F52B41">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定制</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7689291D">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7.99</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06FB28D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w:t>
            </w:r>
          </w:p>
        </w:tc>
      </w:tr>
      <w:tr w14:paraId="08E10896">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5FF227C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25</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67ECAFB8">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触摸一体机</w:t>
            </w:r>
          </w:p>
        </w:tc>
        <w:tc>
          <w:tcPr>
            <w:tcW w:w="5230" w:type="dxa"/>
            <w:tcBorders>
              <w:top w:val="single" w:color="000000" w:sz="4" w:space="0"/>
              <w:left w:val="single" w:color="000000" w:sz="4" w:space="0"/>
              <w:bottom w:val="single" w:color="000000" w:sz="4" w:space="0"/>
              <w:right w:val="single" w:color="000000" w:sz="4" w:space="0"/>
            </w:tcBorders>
            <w:vAlign w:val="center"/>
          </w:tcPr>
          <w:p w14:paraId="7E1E090C">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≥55寸电容触摸一体机，分辨率：≥3840×2160；整机亮度：≥350cd/m</w:t>
            </w:r>
            <w:r>
              <w:rPr>
                <w:rFonts w:hint="eastAsia" w:ascii="宋体" w:hAnsi="宋体" w:cs="宋体"/>
                <w:color w:val="auto"/>
                <w:kern w:val="0"/>
                <w:sz w:val="24"/>
                <w:szCs w:val="24"/>
                <w:vertAlign w:val="superscript"/>
                <w:lang w:bidi="ar"/>
              </w:rPr>
              <w:t>2</w:t>
            </w:r>
            <w:r>
              <w:rPr>
                <w:rFonts w:hint="eastAsia" w:ascii="宋体" w:hAnsi="宋体" w:cs="宋体"/>
                <w:color w:val="auto"/>
                <w:kern w:val="0"/>
                <w:sz w:val="24"/>
                <w:szCs w:val="24"/>
                <w:lang w:bidi="ar"/>
              </w:rPr>
              <w:t>，I5、8G、安卓系统同等或以上配置，黑色。</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614DFE14">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嘉河JH-T5500C</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081934B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4A06FB3C">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套</w:t>
            </w:r>
          </w:p>
        </w:tc>
      </w:tr>
      <w:tr w14:paraId="68EB7428">
        <w:tblPrEx>
          <w:tblCellMar>
            <w:top w:w="0" w:type="dxa"/>
            <w:left w:w="108" w:type="dxa"/>
            <w:bottom w:w="0" w:type="dxa"/>
            <w:right w:w="108" w:type="dxa"/>
          </w:tblCellMar>
        </w:tblPrEx>
        <w:trPr>
          <w:trHeight w:val="498" w:hRule="atLeast"/>
          <w:jc w:val="center"/>
        </w:trPr>
        <w:tc>
          <w:tcPr>
            <w:tcW w:w="743" w:type="dxa"/>
            <w:tcBorders>
              <w:top w:val="single" w:color="000000" w:sz="4" w:space="0"/>
              <w:left w:val="single" w:color="000000" w:sz="4" w:space="0"/>
              <w:bottom w:val="single" w:color="000000" w:sz="4" w:space="0"/>
              <w:right w:val="single" w:color="000000" w:sz="4" w:space="0"/>
            </w:tcBorders>
            <w:noWrap/>
            <w:vAlign w:val="center"/>
          </w:tcPr>
          <w:p w14:paraId="3C132986">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26</w:t>
            </w:r>
          </w:p>
        </w:tc>
        <w:tc>
          <w:tcPr>
            <w:tcW w:w="1375" w:type="dxa"/>
            <w:tcBorders>
              <w:top w:val="single" w:color="000000" w:sz="4" w:space="0"/>
              <w:left w:val="single" w:color="000000" w:sz="4" w:space="0"/>
              <w:bottom w:val="single" w:color="000000" w:sz="4" w:space="0"/>
              <w:right w:val="single" w:color="000000" w:sz="4" w:space="0"/>
            </w:tcBorders>
            <w:noWrap/>
            <w:vAlign w:val="center"/>
          </w:tcPr>
          <w:p w14:paraId="462CDB03">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LED显示屏配套音响设备</w:t>
            </w:r>
          </w:p>
        </w:tc>
        <w:tc>
          <w:tcPr>
            <w:tcW w:w="5230" w:type="dxa"/>
            <w:tcBorders>
              <w:top w:val="single" w:color="000000" w:sz="4" w:space="0"/>
              <w:left w:val="single" w:color="000000" w:sz="4" w:space="0"/>
              <w:bottom w:val="single" w:color="000000" w:sz="4" w:space="0"/>
              <w:right w:val="single" w:color="000000" w:sz="4" w:space="0"/>
            </w:tcBorders>
            <w:vAlign w:val="center"/>
          </w:tcPr>
          <w:p w14:paraId="41DADA0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1、Dante音频信号传输</w:t>
            </w:r>
          </w:p>
          <w:p w14:paraId="03EC2E5F">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2、单元尺寸：低音4 英寸+高音3/4英寸</w:t>
            </w:r>
          </w:p>
          <w:p w14:paraId="16BB997A">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3、功放功率：低频25W+高频25W（POE+供电）</w:t>
            </w:r>
          </w:p>
          <w:p w14:paraId="35FBA22E">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4、最大声压级：≥100dB(1m)</w:t>
            </w:r>
          </w:p>
          <w:p w14:paraId="118995C8">
            <w:pPr>
              <w:widowControl/>
              <w:jc w:val="left"/>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5、频率响应：≥67Hz-40kHz(-6dB)</w:t>
            </w:r>
          </w:p>
        </w:tc>
        <w:tc>
          <w:tcPr>
            <w:tcW w:w="1253" w:type="dxa"/>
            <w:tcBorders>
              <w:top w:val="single" w:color="000000" w:sz="4" w:space="0"/>
              <w:left w:val="single" w:color="000000" w:sz="4" w:space="0"/>
              <w:bottom w:val="single" w:color="000000" w:sz="4" w:space="0"/>
              <w:right w:val="single" w:color="000000" w:sz="4" w:space="0"/>
            </w:tcBorders>
            <w:noWrap/>
            <w:vAlign w:val="center"/>
          </w:tcPr>
          <w:p w14:paraId="6643CFAD">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真力 4410</w:t>
            </w:r>
          </w:p>
        </w:tc>
        <w:tc>
          <w:tcPr>
            <w:tcW w:w="804" w:type="dxa"/>
            <w:tcBorders>
              <w:top w:val="single" w:color="000000" w:sz="4" w:space="0"/>
              <w:left w:val="single" w:color="000000" w:sz="4" w:space="0"/>
              <w:bottom w:val="single" w:color="000000" w:sz="4" w:space="0"/>
              <w:right w:val="single" w:color="000000" w:sz="4" w:space="0"/>
            </w:tcBorders>
            <w:noWrap/>
            <w:vAlign w:val="center"/>
          </w:tcPr>
          <w:p w14:paraId="52831EA0">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18</w:t>
            </w:r>
          </w:p>
        </w:tc>
        <w:tc>
          <w:tcPr>
            <w:tcW w:w="701" w:type="dxa"/>
            <w:tcBorders>
              <w:top w:val="single" w:color="000000" w:sz="4" w:space="0"/>
              <w:left w:val="single" w:color="000000" w:sz="4" w:space="0"/>
              <w:bottom w:val="single" w:color="000000" w:sz="4" w:space="0"/>
              <w:right w:val="single" w:color="000000" w:sz="4" w:space="0"/>
            </w:tcBorders>
            <w:noWrap/>
            <w:vAlign w:val="center"/>
          </w:tcPr>
          <w:p w14:paraId="0B3AC6DB">
            <w:pPr>
              <w:widowControl/>
              <w:jc w:val="center"/>
              <w:textAlignment w:val="center"/>
              <w:rPr>
                <w:rFonts w:ascii="宋体" w:hAnsi="宋体" w:cs="宋体"/>
                <w:color w:val="auto"/>
                <w:kern w:val="0"/>
                <w:sz w:val="24"/>
                <w:szCs w:val="24"/>
                <w:lang w:bidi="ar"/>
              </w:rPr>
            </w:pPr>
            <w:r>
              <w:rPr>
                <w:rFonts w:hint="eastAsia" w:ascii="宋体" w:hAnsi="宋体" w:cs="宋体"/>
                <w:color w:val="auto"/>
                <w:kern w:val="0"/>
                <w:sz w:val="24"/>
                <w:szCs w:val="24"/>
                <w:lang w:bidi="ar"/>
              </w:rPr>
              <w:t>套</w:t>
            </w:r>
          </w:p>
        </w:tc>
      </w:tr>
    </w:tbl>
    <w:p w14:paraId="2BD41001">
      <w:pPr>
        <w:pStyle w:val="19"/>
        <w:ind w:firstLine="0" w:firstLineChars="0"/>
        <w:rPr>
          <w:rFonts w:hAnsi="宋体"/>
          <w:sz w:val="24"/>
          <w:szCs w:val="24"/>
        </w:rPr>
      </w:pPr>
    </w:p>
    <w:p w14:paraId="0176B84E">
      <w:pPr>
        <w:pStyle w:val="19"/>
        <w:ind w:firstLine="0" w:firstLineChars="0"/>
      </w:pPr>
    </w:p>
    <w:p w14:paraId="428935D1">
      <w:pPr>
        <w:pStyle w:val="19"/>
        <w:ind w:firstLine="0" w:firstLineChars="0"/>
      </w:pPr>
    </w:p>
    <w:p w14:paraId="24E27695">
      <w:pPr>
        <w:pStyle w:val="19"/>
        <w:ind w:firstLine="0" w:firstLineChars="0"/>
      </w:pPr>
    </w:p>
    <w:p w14:paraId="1EEC0766">
      <w:r>
        <w:br w:type="page"/>
      </w:r>
    </w:p>
    <w:p w14:paraId="5FE4A2A7">
      <w:pPr>
        <w:rPr>
          <w:sz w:val="24"/>
          <w:szCs w:val="24"/>
        </w:rPr>
      </w:pPr>
      <w:r>
        <w:rPr>
          <w:rFonts w:hint="eastAsia"/>
          <w:sz w:val="24"/>
          <w:szCs w:val="24"/>
        </w:rPr>
        <w:t>附图一：</w:t>
      </w:r>
    </w:p>
    <w:p w14:paraId="6140CF43">
      <w:pPr>
        <w:rPr>
          <w:sz w:val="24"/>
          <w:szCs w:val="24"/>
        </w:rPr>
      </w:pPr>
    </w:p>
    <w:p w14:paraId="0E5C1B14">
      <w:pPr>
        <w:jc w:val="center"/>
      </w:pPr>
      <w:r>
        <w:rPr>
          <w:rFonts w:hint="eastAsia"/>
        </w:rPr>
        <w:drawing>
          <wp:inline distT="0" distB="0" distL="114300" distR="114300">
            <wp:extent cx="6265545" cy="7089775"/>
            <wp:effectExtent l="0" t="0" r="8255" b="9525"/>
            <wp:docPr id="3" name="图片 3" descr="附件一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附件一_01"/>
                    <pic:cNvPicPr>
                      <a:picLocks noChangeAspect="1"/>
                    </pic:cNvPicPr>
                  </pic:nvPicPr>
                  <pic:blipFill>
                    <a:blip r:embed="rId5"/>
                    <a:srcRect l="9580" t="18632" r="9706" b="16825"/>
                    <a:stretch>
                      <a:fillRect/>
                    </a:stretch>
                  </pic:blipFill>
                  <pic:spPr>
                    <a:xfrm>
                      <a:off x="0" y="0"/>
                      <a:ext cx="6265545" cy="7089775"/>
                    </a:xfrm>
                    <a:prstGeom prst="rect">
                      <a:avLst/>
                    </a:prstGeom>
                  </pic:spPr>
                </pic:pic>
              </a:graphicData>
            </a:graphic>
          </wp:inline>
        </w:drawing>
      </w:r>
    </w:p>
    <w:p w14:paraId="7E878AA8"/>
    <w:p w14:paraId="30DF384F"/>
    <w:p w14:paraId="7E7FEA1D"/>
    <w:p w14:paraId="0C455C50"/>
    <w:p w14:paraId="5BF3339D"/>
    <w:p w14:paraId="1C1003FA"/>
    <w:p w14:paraId="2D753D8D"/>
    <w:p w14:paraId="05C718C0"/>
    <w:p w14:paraId="420D3F03">
      <w:r>
        <w:br w:type="page"/>
      </w:r>
    </w:p>
    <w:p w14:paraId="113737F3">
      <w:pPr>
        <w:rPr>
          <w:sz w:val="24"/>
          <w:szCs w:val="24"/>
        </w:rPr>
      </w:pPr>
      <w:r>
        <w:rPr>
          <w:rFonts w:hint="eastAsia"/>
          <w:sz w:val="24"/>
          <w:szCs w:val="24"/>
        </w:rPr>
        <w:t>附图二：</w:t>
      </w:r>
    </w:p>
    <w:p w14:paraId="0E6A214C">
      <w:pPr>
        <w:rPr>
          <w:sz w:val="24"/>
          <w:szCs w:val="24"/>
        </w:rPr>
      </w:pPr>
    </w:p>
    <w:p w14:paraId="188C270B">
      <w:pPr>
        <w:jc w:val="center"/>
      </w:pPr>
      <w:r>
        <w:drawing>
          <wp:inline distT="0" distB="0" distL="114300" distR="114300">
            <wp:extent cx="6572885" cy="4084320"/>
            <wp:effectExtent l="0" t="0" r="5715" b="5080"/>
            <wp:docPr id="4" name="图片 4" descr="附件二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附件二_01"/>
                    <pic:cNvPicPr>
                      <a:picLocks noChangeAspect="1"/>
                    </pic:cNvPicPr>
                  </pic:nvPicPr>
                  <pic:blipFill>
                    <a:blip r:embed="rId6"/>
                    <a:srcRect l="5343" t="12592" r="5131" b="8689"/>
                    <a:stretch>
                      <a:fillRect/>
                    </a:stretch>
                  </pic:blipFill>
                  <pic:spPr>
                    <a:xfrm>
                      <a:off x="0" y="0"/>
                      <a:ext cx="6572885" cy="4084320"/>
                    </a:xfrm>
                    <a:prstGeom prst="rect">
                      <a:avLst/>
                    </a:prstGeom>
                  </pic:spPr>
                </pic:pic>
              </a:graphicData>
            </a:graphic>
          </wp:inline>
        </w:drawing>
      </w:r>
    </w:p>
    <w:p w14:paraId="53C2A0F2"/>
    <w:p w14:paraId="6CA5367C">
      <w:r>
        <w:br w:type="page"/>
      </w:r>
    </w:p>
    <w:p w14:paraId="19281355">
      <w:pPr>
        <w:rPr>
          <w:sz w:val="24"/>
          <w:szCs w:val="24"/>
        </w:rPr>
      </w:pPr>
      <w:r>
        <w:rPr>
          <w:rFonts w:hint="eastAsia"/>
          <w:sz w:val="24"/>
          <w:szCs w:val="24"/>
        </w:rPr>
        <w:t>附图三：</w:t>
      </w:r>
    </w:p>
    <w:p w14:paraId="317A6717">
      <w:pPr>
        <w:rPr>
          <w:sz w:val="24"/>
          <w:szCs w:val="24"/>
        </w:rPr>
      </w:pPr>
    </w:p>
    <w:p w14:paraId="3FD1B493">
      <w:pPr>
        <w:jc w:val="center"/>
      </w:pPr>
      <w:r>
        <w:rPr>
          <w:rFonts w:hint="eastAsia"/>
        </w:rPr>
        <w:drawing>
          <wp:inline distT="0" distB="0" distL="114300" distR="114300">
            <wp:extent cx="6427470" cy="6501765"/>
            <wp:effectExtent l="0" t="0" r="11430" b="635"/>
            <wp:docPr id="5" name="图片 5" descr="附件三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附件三_01"/>
                    <pic:cNvPicPr>
                      <a:picLocks noChangeAspect="1"/>
                    </pic:cNvPicPr>
                  </pic:nvPicPr>
                  <pic:blipFill>
                    <a:blip r:embed="rId7"/>
                    <a:srcRect l="22562" t="11218" r="22072" b="9532"/>
                    <a:stretch>
                      <a:fillRect/>
                    </a:stretch>
                  </pic:blipFill>
                  <pic:spPr>
                    <a:xfrm>
                      <a:off x="0" y="0"/>
                      <a:ext cx="6427470" cy="6501765"/>
                    </a:xfrm>
                    <a:prstGeom prst="rect">
                      <a:avLst/>
                    </a:prstGeom>
                  </pic:spPr>
                </pic:pic>
              </a:graphicData>
            </a:graphic>
          </wp:inline>
        </w:drawing>
      </w:r>
    </w:p>
    <w:p w14:paraId="6B092F5C"/>
    <w:p w14:paraId="5A6AD2F5">
      <w:r>
        <w:br w:type="page"/>
      </w:r>
    </w:p>
    <w:p w14:paraId="4F2BE87B">
      <w:pPr>
        <w:rPr>
          <w:sz w:val="24"/>
          <w:szCs w:val="24"/>
        </w:rPr>
      </w:pPr>
      <w:r>
        <w:rPr>
          <w:rFonts w:hint="eastAsia"/>
          <w:sz w:val="24"/>
          <w:szCs w:val="24"/>
        </w:rPr>
        <w:t>附图四：</w:t>
      </w:r>
    </w:p>
    <w:p w14:paraId="62828A9A">
      <w:pPr>
        <w:rPr>
          <w:sz w:val="24"/>
          <w:szCs w:val="24"/>
        </w:rPr>
      </w:pPr>
    </w:p>
    <w:p w14:paraId="450C2091">
      <w:pPr>
        <w:jc w:val="center"/>
      </w:pPr>
      <w:r>
        <w:drawing>
          <wp:inline distT="0" distB="0" distL="114300" distR="114300">
            <wp:extent cx="5764530" cy="6709410"/>
            <wp:effectExtent l="0" t="0" r="1270" b="8890"/>
            <wp:docPr id="6" name="图片 6" descr="附件四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附件四_01"/>
                    <pic:cNvPicPr>
                      <a:picLocks noChangeAspect="1"/>
                    </pic:cNvPicPr>
                  </pic:nvPicPr>
                  <pic:blipFill>
                    <a:blip r:embed="rId8"/>
                    <a:srcRect l="25512" t="9668" r="25022" b="8866"/>
                    <a:stretch>
                      <a:fillRect/>
                    </a:stretch>
                  </pic:blipFill>
                  <pic:spPr>
                    <a:xfrm>
                      <a:off x="0" y="0"/>
                      <a:ext cx="5764530" cy="6709410"/>
                    </a:xfrm>
                    <a:prstGeom prst="rect">
                      <a:avLst/>
                    </a:prstGeom>
                  </pic:spPr>
                </pic:pic>
              </a:graphicData>
            </a:graphic>
          </wp:inline>
        </w:drawing>
      </w:r>
      <w:r>
        <w:br w:type="page"/>
      </w:r>
    </w:p>
    <w:p w14:paraId="7D4A46B8">
      <w:pPr>
        <w:pStyle w:val="3"/>
      </w:pPr>
      <w:r>
        <w:rPr>
          <w:rFonts w:hint="eastAsia"/>
        </w:rPr>
        <w:t>附件二：商家须知在线询价、反向竞价违约处理规则</w:t>
      </w:r>
      <w:bookmarkEnd w:id="4"/>
    </w:p>
    <w:p w14:paraId="2587FE33">
      <w:pPr>
        <w:rPr>
          <w:rFonts w:ascii="宋体" w:hAnsi="宋体"/>
          <w:sz w:val="24"/>
          <w:szCs w:val="28"/>
        </w:rPr>
      </w:pPr>
      <w:r>
        <w:rPr>
          <w:rFonts w:hint="eastAsia"/>
          <w:sz w:val="24"/>
          <w:szCs w:val="28"/>
        </w:rPr>
        <w:t>网页地址</w:t>
      </w:r>
      <w:r>
        <w:rPr>
          <w:rFonts w:hint="eastAsia" w:ascii="宋体" w:hAnsi="宋体"/>
          <w:sz w:val="24"/>
          <w:szCs w:val="28"/>
        </w:rPr>
        <w:t>详见：</w:t>
      </w:r>
      <w:r>
        <w:fldChar w:fldCharType="begin"/>
      </w:r>
      <w:r>
        <w:instrText xml:space="preserve"> HYPERLINK "https://inquiryhall.zcygov.cn/inquiryhall/list?districtCode=450109" </w:instrText>
      </w:r>
      <w:r>
        <w:fldChar w:fldCharType="separate"/>
      </w:r>
      <w:r>
        <w:rPr>
          <w:rStyle w:val="24"/>
          <w:rFonts w:ascii="宋体" w:hAnsi="宋体"/>
          <w:sz w:val="24"/>
          <w:szCs w:val="28"/>
        </w:rPr>
        <w:t>https://inquiryhall.zcygov.cn/inquiryhall/list?districtCode=450109</w:t>
      </w:r>
      <w:r>
        <w:rPr>
          <w:rStyle w:val="24"/>
          <w:rFonts w:ascii="宋体" w:hAnsi="宋体"/>
          <w:sz w:val="24"/>
          <w:szCs w:val="28"/>
        </w:rPr>
        <w:fldChar w:fldCharType="end"/>
      </w:r>
    </w:p>
    <w:p w14:paraId="6D2FC005">
      <w:pPr>
        <w:rPr>
          <w:rFonts w:ascii="宋体" w:hAnsi="宋体"/>
        </w:rPr>
      </w:pPr>
    </w:p>
    <w:p w14:paraId="5BE66352">
      <w:r>
        <w:drawing>
          <wp:inline distT="0" distB="0" distL="0" distR="0">
            <wp:extent cx="6667500" cy="50520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667500" cy="5052060"/>
                    </a:xfrm>
                    <a:prstGeom prst="rect">
                      <a:avLst/>
                    </a:prstGeom>
                    <a:noFill/>
                    <a:ln>
                      <a:noFill/>
                    </a:ln>
                  </pic:spPr>
                </pic:pic>
              </a:graphicData>
            </a:graphic>
          </wp:inline>
        </w:drawing>
      </w:r>
    </w:p>
    <w:p w14:paraId="307D2305">
      <w:pPr>
        <w:jc w:val="left"/>
      </w:pPr>
      <w:r>
        <w:br w:type="page"/>
      </w:r>
      <w:bookmarkStart w:id="5" w:name="_Toc26680"/>
      <w:r>
        <w:rPr>
          <w:rStyle w:val="42"/>
          <w:rFonts w:hint="eastAsia"/>
        </w:rPr>
        <w:t>附件三：广西壮族自治区电子卖场平台管理协议</w:t>
      </w:r>
      <w:bookmarkEnd w:id="5"/>
    </w:p>
    <w:p w14:paraId="4BB555AD">
      <w:pPr>
        <w:spacing w:line="400" w:lineRule="exact"/>
        <w:jc w:val="left"/>
        <w:rPr>
          <w:rFonts w:ascii="仿宋" w:hAnsi="仿宋" w:eastAsia="仿宋"/>
          <w:sz w:val="28"/>
          <w:szCs w:val="32"/>
        </w:rPr>
      </w:pPr>
      <w:r>
        <w:rPr>
          <w:rFonts w:hint="eastAsia" w:ascii="仿宋" w:hAnsi="仿宋" w:eastAsia="仿宋"/>
          <w:sz w:val="28"/>
          <w:szCs w:val="32"/>
        </w:rPr>
        <w:t>网页地址详见：</w:t>
      </w:r>
      <w:r>
        <w:fldChar w:fldCharType="begin"/>
      </w:r>
      <w:r>
        <w:instrText xml:space="preserve"> HYPERLINK "https://wqzx.zcygov.cn/RightsRules/GXGZ/2664840.html?utm=a0017.b0505.0001.0001.424bf4d0db6711ea9001a1e3a1663ae8" </w:instrText>
      </w:r>
      <w:r>
        <w:fldChar w:fldCharType="separate"/>
      </w:r>
      <w:r>
        <w:rPr>
          <w:rStyle w:val="24"/>
          <w:rFonts w:hint="eastAsia" w:ascii="仿宋" w:hAnsi="仿宋" w:eastAsia="仿宋"/>
          <w:sz w:val="28"/>
          <w:szCs w:val="32"/>
        </w:rPr>
        <w:t>https://wqzx.zcygov.cn/RightsRules/GXGZ/2664840.html?utm=a0017.b0505.0001.0001.424bf4d0db6711ea9001a1e3a1663ae8</w:t>
      </w:r>
      <w:r>
        <w:rPr>
          <w:rStyle w:val="24"/>
          <w:rFonts w:hint="eastAsia" w:ascii="仿宋" w:hAnsi="仿宋" w:eastAsia="仿宋"/>
          <w:sz w:val="28"/>
          <w:szCs w:val="32"/>
        </w:rPr>
        <w:fldChar w:fldCharType="end"/>
      </w:r>
    </w:p>
    <w:p w14:paraId="06A4A60B">
      <w:pPr>
        <w:pStyle w:val="32"/>
        <w:pBdr>
          <w:bottom w:val="single" w:color="CCCCCC" w:sz="6" w:space="8"/>
        </w:pBdr>
        <w:spacing w:before="75" w:beforeAutospacing="0" w:after="300" w:afterAutospacing="0" w:line="400" w:lineRule="exact"/>
        <w:rPr>
          <w:color w:val="666666"/>
          <w:sz w:val="21"/>
          <w:szCs w:val="21"/>
        </w:rPr>
      </w:pPr>
      <w:r>
        <w:rPr>
          <w:color w:val="666666"/>
          <w:sz w:val="21"/>
          <w:szCs w:val="21"/>
        </w:rPr>
        <w:t>来源：广西财政 发布时间：2020-08-04</w:t>
      </w:r>
    </w:p>
    <w:p w14:paraId="75829F74">
      <w:pPr>
        <w:pStyle w:val="16"/>
        <w:spacing w:before="75" w:beforeAutospacing="0" w:after="75" w:afterAutospacing="0" w:line="340" w:lineRule="exact"/>
        <w:rPr>
          <w:rFonts w:ascii="仿宋" w:hAnsi="仿宋" w:eastAsia="仿宋" w:cs="Arial"/>
          <w:color w:val="000000"/>
        </w:rPr>
      </w:pPr>
      <w:r>
        <w:rPr>
          <w:rStyle w:val="23"/>
          <w:rFonts w:hint="eastAsia" w:ascii="仿宋" w:hAnsi="仿宋" w:eastAsia="仿宋" w:cs="Arial"/>
          <w:color w:val="000000"/>
        </w:rPr>
        <w:t>第一条</w:t>
      </w:r>
      <w:r>
        <w:rPr>
          <w:rFonts w:ascii="Calibri" w:hAnsi="Calibri" w:eastAsia="仿宋" w:cs="Calibri"/>
          <w:color w:val="000000"/>
        </w:rPr>
        <w:t> </w:t>
      </w:r>
      <w:r>
        <w:rPr>
          <w:rFonts w:hint="eastAsia" w:ascii="仿宋" w:hAnsi="仿宋" w:eastAsia="仿宋" w:cs="Arial"/>
          <w:color w:val="000000"/>
        </w:rPr>
        <w:t>参加电子卖场政府采购活动的供应商实行设置“诚信分”和预警制度，由电子卖场系统根据情节在供应商库中的诚信记录自动统计计算，用分值表示，供应商被查作出扣减诚信分及预警，按下列规则记录：</w:t>
      </w:r>
    </w:p>
    <w:p w14:paraId="2F2C0C78">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1.供应商被给予黄色预警一次，扣减5-10分诚信分，可给予暂停其6个月在电子卖场销售或停止其参与报价；</w:t>
      </w:r>
    </w:p>
    <w:p w14:paraId="47E71DA7">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2.供应商被给予橙色预警一次，扣减10-20分诚信分，可给予暂停其9个月在电子卖场销售或停止其参与报价；</w:t>
      </w:r>
    </w:p>
    <w:p w14:paraId="08696324">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3.供应商被给予红色预警一次，扣减20-30分诚信分，可给予暂停其12个月在电子卖场销售或停止其参与报价。</w:t>
      </w:r>
    </w:p>
    <w:p w14:paraId="4E0D1CE4">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4.网上超市供应商和协议（定点）采购供应商被累计扣减30分诚信分的，取消其网上超市供应商和协议（定点）采购供应商资格。</w:t>
      </w:r>
    </w:p>
    <w:p w14:paraId="681A353C">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扣分实行年度累计和清零制，每年年度终了时清零。供应商可在知道其被记录诚信或预警时2个工作日内发起申辩或澄清。同级财政部门核实，对有误计入的处理记录可予以撤销。供应商违规情形中，如出现重大社会影响的，各级财政部门有权在第一时间内冻结商品等，并对供应商操作权限等做限制处理。</w:t>
      </w:r>
    </w:p>
    <w:p w14:paraId="507939E7">
      <w:pPr>
        <w:pStyle w:val="16"/>
        <w:spacing w:before="75" w:beforeAutospacing="0" w:after="75" w:afterAutospacing="0" w:line="340" w:lineRule="exact"/>
        <w:rPr>
          <w:rFonts w:ascii="仿宋" w:hAnsi="仿宋" w:eastAsia="仿宋" w:cs="Arial"/>
          <w:color w:val="000000"/>
        </w:rPr>
      </w:pPr>
      <w:r>
        <w:rPr>
          <w:rStyle w:val="23"/>
          <w:rFonts w:hint="eastAsia" w:ascii="仿宋" w:hAnsi="仿宋" w:eastAsia="仿宋" w:cs="Arial"/>
          <w:color w:val="000000"/>
        </w:rPr>
        <w:t>第二条</w:t>
      </w:r>
      <w:r>
        <w:rPr>
          <w:rFonts w:ascii="Calibri" w:hAnsi="Calibri" w:eastAsia="仿宋" w:cs="Calibri"/>
          <w:color w:val="000000"/>
        </w:rPr>
        <w:t> </w:t>
      </w:r>
      <w:r>
        <w:rPr>
          <w:rFonts w:hint="eastAsia" w:ascii="仿宋" w:hAnsi="仿宋" w:eastAsia="仿宋" w:cs="Arial"/>
          <w:color w:val="000000"/>
        </w:rPr>
        <w:t>网上超市供应商被查实存在违法违规行为的，由负责招标或资格征集的各级集采机构或各级财政部门责令其纠正，并对其作出相应诚信分扣除及预警等处理。</w:t>
      </w:r>
    </w:p>
    <w:p w14:paraId="55AF3D77">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（一）有下列情形之一的，每发生一次，视情扣减5-10分诚信分及黄色预警1次。拒不纠正的，暂停其网超协议6个月：</w:t>
      </w:r>
    </w:p>
    <w:p w14:paraId="3ED5E34F">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1.存在网上超市商品销售价格高于同期大型电商自营商品平均销售价格10%及以上的；</w:t>
      </w:r>
    </w:p>
    <w:p w14:paraId="2E7E28D0">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2.发布的商品信息前后出现品牌、价格、图片、属性等不一致、重复等情况的；</w:t>
      </w:r>
    </w:p>
    <w:p w14:paraId="38F0889B">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3.发布商品选择类目与商品不相关的；</w:t>
      </w:r>
    </w:p>
    <w:p w14:paraId="7EB5825D">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4.发布的商品与实际不符，包括夸大、过度和虚假宣传的；</w:t>
      </w:r>
    </w:p>
    <w:p w14:paraId="145724BF">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5.不符合平台商品发布规范的其他行为。</w:t>
      </w:r>
    </w:p>
    <w:p w14:paraId="6E2969B5">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（二）有下列情形之一的，每发生一次，将视情扣减10-20分诚信分及橙色预警1次。拒不纠正的，暂停其网超协议9个月：</w:t>
      </w:r>
    </w:p>
    <w:p w14:paraId="45C9390B">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1.销售价格高于同期大型电商自营商品平均销售价格20%以上或因价格问题被黄色预警3次以上的；</w:t>
      </w:r>
    </w:p>
    <w:p w14:paraId="539E313D">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2.发布质量不合格商品的；</w:t>
      </w:r>
    </w:p>
    <w:p w14:paraId="76D3CD9E">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3.不当使用他人商标权、著作权、专利权等，造成不良后果的；</w:t>
      </w:r>
    </w:p>
    <w:p w14:paraId="36842C25">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4.恶意利用规则、误导采购单位获取虚假商品销量、评价、满意度等的；</w:t>
      </w:r>
    </w:p>
    <w:p w14:paraId="079E6A20">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5.无正当理由不按规定时限响应或确认采购订单、合同累计5次及以上的；</w:t>
      </w:r>
    </w:p>
    <w:p w14:paraId="635A0991">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6.无正当理由不执行采购订单、合同或没有按承诺提供商品及售后服务1次的；</w:t>
      </w:r>
    </w:p>
    <w:p w14:paraId="102DE582">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7.其他违反采购文件或资格征集协议约定事项或供应商承诺事项的。</w:t>
      </w:r>
    </w:p>
    <w:p w14:paraId="4BCA59EF">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（三）有下列情形之一的，视情扣减20-30分诚信分及红色预警1次。拒不纠正的，暂停其网超协议12个月：</w:t>
      </w:r>
    </w:p>
    <w:p w14:paraId="2CE8F806">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1.销售价格高于同期大型电商自营商品平均销售价格30%以上的或因价格问题被橙色预警2次以上；</w:t>
      </w:r>
    </w:p>
    <w:p w14:paraId="007FBBA0">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2.发布国家禁止出售商品的；</w:t>
      </w:r>
    </w:p>
    <w:p w14:paraId="3F4D9A81">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3.发布假冒注册商标商品及盗版商品的；</w:t>
      </w:r>
    </w:p>
    <w:p w14:paraId="1F2D153E">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4.未经允许盗取、发布、传递他人隐私信息的；</w:t>
      </w:r>
    </w:p>
    <w:p w14:paraId="1F94AA51">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5.采购单位评价“满意度指数”低于60％累计5次及以上的；</w:t>
      </w:r>
    </w:p>
    <w:p w14:paraId="2556A125">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6.向运维单位、采购单位、集采机构、财政部门有关人员行贿或提供其他不正当利益的；</w:t>
      </w:r>
    </w:p>
    <w:p w14:paraId="0770D95E">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7.与其他供应商、运维单位、采购单位、集采机构、财政部门有关人员恶意串通的；</w:t>
      </w:r>
    </w:p>
    <w:p w14:paraId="0F4FA539">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8.利用网上超市系统漏洞或者其他黑客手段侵入系统篡改数据或者虚构交易记录的；</w:t>
      </w:r>
    </w:p>
    <w:p w14:paraId="7D82266A">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9.拒不执行财政部门或同级集采机构的监管措施或者拒不纠正违规、违约行为的；</w:t>
      </w:r>
    </w:p>
    <w:p w14:paraId="05089EE2">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10.未按采购结果签订供货或服务合同，或者与采购单位另行订立背离合同实质性内容协议的；</w:t>
      </w:r>
    </w:p>
    <w:p w14:paraId="36C3E6A5">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11.无正当理由拒绝履行合同义务，或未按合同约定履行义务构成违约的；</w:t>
      </w:r>
    </w:p>
    <w:p w14:paraId="147417AB">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12.竞价结束后与采购单位再次议价的；</w:t>
      </w:r>
    </w:p>
    <w:p w14:paraId="44BCB8CA">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13.在合同履行过程中与采购单位协商变更合同主要条款的；</w:t>
      </w:r>
    </w:p>
    <w:p w14:paraId="1709E3AB">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14.提供假冒伪劣商品或擅自更换配件、降低配置，以次充好的；</w:t>
      </w:r>
    </w:p>
    <w:p w14:paraId="716FD921">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15.各级财政部门认定的其他违法、违规及违反本办法规定的行为。</w:t>
      </w:r>
    </w:p>
    <w:p w14:paraId="6AE9C82A">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运维单位发现供应商发布国家禁止出售商品或信息，或涉及侵犯他人隐私等的，可直接予以删除。</w:t>
      </w:r>
    </w:p>
    <w:p w14:paraId="25B0D2CB">
      <w:pPr>
        <w:pStyle w:val="16"/>
        <w:spacing w:before="75" w:beforeAutospacing="0" w:after="75" w:afterAutospacing="0" w:line="340" w:lineRule="exact"/>
        <w:rPr>
          <w:rFonts w:ascii="仿宋" w:hAnsi="仿宋" w:eastAsia="仿宋" w:cs="Arial"/>
          <w:color w:val="000000"/>
        </w:rPr>
      </w:pPr>
      <w:r>
        <w:rPr>
          <w:rStyle w:val="23"/>
          <w:rFonts w:hint="eastAsia" w:ascii="仿宋" w:hAnsi="仿宋" w:eastAsia="仿宋" w:cs="Arial"/>
          <w:color w:val="000000"/>
        </w:rPr>
        <w:t>第三条</w:t>
      </w:r>
      <w:r>
        <w:rPr>
          <w:rFonts w:ascii="Calibri" w:hAnsi="Calibri" w:eastAsia="仿宋" w:cs="Calibri"/>
          <w:color w:val="000000"/>
        </w:rPr>
        <w:t> </w:t>
      </w:r>
      <w:r>
        <w:rPr>
          <w:rFonts w:hint="eastAsia" w:ascii="仿宋" w:hAnsi="仿宋" w:eastAsia="仿宋" w:cs="Arial"/>
          <w:color w:val="000000"/>
        </w:rPr>
        <w:t>协议供货、定点采购供应商有下列情形之一的，负责招标或资格征集的各级集采机构及财政部门可扣减其10-30分诚信分，并可暂停其协议3-12个月：</w:t>
      </w:r>
    </w:p>
    <w:p w14:paraId="0B938001">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（一）未按采购结果签订供货或服务合同，或与采购单位另行订立背离合同实质性内容协议的；</w:t>
      </w:r>
    </w:p>
    <w:p w14:paraId="34A25A11">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（二）无正当理由拒绝履行合同义务，或未按合同规定履行义务构成违约的；</w:t>
      </w:r>
    </w:p>
    <w:p w14:paraId="5365FE63">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（三）竞价结束后与采购单位再次议价的；</w:t>
      </w:r>
    </w:p>
    <w:p w14:paraId="0ADD0F5C">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（四）在合同履行过程中与采购单位协商变更合同主要条款的；</w:t>
      </w:r>
    </w:p>
    <w:p w14:paraId="5DA2E568">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（五）未及时更新维护商品库存信息或者当市场价格低于最高限价时，未及时更新最高限价的；</w:t>
      </w:r>
      <w:r>
        <w:rPr>
          <w:rFonts w:ascii="Calibri" w:hAnsi="Calibri" w:eastAsia="仿宋" w:cs="Calibri"/>
          <w:color w:val="000000"/>
        </w:rPr>
        <w:t> </w:t>
      </w:r>
    </w:p>
    <w:p w14:paraId="4D47AE55">
      <w:pPr>
        <w:pStyle w:val="16"/>
        <w:spacing w:before="75" w:beforeAutospacing="0" w:after="75" w:afterAutospacing="0" w:line="340" w:lineRule="exact"/>
        <w:rPr>
          <w:rFonts w:ascii="仿宋" w:hAnsi="仿宋" w:eastAsia="仿宋" w:cs="Arial"/>
          <w:color w:val="000000"/>
        </w:rPr>
      </w:pPr>
      <w:r>
        <w:rPr>
          <w:rFonts w:hint="eastAsia" w:ascii="仿宋" w:hAnsi="仿宋" w:eastAsia="仿宋" w:cs="Arial"/>
          <w:color w:val="000000"/>
        </w:rPr>
        <w:t>（六）供应商指定的供货商中有3家以上因上述行为被取消协议供货资格的；</w:t>
      </w:r>
    </w:p>
    <w:p w14:paraId="51F7CDC4">
      <w:pPr>
        <w:pStyle w:val="16"/>
        <w:spacing w:before="75" w:beforeAutospacing="0" w:after="75" w:afterAutospacing="0" w:line="340" w:lineRule="exact"/>
        <w:outlineLvl w:val="2"/>
        <w:rPr>
          <w:rFonts w:ascii="仿宋" w:hAnsi="仿宋" w:eastAsia="仿宋" w:cs="Arial"/>
          <w:color w:val="000000"/>
        </w:rPr>
      </w:pPr>
      <w:bookmarkStart w:id="6" w:name="_Toc15071"/>
      <w:r>
        <w:rPr>
          <w:rFonts w:hint="eastAsia" w:ascii="仿宋" w:hAnsi="仿宋" w:eastAsia="仿宋" w:cs="Arial"/>
          <w:color w:val="000000"/>
        </w:rPr>
        <w:t>（七）各级财政部门认定的其他违法、违规及违反本办法规定的行为</w:t>
      </w:r>
      <w:bookmarkEnd w:id="6"/>
    </w:p>
    <w:p w14:paraId="2A9DBEB5">
      <w:pPr>
        <w:pStyle w:val="16"/>
        <w:spacing w:before="75" w:beforeAutospacing="0" w:after="75" w:afterAutospacing="0" w:line="340" w:lineRule="exact"/>
        <w:rPr>
          <w:rFonts w:ascii="仿宋" w:hAnsi="仿宋" w:eastAsia="仿宋" w:cs="Arial"/>
          <w:color w:val="000000"/>
        </w:rPr>
      </w:pPr>
      <w:r>
        <w:rPr>
          <w:rStyle w:val="23"/>
          <w:rFonts w:hint="eastAsia" w:ascii="仿宋" w:hAnsi="仿宋" w:eastAsia="仿宋" w:cs="Arial"/>
          <w:color w:val="000000"/>
        </w:rPr>
        <w:t>第四条</w:t>
      </w:r>
      <w:r>
        <w:rPr>
          <w:rFonts w:ascii="Calibri" w:hAnsi="Calibri" w:eastAsia="仿宋" w:cs="Calibri"/>
          <w:color w:val="000000"/>
        </w:rPr>
        <w:t> </w:t>
      </w:r>
      <w:r>
        <w:rPr>
          <w:rFonts w:hint="eastAsia" w:ascii="仿宋" w:hAnsi="仿宋" w:eastAsia="仿宋" w:cs="Arial"/>
          <w:color w:val="000000"/>
        </w:rPr>
        <w:t>在线询价、反向竞价供应商供应商存在不按要求报价、中标后无故放弃、不按合同履行等违约行为的，经采购单位举报，经同级财政部门确认的，应扣减其10-30分诚信分，限制供应商报价权限3-12个月。</w:t>
      </w:r>
    </w:p>
    <w:p w14:paraId="00A9EBD1">
      <w:pPr>
        <w:spacing w:line="340" w:lineRule="exact"/>
        <w:rPr>
          <w:rFonts w:ascii="仿宋" w:hAnsi="仿宋" w:eastAsia="仿宋" w:cs="Arial"/>
          <w:color w:val="000000"/>
          <w:sz w:val="24"/>
          <w:szCs w:val="24"/>
        </w:rPr>
      </w:pPr>
      <w:r>
        <w:rPr>
          <w:rStyle w:val="23"/>
          <w:rFonts w:hint="eastAsia" w:ascii="仿宋" w:hAnsi="仿宋" w:eastAsia="仿宋" w:cs="Arial"/>
          <w:color w:val="000000"/>
          <w:sz w:val="24"/>
          <w:szCs w:val="24"/>
        </w:rPr>
        <w:t>第五条</w:t>
      </w:r>
      <w:r>
        <w:rPr>
          <w:rFonts w:eastAsia="仿宋" w:cs="Calibri"/>
          <w:color w:val="000000"/>
          <w:sz w:val="24"/>
          <w:szCs w:val="24"/>
        </w:rPr>
        <w:t>  </w:t>
      </w:r>
      <w:r>
        <w:rPr>
          <w:rFonts w:hint="eastAsia" w:ascii="仿宋" w:hAnsi="仿宋" w:eastAsia="仿宋" w:cs="Arial"/>
          <w:color w:val="000000"/>
          <w:sz w:val="24"/>
          <w:szCs w:val="24"/>
        </w:rPr>
        <w:t>本协议扣分及违规处罚，由违规地同级财政监管部门在政采云平台—诚信中心—违规/违约处理管理中进行实施，供应商收到违约/违规处理通知书之日起，3工作日内可进行申诉，未申诉或申诉无效则3工作日后处罚生效。</w:t>
      </w:r>
    </w:p>
    <w:p w14:paraId="11C85E09">
      <w:pPr>
        <w:pStyle w:val="2"/>
        <w:numPr>
          <w:ilvl w:val="0"/>
          <w:numId w:val="1"/>
        </w:numPr>
      </w:pPr>
      <w:bookmarkStart w:id="7" w:name="_Toc10444"/>
      <w:r>
        <w:rPr>
          <w:rFonts w:hint="eastAsia"/>
        </w:rPr>
        <w:t>竞价响应文件（格式）</w:t>
      </w:r>
      <w:bookmarkEnd w:id="7"/>
    </w:p>
    <w:p w14:paraId="4ECC4015"/>
    <w:tbl>
      <w:tblPr>
        <w:tblStyle w:val="20"/>
        <w:tblpPr w:leftFromText="180" w:rightFromText="180" w:vertAnchor="text" w:horzAnchor="page" w:tblpX="718" w:tblpY="-25"/>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76"/>
        <w:gridCol w:w="1470"/>
        <w:gridCol w:w="1284"/>
        <w:gridCol w:w="6164"/>
        <w:gridCol w:w="1388"/>
      </w:tblGrid>
      <w:tr w14:paraId="3BCF4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0CC34F8B">
            <w:pPr>
              <w:spacing w:line="480" w:lineRule="auto"/>
              <w:jc w:val="center"/>
              <w:rPr>
                <w:rFonts w:ascii="仿宋" w:hAnsi="仿宋" w:eastAsia="仿宋" w:cs="仿宋"/>
                <w:szCs w:val="21"/>
              </w:rPr>
            </w:pPr>
            <w:r>
              <w:rPr>
                <w:rFonts w:hint="eastAsia" w:ascii="仿宋" w:hAnsi="仿宋" w:eastAsia="仿宋" w:cs="仿宋"/>
                <w:b/>
                <w:bCs/>
                <w:sz w:val="32"/>
                <w:szCs w:val="36"/>
              </w:rPr>
              <w:t>竞价响应表</w:t>
            </w:r>
          </w:p>
        </w:tc>
      </w:tr>
      <w:tr w14:paraId="59495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19862394">
            <w:pPr>
              <w:spacing w:line="480" w:lineRule="auto"/>
              <w:jc w:val="left"/>
              <w:rPr>
                <w:rFonts w:ascii="仿宋" w:hAnsi="仿宋" w:eastAsia="仿宋" w:cs="仿宋"/>
                <w:sz w:val="24"/>
                <w:szCs w:val="28"/>
              </w:rPr>
            </w:pPr>
            <w:r>
              <w:rPr>
                <w:rFonts w:hint="eastAsia" w:ascii="仿宋" w:hAnsi="仿宋" w:eastAsia="仿宋" w:cs="仿宋"/>
                <w:sz w:val="24"/>
                <w:szCs w:val="28"/>
              </w:rPr>
              <w:t>项目名称：</w:t>
            </w:r>
          </w:p>
          <w:p w14:paraId="4A0FA162">
            <w:pPr>
              <w:spacing w:line="480" w:lineRule="auto"/>
              <w:jc w:val="left"/>
              <w:rPr>
                <w:rFonts w:ascii="仿宋" w:hAnsi="仿宋" w:eastAsia="仿宋" w:cs="仿宋"/>
                <w:sz w:val="24"/>
                <w:szCs w:val="28"/>
              </w:rPr>
            </w:pPr>
            <w:r>
              <w:rPr>
                <w:rFonts w:hint="eastAsia" w:ascii="仿宋" w:hAnsi="仿宋" w:eastAsia="仿宋" w:cs="仿宋"/>
                <w:sz w:val="24"/>
                <w:szCs w:val="28"/>
              </w:rPr>
              <w:t>项目编号：</w:t>
            </w:r>
          </w:p>
          <w:p w14:paraId="54AF046B">
            <w:pPr>
              <w:spacing w:line="480" w:lineRule="auto"/>
              <w:jc w:val="left"/>
              <w:rPr>
                <w:rFonts w:ascii="仿宋" w:hAnsi="仿宋" w:eastAsia="仿宋" w:cs="仿宋"/>
                <w:sz w:val="24"/>
                <w:szCs w:val="28"/>
              </w:rPr>
            </w:pPr>
            <w:r>
              <w:rPr>
                <w:rFonts w:hint="eastAsia" w:ascii="仿宋" w:hAnsi="仿宋" w:eastAsia="仿宋" w:cs="仿宋"/>
                <w:sz w:val="24"/>
                <w:szCs w:val="28"/>
              </w:rPr>
              <w:t>采购人（采购人）名称：</w:t>
            </w:r>
          </w:p>
        </w:tc>
      </w:tr>
      <w:tr w14:paraId="7DF47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6CE3DD8C">
            <w:pPr>
              <w:spacing w:line="480" w:lineRule="auto"/>
              <w:jc w:val="left"/>
              <w:rPr>
                <w:rFonts w:ascii="仿宋" w:hAnsi="仿宋" w:eastAsia="仿宋" w:cs="仿宋"/>
                <w:sz w:val="24"/>
                <w:szCs w:val="28"/>
                <w:u w:val="single"/>
              </w:rPr>
            </w:pPr>
            <w:r>
              <w:rPr>
                <w:rFonts w:hint="eastAsia" w:ascii="仿宋" w:hAnsi="仿宋" w:eastAsia="仿宋" w:cs="仿宋"/>
                <w:sz w:val="24"/>
                <w:szCs w:val="28"/>
              </w:rPr>
              <w:t>联系人：</w:t>
            </w:r>
            <w:r>
              <w:rPr>
                <w:rFonts w:hint="eastAsia" w:ascii="仿宋" w:hAnsi="仿宋" w:eastAsia="仿宋" w:cs="仿宋"/>
                <w:sz w:val="24"/>
                <w:szCs w:val="28"/>
                <w:u w:val="single"/>
              </w:rPr>
              <w:t xml:space="preserve">                    </w:t>
            </w:r>
          </w:p>
          <w:p w14:paraId="7CB72E54">
            <w:pPr>
              <w:spacing w:line="480" w:lineRule="auto"/>
              <w:jc w:val="left"/>
              <w:rPr>
                <w:rFonts w:ascii="仿宋" w:hAnsi="仿宋" w:eastAsia="仿宋" w:cs="仿宋"/>
                <w:sz w:val="24"/>
                <w:szCs w:val="28"/>
                <w:u w:val="single"/>
              </w:rPr>
            </w:pPr>
            <w:r>
              <w:rPr>
                <w:rFonts w:hint="eastAsia" w:ascii="仿宋" w:hAnsi="仿宋" w:eastAsia="仿宋" w:cs="仿宋"/>
                <w:sz w:val="24"/>
                <w:szCs w:val="28"/>
              </w:rPr>
              <w:t>联系方式：</w:t>
            </w:r>
            <w:r>
              <w:rPr>
                <w:rFonts w:hint="eastAsia" w:ascii="仿宋" w:hAnsi="仿宋" w:eastAsia="仿宋" w:cs="仿宋"/>
                <w:sz w:val="24"/>
                <w:szCs w:val="28"/>
                <w:u w:val="single"/>
              </w:rPr>
              <w:t xml:space="preserve">                  </w:t>
            </w:r>
          </w:p>
          <w:p w14:paraId="1A795111">
            <w:pPr>
              <w:spacing w:line="480" w:lineRule="auto"/>
              <w:jc w:val="left"/>
              <w:rPr>
                <w:rFonts w:ascii="仿宋" w:hAnsi="仿宋" w:eastAsia="仿宋" w:cs="仿宋"/>
                <w:sz w:val="24"/>
                <w:szCs w:val="28"/>
                <w:u w:val="single"/>
              </w:rPr>
            </w:pPr>
            <w:r>
              <w:rPr>
                <w:rFonts w:hint="eastAsia" w:ascii="仿宋" w:hAnsi="仿宋" w:eastAsia="仿宋" w:cs="仿宋"/>
                <w:sz w:val="24"/>
                <w:szCs w:val="28"/>
              </w:rPr>
              <w:t>竞标供应商名称（加盖公章）：</w:t>
            </w:r>
            <w:r>
              <w:rPr>
                <w:rFonts w:hint="eastAsia" w:ascii="仿宋" w:hAnsi="仿宋" w:eastAsia="仿宋" w:cs="仿宋"/>
                <w:sz w:val="24"/>
                <w:szCs w:val="28"/>
                <w:u w:val="single"/>
              </w:rPr>
              <w:t xml:space="preserve">                 </w:t>
            </w:r>
          </w:p>
          <w:p w14:paraId="3B27B917">
            <w:pPr>
              <w:spacing w:line="480" w:lineRule="auto"/>
              <w:jc w:val="left"/>
            </w:pPr>
            <w:r>
              <w:rPr>
                <w:rFonts w:hint="eastAsia" w:ascii="仿宋" w:hAnsi="仿宋" w:eastAsia="仿宋" w:cs="仿宋"/>
                <w:sz w:val="24"/>
                <w:szCs w:val="28"/>
              </w:rPr>
              <w:t>竞标日期：</w:t>
            </w:r>
            <w:r>
              <w:rPr>
                <w:rFonts w:hint="eastAsia" w:ascii="仿宋" w:hAnsi="仿宋" w:eastAsia="仿宋" w:cs="仿宋"/>
                <w:sz w:val="24"/>
                <w:szCs w:val="28"/>
                <w:u w:val="single"/>
              </w:rPr>
              <w:t>2026年    月   日</w:t>
            </w:r>
          </w:p>
        </w:tc>
      </w:tr>
      <w:tr w14:paraId="37C3D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27B410D9">
            <w:pPr>
              <w:spacing w:line="360" w:lineRule="auto"/>
              <w:jc w:val="left"/>
              <w:rPr>
                <w:rFonts w:ascii="仿宋" w:hAnsi="仿宋" w:eastAsia="仿宋" w:cs="仿宋"/>
                <w:sz w:val="24"/>
                <w:szCs w:val="28"/>
              </w:rPr>
            </w:pPr>
            <w:r>
              <w:rPr>
                <w:rFonts w:hint="eastAsia" w:ascii="仿宋" w:hAnsi="仿宋" w:eastAsia="仿宋" w:cs="仿宋"/>
                <w:sz w:val="24"/>
                <w:szCs w:val="28"/>
              </w:rPr>
              <w:t>注：</w:t>
            </w:r>
          </w:p>
          <w:p w14:paraId="41F71499">
            <w:pPr>
              <w:spacing w:line="360" w:lineRule="auto"/>
              <w:jc w:val="left"/>
              <w:rPr>
                <w:rFonts w:ascii="仿宋" w:hAnsi="仿宋" w:eastAsia="仿宋" w:cs="仿宋"/>
                <w:sz w:val="24"/>
                <w:szCs w:val="28"/>
              </w:rPr>
            </w:pPr>
            <w:r>
              <w:rPr>
                <w:rFonts w:hint="eastAsia" w:ascii="仿宋" w:hAnsi="仿宋" w:eastAsia="仿宋" w:cs="仿宋"/>
                <w:sz w:val="24"/>
                <w:szCs w:val="28"/>
              </w:rPr>
              <w:t>1）《竞价响应表》应按样表要求填写完整，不得留空，否则视为无效竞标。</w:t>
            </w:r>
          </w:p>
          <w:p w14:paraId="3EDDFB29">
            <w:pPr>
              <w:spacing w:line="360" w:lineRule="auto"/>
              <w:jc w:val="left"/>
              <w:rPr>
                <w:rFonts w:ascii="仿宋" w:hAnsi="仿宋" w:eastAsia="仿宋" w:cs="仿宋"/>
                <w:sz w:val="24"/>
                <w:szCs w:val="28"/>
              </w:rPr>
            </w:pPr>
            <w:r>
              <w:rPr>
                <w:rFonts w:hint="eastAsia" w:ascii="仿宋" w:hAnsi="仿宋" w:eastAsia="仿宋" w:cs="仿宋"/>
                <w:sz w:val="24"/>
                <w:szCs w:val="28"/>
              </w:rPr>
              <w:t>2）响应情况分为：①完全响应（正偏离）、②完全响应（无偏离）及③部分响应（负偏离）三类，供应商必须根据竞标实际情况填写响应情况并对表格每一页加盖单位公章。</w:t>
            </w:r>
          </w:p>
          <w:p w14:paraId="64F93BF8">
            <w:pPr>
              <w:spacing w:line="360" w:lineRule="auto"/>
              <w:jc w:val="left"/>
              <w:rPr>
                <w:rFonts w:ascii="仿宋" w:hAnsi="仿宋" w:eastAsia="仿宋" w:cs="仿宋"/>
                <w:sz w:val="24"/>
                <w:szCs w:val="28"/>
              </w:rPr>
            </w:pPr>
            <w:r>
              <w:rPr>
                <w:rFonts w:hint="eastAsia" w:ascii="仿宋" w:hAnsi="仿宋" w:eastAsia="仿宋" w:cs="仿宋"/>
                <w:sz w:val="24"/>
                <w:szCs w:val="28"/>
              </w:rPr>
              <w:t>3）若属于①完全响应（正偏离）或③部分响应（负偏离）的，则必须响应情况列内写明具体偏离情况。</w:t>
            </w:r>
          </w:p>
          <w:p w14:paraId="487E7E66">
            <w:pPr>
              <w:spacing w:line="360" w:lineRule="auto"/>
              <w:jc w:val="left"/>
            </w:pPr>
            <w:r>
              <w:rPr>
                <w:rFonts w:hint="eastAsia" w:ascii="仿宋" w:hAnsi="仿宋" w:eastAsia="仿宋" w:cs="仿宋"/>
                <w:sz w:val="24"/>
                <w:szCs w:val="28"/>
              </w:rPr>
              <w:t>4）未按上述要求填报《竞价响应表》并按采购文件要求在竞价时提供的，视为无效竞标。</w:t>
            </w:r>
          </w:p>
        </w:tc>
      </w:tr>
      <w:tr w14:paraId="5E386F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6" w:type="pct"/>
            <w:vAlign w:val="center"/>
          </w:tcPr>
          <w:p w14:paraId="6F5D86CC">
            <w:pPr>
              <w:spacing w:line="480" w:lineRule="auto"/>
              <w:jc w:val="center"/>
              <w:rPr>
                <w:rFonts w:ascii="仿宋" w:hAnsi="仿宋" w:eastAsia="仿宋" w:cs="仿宋"/>
                <w:sz w:val="24"/>
                <w:szCs w:val="24"/>
              </w:rPr>
            </w:pPr>
            <w:r>
              <w:rPr>
                <w:rFonts w:hint="eastAsia" w:ascii="仿宋" w:hAnsi="仿宋" w:eastAsia="仿宋" w:cs="仿宋"/>
                <w:sz w:val="24"/>
                <w:szCs w:val="24"/>
              </w:rPr>
              <w:t>项号</w:t>
            </w:r>
          </w:p>
        </w:tc>
        <w:tc>
          <w:tcPr>
            <w:tcW w:w="688" w:type="pct"/>
            <w:vAlign w:val="center"/>
          </w:tcPr>
          <w:p w14:paraId="7209214A">
            <w:pPr>
              <w:spacing w:line="480" w:lineRule="auto"/>
              <w:jc w:val="center"/>
              <w:rPr>
                <w:rFonts w:ascii="仿宋" w:hAnsi="仿宋" w:eastAsia="仿宋" w:cs="仿宋"/>
                <w:sz w:val="24"/>
                <w:szCs w:val="24"/>
              </w:rPr>
            </w:pPr>
            <w:r>
              <w:rPr>
                <w:rFonts w:hint="eastAsia" w:ascii="仿宋" w:hAnsi="仿宋" w:eastAsia="仿宋" w:cs="仿宋"/>
                <w:sz w:val="24"/>
                <w:szCs w:val="24"/>
              </w:rPr>
              <w:t>产品名称、品牌型号</w:t>
            </w:r>
          </w:p>
        </w:tc>
        <w:tc>
          <w:tcPr>
            <w:tcW w:w="601" w:type="pct"/>
            <w:vAlign w:val="center"/>
          </w:tcPr>
          <w:p w14:paraId="634F0459">
            <w:pPr>
              <w:spacing w:line="480" w:lineRule="auto"/>
              <w:jc w:val="center"/>
              <w:rPr>
                <w:rFonts w:ascii="仿宋" w:hAnsi="仿宋" w:eastAsia="仿宋" w:cs="仿宋"/>
                <w:sz w:val="24"/>
                <w:szCs w:val="24"/>
              </w:rPr>
            </w:pPr>
            <w:r>
              <w:rPr>
                <w:rFonts w:hint="eastAsia" w:ascii="仿宋" w:hAnsi="仿宋" w:eastAsia="仿宋" w:cs="仿宋"/>
                <w:sz w:val="24"/>
                <w:szCs w:val="24"/>
              </w:rPr>
              <w:t>数量</w:t>
            </w:r>
          </w:p>
        </w:tc>
        <w:tc>
          <w:tcPr>
            <w:tcW w:w="2885" w:type="pct"/>
            <w:vAlign w:val="center"/>
          </w:tcPr>
          <w:p w14:paraId="6966BCE5">
            <w:pPr>
              <w:spacing w:line="480" w:lineRule="auto"/>
              <w:jc w:val="center"/>
              <w:rPr>
                <w:rFonts w:ascii="仿宋" w:hAnsi="仿宋" w:eastAsia="仿宋" w:cs="仿宋"/>
                <w:sz w:val="24"/>
                <w:szCs w:val="24"/>
              </w:rPr>
            </w:pPr>
            <w:r>
              <w:rPr>
                <w:rFonts w:hint="eastAsia" w:ascii="仿宋" w:hAnsi="仿宋" w:eastAsia="仿宋" w:cs="仿宋"/>
                <w:sz w:val="24"/>
                <w:szCs w:val="24"/>
              </w:rPr>
              <w:t>技术参数及性能配置要求具体响应</w:t>
            </w:r>
          </w:p>
        </w:tc>
        <w:tc>
          <w:tcPr>
            <w:tcW w:w="649" w:type="pct"/>
            <w:vAlign w:val="center"/>
          </w:tcPr>
          <w:p w14:paraId="256992FB">
            <w:pPr>
              <w:spacing w:line="480" w:lineRule="auto"/>
              <w:jc w:val="center"/>
              <w:rPr>
                <w:rFonts w:ascii="仿宋" w:hAnsi="仿宋" w:eastAsia="仿宋" w:cs="仿宋"/>
                <w:sz w:val="24"/>
                <w:szCs w:val="24"/>
              </w:rPr>
            </w:pPr>
            <w:r>
              <w:rPr>
                <w:rFonts w:hint="eastAsia" w:ascii="仿宋" w:hAnsi="仿宋" w:eastAsia="仿宋" w:cs="仿宋"/>
                <w:sz w:val="24"/>
                <w:szCs w:val="24"/>
              </w:rPr>
              <w:t>响应情况</w:t>
            </w:r>
          </w:p>
        </w:tc>
      </w:tr>
      <w:tr w14:paraId="21295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6" w:type="pct"/>
            <w:vAlign w:val="center"/>
          </w:tcPr>
          <w:p w14:paraId="36143360">
            <w:pPr>
              <w:jc w:val="center"/>
              <w:rPr>
                <w:rFonts w:ascii="仿宋" w:hAnsi="仿宋" w:eastAsia="仿宋" w:cs="仿宋"/>
                <w:sz w:val="24"/>
                <w:szCs w:val="24"/>
              </w:rPr>
            </w:pPr>
            <w:r>
              <w:rPr>
                <w:rFonts w:hint="eastAsia" w:ascii="仿宋" w:hAnsi="仿宋" w:eastAsia="仿宋"/>
                <w:szCs w:val="21"/>
              </w:rPr>
              <w:t>1</w:t>
            </w:r>
          </w:p>
        </w:tc>
        <w:tc>
          <w:tcPr>
            <w:tcW w:w="688" w:type="pct"/>
            <w:vAlign w:val="center"/>
          </w:tcPr>
          <w:p w14:paraId="4003AA63">
            <w:pPr>
              <w:spacing w:line="480" w:lineRule="auto"/>
              <w:jc w:val="center"/>
              <w:rPr>
                <w:rFonts w:ascii="仿宋" w:hAnsi="仿宋" w:eastAsia="仿宋" w:cs="仿宋"/>
                <w:sz w:val="24"/>
                <w:szCs w:val="28"/>
              </w:rPr>
            </w:pPr>
          </w:p>
        </w:tc>
        <w:tc>
          <w:tcPr>
            <w:tcW w:w="601" w:type="pct"/>
            <w:vAlign w:val="center"/>
          </w:tcPr>
          <w:p w14:paraId="67AC80DD">
            <w:pPr>
              <w:spacing w:line="480" w:lineRule="auto"/>
              <w:jc w:val="center"/>
              <w:rPr>
                <w:rFonts w:ascii="仿宋" w:hAnsi="仿宋" w:eastAsia="仿宋" w:cs="仿宋"/>
                <w:sz w:val="24"/>
                <w:szCs w:val="28"/>
              </w:rPr>
            </w:pPr>
          </w:p>
        </w:tc>
        <w:tc>
          <w:tcPr>
            <w:tcW w:w="2885" w:type="pct"/>
          </w:tcPr>
          <w:p w14:paraId="5FD88383">
            <w:pPr>
              <w:spacing w:line="480" w:lineRule="auto"/>
              <w:jc w:val="left"/>
              <w:rPr>
                <w:rFonts w:ascii="仿宋" w:hAnsi="仿宋" w:eastAsia="仿宋" w:cs="仿宋"/>
                <w:sz w:val="24"/>
                <w:szCs w:val="24"/>
              </w:rPr>
            </w:pPr>
          </w:p>
        </w:tc>
        <w:tc>
          <w:tcPr>
            <w:tcW w:w="649" w:type="pct"/>
            <w:vAlign w:val="center"/>
          </w:tcPr>
          <w:p w14:paraId="103A21A4">
            <w:pPr>
              <w:widowControl/>
              <w:spacing w:line="480" w:lineRule="auto"/>
              <w:jc w:val="left"/>
              <w:textAlignment w:val="center"/>
              <w:rPr>
                <w:rFonts w:ascii="仿宋" w:hAnsi="仿宋" w:eastAsia="仿宋" w:cs="仿宋"/>
                <w:sz w:val="24"/>
                <w:szCs w:val="24"/>
              </w:rPr>
            </w:pPr>
          </w:p>
        </w:tc>
      </w:tr>
      <w:tr w14:paraId="74D1C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trPr>
        <w:tc>
          <w:tcPr>
            <w:tcW w:w="176" w:type="pct"/>
            <w:vAlign w:val="center"/>
          </w:tcPr>
          <w:p w14:paraId="4AF0330C">
            <w:pPr>
              <w:jc w:val="center"/>
              <w:rPr>
                <w:rFonts w:ascii="仿宋" w:hAnsi="仿宋" w:eastAsia="仿宋"/>
                <w:szCs w:val="21"/>
              </w:rPr>
            </w:pPr>
            <w:r>
              <w:rPr>
                <w:rFonts w:hint="eastAsia" w:ascii="仿宋" w:hAnsi="仿宋" w:eastAsia="仿宋"/>
                <w:szCs w:val="21"/>
              </w:rPr>
              <w:t>2</w:t>
            </w:r>
          </w:p>
        </w:tc>
        <w:tc>
          <w:tcPr>
            <w:tcW w:w="688" w:type="pct"/>
            <w:vAlign w:val="center"/>
          </w:tcPr>
          <w:p w14:paraId="7BE320E8">
            <w:pPr>
              <w:spacing w:line="480" w:lineRule="auto"/>
              <w:jc w:val="center"/>
              <w:rPr>
                <w:rFonts w:ascii="仿宋" w:hAnsi="仿宋" w:eastAsia="仿宋" w:cs="仿宋"/>
                <w:sz w:val="24"/>
                <w:szCs w:val="28"/>
              </w:rPr>
            </w:pPr>
          </w:p>
        </w:tc>
        <w:tc>
          <w:tcPr>
            <w:tcW w:w="601" w:type="pct"/>
            <w:vAlign w:val="center"/>
          </w:tcPr>
          <w:p w14:paraId="53726468">
            <w:pPr>
              <w:spacing w:line="480" w:lineRule="auto"/>
              <w:jc w:val="center"/>
              <w:rPr>
                <w:rFonts w:ascii="仿宋" w:hAnsi="仿宋" w:eastAsia="仿宋" w:cs="仿宋"/>
                <w:sz w:val="24"/>
                <w:szCs w:val="28"/>
              </w:rPr>
            </w:pPr>
          </w:p>
        </w:tc>
        <w:tc>
          <w:tcPr>
            <w:tcW w:w="2885" w:type="pct"/>
          </w:tcPr>
          <w:p w14:paraId="6682DAD9">
            <w:pPr>
              <w:spacing w:line="480" w:lineRule="auto"/>
              <w:jc w:val="left"/>
              <w:rPr>
                <w:rFonts w:ascii="仿宋" w:hAnsi="仿宋" w:eastAsia="仿宋" w:cs="仿宋"/>
                <w:sz w:val="24"/>
                <w:szCs w:val="24"/>
              </w:rPr>
            </w:pPr>
          </w:p>
        </w:tc>
        <w:tc>
          <w:tcPr>
            <w:tcW w:w="649" w:type="pct"/>
            <w:vAlign w:val="center"/>
          </w:tcPr>
          <w:p w14:paraId="45129458">
            <w:pPr>
              <w:widowControl/>
              <w:spacing w:line="480" w:lineRule="auto"/>
              <w:jc w:val="left"/>
              <w:textAlignment w:val="center"/>
              <w:rPr>
                <w:rFonts w:ascii="仿宋" w:hAnsi="仿宋" w:eastAsia="仿宋" w:cs="仿宋"/>
                <w:sz w:val="24"/>
                <w:szCs w:val="24"/>
              </w:rPr>
            </w:pPr>
          </w:p>
        </w:tc>
      </w:tr>
      <w:tr w14:paraId="4CFAD8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48" w:hRule="atLeast"/>
        </w:trPr>
        <w:tc>
          <w:tcPr>
            <w:tcW w:w="5000" w:type="pct"/>
            <w:gridSpan w:val="5"/>
            <w:vAlign w:val="center"/>
          </w:tcPr>
          <w:p w14:paraId="2E056491">
            <w:pPr>
              <w:widowControl/>
              <w:spacing w:line="480" w:lineRule="auto"/>
              <w:jc w:val="left"/>
              <w:textAlignment w:val="center"/>
              <w:rPr>
                <w:rFonts w:ascii="仿宋" w:hAnsi="仿宋" w:eastAsia="仿宋" w:cs="仿宋"/>
                <w:b/>
                <w:bCs/>
                <w:sz w:val="24"/>
                <w:szCs w:val="24"/>
                <w:u w:val="single"/>
              </w:rPr>
            </w:pPr>
            <w:r>
              <w:rPr>
                <w:rFonts w:hint="eastAsia" w:ascii="仿宋" w:hAnsi="仿宋" w:eastAsia="仿宋" w:cs="仿宋"/>
                <w:b/>
                <w:bCs/>
                <w:sz w:val="24"/>
                <w:szCs w:val="24"/>
                <w:u w:val="single"/>
              </w:rPr>
              <w:t>报价占比（①+②=100%）：</w:t>
            </w:r>
          </w:p>
          <w:p w14:paraId="1FEFC8E6">
            <w:pPr>
              <w:widowControl/>
              <w:spacing w:line="480" w:lineRule="auto"/>
              <w:jc w:val="left"/>
              <w:textAlignment w:val="center"/>
              <w:rPr>
                <w:rFonts w:ascii="仿宋" w:hAnsi="仿宋" w:eastAsia="仿宋" w:cs="仿宋"/>
                <w:sz w:val="24"/>
                <w:szCs w:val="24"/>
              </w:rPr>
            </w:pPr>
            <w:r>
              <w:rPr>
                <w:rFonts w:hint="eastAsia" w:ascii="仿宋" w:hAnsi="仿宋" w:eastAsia="仿宋" w:cs="仿宋"/>
                <w:sz w:val="24"/>
                <w:szCs w:val="24"/>
              </w:rPr>
              <w:t>①设备费占总报价</w:t>
            </w:r>
            <w:r>
              <w:rPr>
                <w:rFonts w:hint="eastAsia" w:ascii="仿宋" w:hAnsi="仿宋" w:eastAsia="仿宋" w:cs="仿宋"/>
                <w:sz w:val="24"/>
                <w:szCs w:val="24"/>
                <w:u w:val="single"/>
              </w:rPr>
              <w:t xml:space="preserve">    %</w:t>
            </w:r>
            <w:r>
              <w:rPr>
                <w:rFonts w:hint="eastAsia" w:ascii="仿宋" w:hAnsi="仿宋" w:eastAsia="仿宋" w:cs="仿宋"/>
                <w:sz w:val="24"/>
                <w:szCs w:val="24"/>
              </w:rPr>
              <w:t>；②安装费（含调试）占总报价</w:t>
            </w:r>
            <w:r>
              <w:rPr>
                <w:rFonts w:hint="eastAsia" w:ascii="仿宋" w:hAnsi="仿宋" w:eastAsia="仿宋" w:cs="仿宋"/>
                <w:sz w:val="24"/>
                <w:szCs w:val="24"/>
                <w:u w:val="single"/>
              </w:rPr>
              <w:t xml:space="preserve">    %</w:t>
            </w:r>
            <w:r>
              <w:rPr>
                <w:rFonts w:hint="eastAsia" w:ascii="仿宋" w:hAnsi="仿宋" w:eastAsia="仿宋" w:cs="仿宋"/>
                <w:sz w:val="24"/>
                <w:szCs w:val="24"/>
              </w:rPr>
              <w:t>。</w:t>
            </w:r>
          </w:p>
        </w:tc>
      </w:tr>
    </w:tbl>
    <w:p w14:paraId="4E4502A7">
      <w:pPr>
        <w:pStyle w:val="18"/>
        <w:ind w:firstLine="0" w:firstLineChars="0"/>
      </w:pPr>
    </w:p>
    <w:sectPr>
      <w:footerReference r:id="rId3" w:type="default"/>
      <w:pgSz w:w="11906" w:h="16838"/>
      <w:pgMar w:top="720" w:right="720" w:bottom="720" w:left="720" w:header="851" w:footer="992" w:gutter="0"/>
      <w:pgNumType w:start="2"/>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C317FA34-4F2A-4FA3-8EC8-9DC1CD991F4E}"/>
  </w:font>
  <w:font w:name="黑体">
    <w:panose1 w:val="02010609060101010101"/>
    <w:charset w:val="86"/>
    <w:family w:val="auto"/>
    <w:pitch w:val="default"/>
    <w:sig w:usb0="800002BF" w:usb1="38CF7CFA" w:usb2="00000016" w:usb3="00000000" w:csb0="00040001" w:csb1="00000000"/>
    <w:embedRegular r:id="rId2" w:fontKey="{20A3DFB1-153E-41F3-B2FB-52CAF76CF8D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D0F28922-BFA6-43DF-B5B0-93435E975027}"/>
  </w:font>
  <w:font w:name="仿宋_GB2312">
    <w:panose1 w:val="02010609030101010101"/>
    <w:charset w:val="86"/>
    <w:family w:val="modern"/>
    <w:pitch w:val="default"/>
    <w:sig w:usb0="00000001" w:usb1="080E0000" w:usb2="00000000" w:usb3="00000000" w:csb0="00040000" w:csb1="00000000"/>
  </w:font>
  <w:font w:name="方正公文小标宋">
    <w:altName w:val="微软雅黑"/>
    <w:panose1 w:val="020B0604020202020204"/>
    <w:charset w:val="86"/>
    <w:family w:val="auto"/>
    <w:pitch w:val="default"/>
    <w:sig w:usb0="00000000" w:usb1="00000000" w:usb2="00000016" w:usb3="00000000" w:csb0="00040001" w:csb1="00000000"/>
    <w:embedRegular r:id="rId4" w:fontKey="{51EA47C5-811F-49A7-9283-E95C7E25D60A}"/>
  </w:font>
  <w:font w:name="微软雅黑">
    <w:panose1 w:val="020B0503020204020204"/>
    <w:charset w:val="86"/>
    <w:family w:val="swiss"/>
    <w:pitch w:val="default"/>
    <w:sig w:usb0="80000287" w:usb1="2ACF3C50" w:usb2="00000016" w:usb3="00000000" w:csb0="0004001F" w:csb1="00000000"/>
    <w:embedRegular r:id="rId5" w:fontKey="{F5295138-2419-4137-928B-1E5650FDC36A}"/>
  </w:font>
  <w:font w:name="仿宋">
    <w:panose1 w:val="02010609060101010101"/>
    <w:charset w:val="86"/>
    <w:family w:val="modern"/>
    <w:pitch w:val="default"/>
    <w:sig w:usb0="800002BF" w:usb1="38CF7CFA" w:usb2="00000016" w:usb3="00000000" w:csb0="00040001" w:csb1="00000000"/>
    <w:embedRegular r:id="rId6" w:fontKey="{A27EFC18-7A5C-481F-B7F4-C37458951FF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rFonts w:hint="eastAsia" w:ascii="宋体" w:hAnsi="宋体" w:cs="宋体"/>
        <w:sz w:val="21"/>
        <w:szCs w:val="21"/>
      </w:rPr>
      <w:id w:val="1876422653"/>
    </w:sdtPr>
    <w:sdtEndPr>
      <w:rPr>
        <w:rFonts w:hint="eastAsia" w:ascii="宋体" w:hAnsi="宋体" w:cs="宋体"/>
        <w:sz w:val="21"/>
        <w:szCs w:val="21"/>
      </w:rPr>
    </w:sdtEndPr>
    <w:sdtContent>
      <w:sdt>
        <w:sdtPr>
          <w:rPr>
            <w:rFonts w:hint="eastAsia" w:ascii="宋体" w:hAnsi="宋体" w:cs="宋体"/>
            <w:sz w:val="21"/>
            <w:szCs w:val="21"/>
          </w:rPr>
          <w:id w:val="680238593"/>
        </w:sdtPr>
        <w:sdtEndPr>
          <w:rPr>
            <w:rFonts w:hint="eastAsia" w:ascii="宋体" w:hAnsi="宋体" w:cs="宋体"/>
            <w:sz w:val="21"/>
            <w:szCs w:val="21"/>
          </w:rPr>
        </w:sdtEndPr>
        <w:sdtContent>
          <w:p w14:paraId="2C81B478">
            <w:pPr>
              <w:pStyle w:val="11"/>
              <w:jc w:val="center"/>
            </w:pPr>
            <w:r>
              <w:rPr>
                <w:rFonts w:hint="eastAsia" w:ascii="宋体" w:hAnsi="宋体" w:cs="宋体"/>
                <w:sz w:val="21"/>
                <w:szCs w:val="21"/>
                <w:lang w:val="zh-CN"/>
              </w:rPr>
              <w:t xml:space="preserve"> </w:t>
            </w:r>
            <w:r>
              <w:rPr>
                <w:rFonts w:hint="eastAsia" w:ascii="宋体" w:hAnsi="宋体" w:cs="宋体"/>
                <w:b/>
                <w:bCs/>
                <w:sz w:val="32"/>
                <w:szCs w:val="32"/>
              </w:rPr>
              <w:fldChar w:fldCharType="begin"/>
            </w:r>
            <w:r>
              <w:rPr>
                <w:rFonts w:hint="eastAsia" w:ascii="宋体" w:hAnsi="宋体" w:cs="宋体"/>
                <w:b/>
                <w:bCs/>
                <w:sz w:val="21"/>
                <w:szCs w:val="21"/>
              </w:rPr>
              <w:instrText xml:space="preserve">PAGE</w:instrText>
            </w:r>
            <w:r>
              <w:rPr>
                <w:rFonts w:hint="eastAsia" w:ascii="宋体" w:hAnsi="宋体" w:cs="宋体"/>
                <w:b/>
                <w:bCs/>
                <w:sz w:val="32"/>
                <w:szCs w:val="32"/>
              </w:rPr>
              <w:fldChar w:fldCharType="separate"/>
            </w:r>
            <w:r>
              <w:rPr>
                <w:rFonts w:ascii="宋体" w:hAnsi="宋体" w:cs="宋体"/>
                <w:b/>
                <w:bCs/>
                <w:sz w:val="21"/>
                <w:szCs w:val="21"/>
              </w:rPr>
              <w:t>2</w:t>
            </w:r>
            <w:r>
              <w:rPr>
                <w:rFonts w:hint="eastAsia" w:ascii="宋体" w:hAnsi="宋体" w:cs="宋体"/>
                <w:b/>
                <w:bCs/>
                <w:sz w:val="32"/>
                <w:szCs w:val="32"/>
              </w:rPr>
              <w:fldChar w:fldCharType="end"/>
            </w:r>
            <w:r>
              <w:rPr>
                <w:rFonts w:hint="eastAsia" w:ascii="宋体" w:hAnsi="宋体" w:cs="宋体"/>
                <w:sz w:val="21"/>
                <w:szCs w:val="21"/>
                <w:lang w:val="zh-CN"/>
              </w:rPr>
              <w:t xml:space="preserve"> / </w:t>
            </w:r>
            <w:r>
              <w:rPr>
                <w:rFonts w:hint="eastAsia" w:ascii="宋体" w:hAnsi="宋体" w:cs="宋体"/>
                <w:b/>
                <w:bCs/>
                <w:sz w:val="32"/>
                <w:szCs w:val="32"/>
              </w:rPr>
              <w:fldChar w:fldCharType="begin"/>
            </w:r>
            <w:r>
              <w:rPr>
                <w:rFonts w:hint="eastAsia" w:ascii="宋体" w:hAnsi="宋体" w:cs="宋体"/>
                <w:b/>
                <w:bCs/>
                <w:sz w:val="21"/>
                <w:szCs w:val="21"/>
              </w:rPr>
              <w:instrText xml:space="preserve">NUMPAGES</w:instrText>
            </w:r>
            <w:r>
              <w:rPr>
                <w:rFonts w:hint="eastAsia" w:ascii="宋体" w:hAnsi="宋体" w:cs="宋体"/>
                <w:b/>
                <w:bCs/>
                <w:sz w:val="32"/>
                <w:szCs w:val="32"/>
              </w:rPr>
              <w:fldChar w:fldCharType="separate"/>
            </w:r>
            <w:r>
              <w:rPr>
                <w:rFonts w:ascii="宋体" w:hAnsi="宋体" w:cs="宋体"/>
                <w:b/>
                <w:bCs/>
                <w:sz w:val="21"/>
                <w:szCs w:val="21"/>
              </w:rPr>
              <w:t>12</w:t>
            </w:r>
            <w:r>
              <w:rPr>
                <w:rFonts w:hint="eastAsia" w:ascii="宋体" w:hAnsi="宋体" w:cs="宋体"/>
                <w:b/>
                <w:bCs/>
                <w:sz w:val="32"/>
                <w:szCs w:val="32"/>
              </w:rPr>
              <w:fldChar w:fldCharType="end"/>
            </w:r>
          </w:p>
        </w:sdtContent>
      </w:sdt>
    </w:sdtContent>
  </w:sdt>
  <w:p w14:paraId="06F53CF5">
    <w:pPr>
      <w:pStyle w:val="11"/>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563E66A"/>
    <w:multiLevelType w:val="singleLevel"/>
    <w:tmpl w:val="F563E66A"/>
    <w:lvl w:ilvl="0" w:tentative="0">
      <w:start w:val="1"/>
      <w:numFmt w:val="chineseCounting"/>
      <w:suff w:val="space"/>
      <w:lvlText w:val="第%1章"/>
      <w:lvlJc w:val="left"/>
      <w:rPr>
        <w:rFonts w:hint="eastAsia"/>
      </w:rPr>
    </w:lvl>
  </w:abstractNum>
  <w:abstractNum w:abstractNumId="1">
    <w:nsid w:val="38240C86"/>
    <w:multiLevelType w:val="multilevel"/>
    <w:tmpl w:val="38240C86"/>
    <w:lvl w:ilvl="0" w:tentative="0">
      <w:start w:val="1"/>
      <w:numFmt w:val="decimal"/>
      <w:lvlText w:val="%1、"/>
      <w:lvlJc w:val="left"/>
      <w:pPr>
        <w:ind w:left="360" w:hanging="360"/>
      </w:pPr>
      <w:rPr>
        <w:rFonts w:hint="default"/>
        <w:b/>
        <w:bCs/>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39909DE7"/>
    <w:multiLevelType w:val="singleLevel"/>
    <w:tmpl w:val="39909DE7"/>
    <w:lvl w:ilvl="0" w:tentative="0">
      <w:start w:val="5"/>
      <w:numFmt w:val="decimal"/>
      <w:suff w:val="nothing"/>
      <w:lvlText w:val="%1）"/>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1"/>
  <w:bordersDoNotSurroundFooter w:val="1"/>
  <w:documentProtection w:edit="forms"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GRkMmFmY2I3YzMxODZiMGI5OTU5Nzk5MzlkZmVhYzMifQ=="/>
  </w:docVars>
  <w:rsids>
    <w:rsidRoot w:val="00954254"/>
    <w:rsid w:val="00016B63"/>
    <w:rsid w:val="0002394F"/>
    <w:rsid w:val="000251DD"/>
    <w:rsid w:val="000330C6"/>
    <w:rsid w:val="00045A05"/>
    <w:rsid w:val="00051421"/>
    <w:rsid w:val="000522AA"/>
    <w:rsid w:val="00056EAD"/>
    <w:rsid w:val="00060431"/>
    <w:rsid w:val="00065489"/>
    <w:rsid w:val="00092596"/>
    <w:rsid w:val="000A23B0"/>
    <w:rsid w:val="000B0BC6"/>
    <w:rsid w:val="000B2309"/>
    <w:rsid w:val="000B263A"/>
    <w:rsid w:val="000C4459"/>
    <w:rsid w:val="000C4563"/>
    <w:rsid w:val="000C4F3D"/>
    <w:rsid w:val="000D3133"/>
    <w:rsid w:val="000F6372"/>
    <w:rsid w:val="000F69A5"/>
    <w:rsid w:val="0010318A"/>
    <w:rsid w:val="001040D6"/>
    <w:rsid w:val="00110DA1"/>
    <w:rsid w:val="00117387"/>
    <w:rsid w:val="001205F2"/>
    <w:rsid w:val="0012244E"/>
    <w:rsid w:val="001331B5"/>
    <w:rsid w:val="0013514F"/>
    <w:rsid w:val="0013572A"/>
    <w:rsid w:val="00143840"/>
    <w:rsid w:val="00144522"/>
    <w:rsid w:val="001450EE"/>
    <w:rsid w:val="00151395"/>
    <w:rsid w:val="00152064"/>
    <w:rsid w:val="00160D52"/>
    <w:rsid w:val="00171FA2"/>
    <w:rsid w:val="001724E8"/>
    <w:rsid w:val="001732C0"/>
    <w:rsid w:val="00177BA2"/>
    <w:rsid w:val="0018478F"/>
    <w:rsid w:val="001A5639"/>
    <w:rsid w:val="001B4111"/>
    <w:rsid w:val="001B433D"/>
    <w:rsid w:val="001B5CEE"/>
    <w:rsid w:val="001C59BD"/>
    <w:rsid w:val="001C6FB5"/>
    <w:rsid w:val="001D27CC"/>
    <w:rsid w:val="001E13B4"/>
    <w:rsid w:val="001E7E01"/>
    <w:rsid w:val="00202E4C"/>
    <w:rsid w:val="002106A7"/>
    <w:rsid w:val="002125B1"/>
    <w:rsid w:val="00220D92"/>
    <w:rsid w:val="0022240E"/>
    <w:rsid w:val="00227DDF"/>
    <w:rsid w:val="002447BD"/>
    <w:rsid w:val="0024637B"/>
    <w:rsid w:val="00247D17"/>
    <w:rsid w:val="002519E2"/>
    <w:rsid w:val="00254CDF"/>
    <w:rsid w:val="00256E0E"/>
    <w:rsid w:val="0027133F"/>
    <w:rsid w:val="00275C0A"/>
    <w:rsid w:val="002870DD"/>
    <w:rsid w:val="002879F5"/>
    <w:rsid w:val="00290A0E"/>
    <w:rsid w:val="00292C1F"/>
    <w:rsid w:val="002A6663"/>
    <w:rsid w:val="002B1105"/>
    <w:rsid w:val="002C36F8"/>
    <w:rsid w:val="002D0632"/>
    <w:rsid w:val="002D3358"/>
    <w:rsid w:val="002D5474"/>
    <w:rsid w:val="002F3A3F"/>
    <w:rsid w:val="00302288"/>
    <w:rsid w:val="003055A9"/>
    <w:rsid w:val="00306ABE"/>
    <w:rsid w:val="003122D0"/>
    <w:rsid w:val="00312A14"/>
    <w:rsid w:val="00331248"/>
    <w:rsid w:val="00335C74"/>
    <w:rsid w:val="00350511"/>
    <w:rsid w:val="0035315E"/>
    <w:rsid w:val="00353823"/>
    <w:rsid w:val="00354CBB"/>
    <w:rsid w:val="003612F1"/>
    <w:rsid w:val="00364DD1"/>
    <w:rsid w:val="0036528B"/>
    <w:rsid w:val="003655E6"/>
    <w:rsid w:val="00374EE4"/>
    <w:rsid w:val="00375353"/>
    <w:rsid w:val="00377C87"/>
    <w:rsid w:val="003A2EDD"/>
    <w:rsid w:val="003B3DB0"/>
    <w:rsid w:val="003B76EE"/>
    <w:rsid w:val="003C341A"/>
    <w:rsid w:val="003C5580"/>
    <w:rsid w:val="003E372B"/>
    <w:rsid w:val="003F3975"/>
    <w:rsid w:val="00401439"/>
    <w:rsid w:val="004029E5"/>
    <w:rsid w:val="00402E14"/>
    <w:rsid w:val="004046E9"/>
    <w:rsid w:val="00407172"/>
    <w:rsid w:val="004220D4"/>
    <w:rsid w:val="00431A01"/>
    <w:rsid w:val="0044469E"/>
    <w:rsid w:val="00461CC1"/>
    <w:rsid w:val="00465C36"/>
    <w:rsid w:val="00465CCD"/>
    <w:rsid w:val="00481C4E"/>
    <w:rsid w:val="00485189"/>
    <w:rsid w:val="00486151"/>
    <w:rsid w:val="00490748"/>
    <w:rsid w:val="004A33B3"/>
    <w:rsid w:val="004B57F1"/>
    <w:rsid w:val="004B7559"/>
    <w:rsid w:val="004C3D67"/>
    <w:rsid w:val="004D2F80"/>
    <w:rsid w:val="004D4646"/>
    <w:rsid w:val="004F1054"/>
    <w:rsid w:val="004F73A7"/>
    <w:rsid w:val="005136C3"/>
    <w:rsid w:val="00513EE2"/>
    <w:rsid w:val="00516189"/>
    <w:rsid w:val="005205B9"/>
    <w:rsid w:val="00524C8A"/>
    <w:rsid w:val="00531180"/>
    <w:rsid w:val="005439CE"/>
    <w:rsid w:val="005518DB"/>
    <w:rsid w:val="00551935"/>
    <w:rsid w:val="00551FAD"/>
    <w:rsid w:val="00570159"/>
    <w:rsid w:val="00572ABF"/>
    <w:rsid w:val="005751D8"/>
    <w:rsid w:val="00582AF4"/>
    <w:rsid w:val="005843DC"/>
    <w:rsid w:val="00597B69"/>
    <w:rsid w:val="005A3ED2"/>
    <w:rsid w:val="005B0830"/>
    <w:rsid w:val="005B5AE0"/>
    <w:rsid w:val="005C0014"/>
    <w:rsid w:val="005C02E8"/>
    <w:rsid w:val="005C434B"/>
    <w:rsid w:val="005C63ED"/>
    <w:rsid w:val="005E0439"/>
    <w:rsid w:val="005E3531"/>
    <w:rsid w:val="005E7693"/>
    <w:rsid w:val="005F5D96"/>
    <w:rsid w:val="00606818"/>
    <w:rsid w:val="0061047C"/>
    <w:rsid w:val="0061184F"/>
    <w:rsid w:val="006162FB"/>
    <w:rsid w:val="00643566"/>
    <w:rsid w:val="006453A8"/>
    <w:rsid w:val="0064730B"/>
    <w:rsid w:val="00653996"/>
    <w:rsid w:val="00665DB5"/>
    <w:rsid w:val="00670122"/>
    <w:rsid w:val="00677F60"/>
    <w:rsid w:val="00692E6D"/>
    <w:rsid w:val="006943A2"/>
    <w:rsid w:val="006974E9"/>
    <w:rsid w:val="00697E41"/>
    <w:rsid w:val="006A29F5"/>
    <w:rsid w:val="006B5F46"/>
    <w:rsid w:val="006C1B20"/>
    <w:rsid w:val="006D15AA"/>
    <w:rsid w:val="006D3370"/>
    <w:rsid w:val="006D5C24"/>
    <w:rsid w:val="006F0A68"/>
    <w:rsid w:val="006F1C9C"/>
    <w:rsid w:val="006F4233"/>
    <w:rsid w:val="006F74A3"/>
    <w:rsid w:val="006F775A"/>
    <w:rsid w:val="0070781B"/>
    <w:rsid w:val="00707995"/>
    <w:rsid w:val="00710F8B"/>
    <w:rsid w:val="0072451D"/>
    <w:rsid w:val="00737F97"/>
    <w:rsid w:val="007436D9"/>
    <w:rsid w:val="007447F3"/>
    <w:rsid w:val="007610ED"/>
    <w:rsid w:val="0076252E"/>
    <w:rsid w:val="0076629E"/>
    <w:rsid w:val="007800F0"/>
    <w:rsid w:val="007840D2"/>
    <w:rsid w:val="0079374C"/>
    <w:rsid w:val="00794893"/>
    <w:rsid w:val="00795B02"/>
    <w:rsid w:val="007A0DF5"/>
    <w:rsid w:val="007A4976"/>
    <w:rsid w:val="007B4FC7"/>
    <w:rsid w:val="007C0133"/>
    <w:rsid w:val="007C4AE0"/>
    <w:rsid w:val="007D11BB"/>
    <w:rsid w:val="007D25F7"/>
    <w:rsid w:val="007D345A"/>
    <w:rsid w:val="007D462E"/>
    <w:rsid w:val="007E046F"/>
    <w:rsid w:val="007E3DB5"/>
    <w:rsid w:val="007F4E04"/>
    <w:rsid w:val="008107FF"/>
    <w:rsid w:val="0081270A"/>
    <w:rsid w:val="008322BB"/>
    <w:rsid w:val="0084152C"/>
    <w:rsid w:val="00854457"/>
    <w:rsid w:val="00862AC2"/>
    <w:rsid w:val="00866B82"/>
    <w:rsid w:val="0089144C"/>
    <w:rsid w:val="00892B89"/>
    <w:rsid w:val="00894801"/>
    <w:rsid w:val="00896DF2"/>
    <w:rsid w:val="008D31C6"/>
    <w:rsid w:val="008D53F3"/>
    <w:rsid w:val="008D7728"/>
    <w:rsid w:val="008E4874"/>
    <w:rsid w:val="008E709F"/>
    <w:rsid w:val="0090464C"/>
    <w:rsid w:val="00913FDA"/>
    <w:rsid w:val="009223D8"/>
    <w:rsid w:val="00934488"/>
    <w:rsid w:val="00941DEA"/>
    <w:rsid w:val="00943BAA"/>
    <w:rsid w:val="00954254"/>
    <w:rsid w:val="00960584"/>
    <w:rsid w:val="009665AD"/>
    <w:rsid w:val="00972D29"/>
    <w:rsid w:val="00981688"/>
    <w:rsid w:val="009A4CBF"/>
    <w:rsid w:val="009B3DBA"/>
    <w:rsid w:val="009C4371"/>
    <w:rsid w:val="009C4608"/>
    <w:rsid w:val="009D713C"/>
    <w:rsid w:val="009E0FC4"/>
    <w:rsid w:val="009F6E33"/>
    <w:rsid w:val="00A15CA1"/>
    <w:rsid w:val="00A21930"/>
    <w:rsid w:val="00A27CED"/>
    <w:rsid w:val="00A35881"/>
    <w:rsid w:val="00A5493A"/>
    <w:rsid w:val="00A5538D"/>
    <w:rsid w:val="00A64F1A"/>
    <w:rsid w:val="00A668CA"/>
    <w:rsid w:val="00A66A52"/>
    <w:rsid w:val="00A71522"/>
    <w:rsid w:val="00A71AEE"/>
    <w:rsid w:val="00A75054"/>
    <w:rsid w:val="00A83051"/>
    <w:rsid w:val="00A912C7"/>
    <w:rsid w:val="00A93F56"/>
    <w:rsid w:val="00A957B9"/>
    <w:rsid w:val="00A97B92"/>
    <w:rsid w:val="00A97FE1"/>
    <w:rsid w:val="00AA6605"/>
    <w:rsid w:val="00AB22FE"/>
    <w:rsid w:val="00AB2F3A"/>
    <w:rsid w:val="00AB4808"/>
    <w:rsid w:val="00AC015A"/>
    <w:rsid w:val="00AC0356"/>
    <w:rsid w:val="00AD5A6E"/>
    <w:rsid w:val="00AD5EF4"/>
    <w:rsid w:val="00AF0961"/>
    <w:rsid w:val="00AF26AD"/>
    <w:rsid w:val="00B0488C"/>
    <w:rsid w:val="00B05047"/>
    <w:rsid w:val="00B1365E"/>
    <w:rsid w:val="00B14D40"/>
    <w:rsid w:val="00B16D10"/>
    <w:rsid w:val="00B17214"/>
    <w:rsid w:val="00B320BE"/>
    <w:rsid w:val="00B40B1B"/>
    <w:rsid w:val="00B40FCD"/>
    <w:rsid w:val="00B43F31"/>
    <w:rsid w:val="00B45E29"/>
    <w:rsid w:val="00B728C5"/>
    <w:rsid w:val="00B748B2"/>
    <w:rsid w:val="00B74FBC"/>
    <w:rsid w:val="00B77D99"/>
    <w:rsid w:val="00B8101F"/>
    <w:rsid w:val="00B815E2"/>
    <w:rsid w:val="00B8488F"/>
    <w:rsid w:val="00B91F03"/>
    <w:rsid w:val="00B96082"/>
    <w:rsid w:val="00BD05C2"/>
    <w:rsid w:val="00BD77AF"/>
    <w:rsid w:val="00BE1A14"/>
    <w:rsid w:val="00BE1A80"/>
    <w:rsid w:val="00BE2E64"/>
    <w:rsid w:val="00BF271E"/>
    <w:rsid w:val="00BF38B4"/>
    <w:rsid w:val="00BF79BB"/>
    <w:rsid w:val="00C0314F"/>
    <w:rsid w:val="00C11345"/>
    <w:rsid w:val="00C26200"/>
    <w:rsid w:val="00C3061A"/>
    <w:rsid w:val="00C36CA1"/>
    <w:rsid w:val="00C4090B"/>
    <w:rsid w:val="00C40AC8"/>
    <w:rsid w:val="00C44511"/>
    <w:rsid w:val="00C44616"/>
    <w:rsid w:val="00C678CF"/>
    <w:rsid w:val="00C71BED"/>
    <w:rsid w:val="00C74BBD"/>
    <w:rsid w:val="00CA2185"/>
    <w:rsid w:val="00CB5B50"/>
    <w:rsid w:val="00CB6CCB"/>
    <w:rsid w:val="00CD494B"/>
    <w:rsid w:val="00CD5003"/>
    <w:rsid w:val="00CD6EA9"/>
    <w:rsid w:val="00CE7354"/>
    <w:rsid w:val="00D0237D"/>
    <w:rsid w:val="00D246B8"/>
    <w:rsid w:val="00D24D32"/>
    <w:rsid w:val="00D324C0"/>
    <w:rsid w:val="00D3335E"/>
    <w:rsid w:val="00D4282C"/>
    <w:rsid w:val="00D4526D"/>
    <w:rsid w:val="00D60DF0"/>
    <w:rsid w:val="00D703EF"/>
    <w:rsid w:val="00D72540"/>
    <w:rsid w:val="00D873F5"/>
    <w:rsid w:val="00D97456"/>
    <w:rsid w:val="00DA76D5"/>
    <w:rsid w:val="00DB572B"/>
    <w:rsid w:val="00DC1EC2"/>
    <w:rsid w:val="00DC74C6"/>
    <w:rsid w:val="00DD240C"/>
    <w:rsid w:val="00DD4FC5"/>
    <w:rsid w:val="00DE48D8"/>
    <w:rsid w:val="00DE7545"/>
    <w:rsid w:val="00DF1F17"/>
    <w:rsid w:val="00DF2ED8"/>
    <w:rsid w:val="00DF3C87"/>
    <w:rsid w:val="00DF5FEF"/>
    <w:rsid w:val="00E0793E"/>
    <w:rsid w:val="00E16F36"/>
    <w:rsid w:val="00E36055"/>
    <w:rsid w:val="00E36556"/>
    <w:rsid w:val="00E4029A"/>
    <w:rsid w:val="00E46B42"/>
    <w:rsid w:val="00E57A1E"/>
    <w:rsid w:val="00E6315E"/>
    <w:rsid w:val="00E63169"/>
    <w:rsid w:val="00E64D3A"/>
    <w:rsid w:val="00E6537C"/>
    <w:rsid w:val="00E75D53"/>
    <w:rsid w:val="00E82F0F"/>
    <w:rsid w:val="00E857EA"/>
    <w:rsid w:val="00EB25B4"/>
    <w:rsid w:val="00EB6FE9"/>
    <w:rsid w:val="00EC1C99"/>
    <w:rsid w:val="00EC6662"/>
    <w:rsid w:val="00EE0E3C"/>
    <w:rsid w:val="00EE5B71"/>
    <w:rsid w:val="00F00C3C"/>
    <w:rsid w:val="00F017B1"/>
    <w:rsid w:val="00F03260"/>
    <w:rsid w:val="00F10C0F"/>
    <w:rsid w:val="00F212A8"/>
    <w:rsid w:val="00F3724F"/>
    <w:rsid w:val="00F444AB"/>
    <w:rsid w:val="00F45EF1"/>
    <w:rsid w:val="00F77215"/>
    <w:rsid w:val="00F80776"/>
    <w:rsid w:val="00F834CD"/>
    <w:rsid w:val="00F8465B"/>
    <w:rsid w:val="00F9055D"/>
    <w:rsid w:val="00F91DE6"/>
    <w:rsid w:val="00F967AE"/>
    <w:rsid w:val="00FA140E"/>
    <w:rsid w:val="00FA412C"/>
    <w:rsid w:val="00FA41EB"/>
    <w:rsid w:val="00FA774C"/>
    <w:rsid w:val="00FC13BB"/>
    <w:rsid w:val="00FE3BD1"/>
    <w:rsid w:val="00FE7BA6"/>
    <w:rsid w:val="00FF19A6"/>
    <w:rsid w:val="00FF2023"/>
    <w:rsid w:val="015D5591"/>
    <w:rsid w:val="01620E31"/>
    <w:rsid w:val="03B1713F"/>
    <w:rsid w:val="03CF6398"/>
    <w:rsid w:val="04363AE8"/>
    <w:rsid w:val="04456D46"/>
    <w:rsid w:val="04EB48D3"/>
    <w:rsid w:val="057F550E"/>
    <w:rsid w:val="06A44D39"/>
    <w:rsid w:val="06B37672"/>
    <w:rsid w:val="06ED4932"/>
    <w:rsid w:val="07151BB6"/>
    <w:rsid w:val="073065CD"/>
    <w:rsid w:val="07FB307F"/>
    <w:rsid w:val="08E47BC0"/>
    <w:rsid w:val="08F16230"/>
    <w:rsid w:val="095A5B83"/>
    <w:rsid w:val="09AB2883"/>
    <w:rsid w:val="09D122E9"/>
    <w:rsid w:val="0A4D56E8"/>
    <w:rsid w:val="0B0F4EB2"/>
    <w:rsid w:val="0B7E3D58"/>
    <w:rsid w:val="0B953250"/>
    <w:rsid w:val="0B9F01C5"/>
    <w:rsid w:val="0BAA1044"/>
    <w:rsid w:val="0C403756"/>
    <w:rsid w:val="0C6805B7"/>
    <w:rsid w:val="0CB90E13"/>
    <w:rsid w:val="0D7A4A46"/>
    <w:rsid w:val="0DB9612E"/>
    <w:rsid w:val="0E412962"/>
    <w:rsid w:val="0EBE0AFF"/>
    <w:rsid w:val="0F365C66"/>
    <w:rsid w:val="0F8B17DA"/>
    <w:rsid w:val="0FFD6D26"/>
    <w:rsid w:val="10944070"/>
    <w:rsid w:val="112C3808"/>
    <w:rsid w:val="115B2DE0"/>
    <w:rsid w:val="11A5554C"/>
    <w:rsid w:val="123D6042"/>
    <w:rsid w:val="128645DC"/>
    <w:rsid w:val="12AA0F3B"/>
    <w:rsid w:val="12E806A4"/>
    <w:rsid w:val="13765CAF"/>
    <w:rsid w:val="137D703E"/>
    <w:rsid w:val="13DF1AA7"/>
    <w:rsid w:val="14CB0FDB"/>
    <w:rsid w:val="15806971"/>
    <w:rsid w:val="160F7CF5"/>
    <w:rsid w:val="164E081E"/>
    <w:rsid w:val="16A9014A"/>
    <w:rsid w:val="178564C1"/>
    <w:rsid w:val="179761F4"/>
    <w:rsid w:val="17D66D1D"/>
    <w:rsid w:val="17E7717C"/>
    <w:rsid w:val="17E86A50"/>
    <w:rsid w:val="183E76F7"/>
    <w:rsid w:val="187C0FC8"/>
    <w:rsid w:val="18820F25"/>
    <w:rsid w:val="18C64FE3"/>
    <w:rsid w:val="1901601B"/>
    <w:rsid w:val="19037FE5"/>
    <w:rsid w:val="191D1F3D"/>
    <w:rsid w:val="19E25E4D"/>
    <w:rsid w:val="1A383CBF"/>
    <w:rsid w:val="1B2F50C2"/>
    <w:rsid w:val="1B362654"/>
    <w:rsid w:val="1BB76E65"/>
    <w:rsid w:val="1C076BD6"/>
    <w:rsid w:val="1C746B04"/>
    <w:rsid w:val="1CE4012E"/>
    <w:rsid w:val="1D3C5874"/>
    <w:rsid w:val="1D5030CD"/>
    <w:rsid w:val="1D56727D"/>
    <w:rsid w:val="1D807E56"/>
    <w:rsid w:val="1D907F8F"/>
    <w:rsid w:val="1E57048B"/>
    <w:rsid w:val="1E641526"/>
    <w:rsid w:val="1E7B23CC"/>
    <w:rsid w:val="1E8F40C9"/>
    <w:rsid w:val="1EAC07D7"/>
    <w:rsid w:val="1F6B09F5"/>
    <w:rsid w:val="1F6C11B8"/>
    <w:rsid w:val="1F6D440A"/>
    <w:rsid w:val="1FA607CC"/>
    <w:rsid w:val="203707D5"/>
    <w:rsid w:val="20EF79E3"/>
    <w:rsid w:val="20FC3C98"/>
    <w:rsid w:val="21002DB3"/>
    <w:rsid w:val="21044A91"/>
    <w:rsid w:val="21240AF9"/>
    <w:rsid w:val="21DE15EF"/>
    <w:rsid w:val="23151041"/>
    <w:rsid w:val="232E5C5F"/>
    <w:rsid w:val="234565C3"/>
    <w:rsid w:val="236478D2"/>
    <w:rsid w:val="24544FC7"/>
    <w:rsid w:val="25C63370"/>
    <w:rsid w:val="25ED62B6"/>
    <w:rsid w:val="266404E5"/>
    <w:rsid w:val="26F2493B"/>
    <w:rsid w:val="273870AC"/>
    <w:rsid w:val="27734537"/>
    <w:rsid w:val="27837DE7"/>
    <w:rsid w:val="27E45419"/>
    <w:rsid w:val="27EC7E96"/>
    <w:rsid w:val="280E605F"/>
    <w:rsid w:val="281F64BE"/>
    <w:rsid w:val="28410CD7"/>
    <w:rsid w:val="28C10586"/>
    <w:rsid w:val="29291DD2"/>
    <w:rsid w:val="2945771C"/>
    <w:rsid w:val="294F4B81"/>
    <w:rsid w:val="295E3016"/>
    <w:rsid w:val="2A804F28"/>
    <w:rsid w:val="2AF7102C"/>
    <w:rsid w:val="2B2F01E6"/>
    <w:rsid w:val="2BA52670"/>
    <w:rsid w:val="2BCC766D"/>
    <w:rsid w:val="2BD63337"/>
    <w:rsid w:val="2BDD6474"/>
    <w:rsid w:val="2BF01C4F"/>
    <w:rsid w:val="2C6E3570"/>
    <w:rsid w:val="2CF3377A"/>
    <w:rsid w:val="2D3C366E"/>
    <w:rsid w:val="2D6055AE"/>
    <w:rsid w:val="2DE03FF9"/>
    <w:rsid w:val="2E2465DC"/>
    <w:rsid w:val="2E884DBD"/>
    <w:rsid w:val="2E980D78"/>
    <w:rsid w:val="2FBD0A96"/>
    <w:rsid w:val="2FEE6EA1"/>
    <w:rsid w:val="300264A9"/>
    <w:rsid w:val="30234671"/>
    <w:rsid w:val="304271ED"/>
    <w:rsid w:val="30850E88"/>
    <w:rsid w:val="30A0509E"/>
    <w:rsid w:val="30C45E54"/>
    <w:rsid w:val="316E7B6E"/>
    <w:rsid w:val="317653A0"/>
    <w:rsid w:val="31F75DB5"/>
    <w:rsid w:val="32AC3044"/>
    <w:rsid w:val="32D66E37"/>
    <w:rsid w:val="333C7F24"/>
    <w:rsid w:val="335951FB"/>
    <w:rsid w:val="33694A91"/>
    <w:rsid w:val="33F425AD"/>
    <w:rsid w:val="33F7209D"/>
    <w:rsid w:val="34957CBF"/>
    <w:rsid w:val="34C27E5A"/>
    <w:rsid w:val="35044A71"/>
    <w:rsid w:val="352670DE"/>
    <w:rsid w:val="358838F4"/>
    <w:rsid w:val="35AB75E3"/>
    <w:rsid w:val="363029DA"/>
    <w:rsid w:val="365D08DD"/>
    <w:rsid w:val="36AC306F"/>
    <w:rsid w:val="36D13079"/>
    <w:rsid w:val="36F560BA"/>
    <w:rsid w:val="373D519E"/>
    <w:rsid w:val="380D1E8F"/>
    <w:rsid w:val="38832151"/>
    <w:rsid w:val="396A27C0"/>
    <w:rsid w:val="39F41558"/>
    <w:rsid w:val="3A062607"/>
    <w:rsid w:val="3A5C060D"/>
    <w:rsid w:val="3A6C5593"/>
    <w:rsid w:val="3B070E17"/>
    <w:rsid w:val="3BBF7944"/>
    <w:rsid w:val="3C8F7316"/>
    <w:rsid w:val="3D4445A5"/>
    <w:rsid w:val="3DBC05DF"/>
    <w:rsid w:val="3DC47494"/>
    <w:rsid w:val="3DD10209"/>
    <w:rsid w:val="3E3E7246"/>
    <w:rsid w:val="3EE85942"/>
    <w:rsid w:val="3F6A406B"/>
    <w:rsid w:val="3F74350F"/>
    <w:rsid w:val="3F9F0197"/>
    <w:rsid w:val="3FAF4B16"/>
    <w:rsid w:val="400D52F9"/>
    <w:rsid w:val="4054083F"/>
    <w:rsid w:val="40CB6D8B"/>
    <w:rsid w:val="40CD24F9"/>
    <w:rsid w:val="42817701"/>
    <w:rsid w:val="42B86E9B"/>
    <w:rsid w:val="430640AA"/>
    <w:rsid w:val="435117C9"/>
    <w:rsid w:val="43D30430"/>
    <w:rsid w:val="441445A5"/>
    <w:rsid w:val="44427364"/>
    <w:rsid w:val="44F87A23"/>
    <w:rsid w:val="45630C4A"/>
    <w:rsid w:val="45B46040"/>
    <w:rsid w:val="46297DC5"/>
    <w:rsid w:val="463A2A6E"/>
    <w:rsid w:val="47E0326A"/>
    <w:rsid w:val="48745BFB"/>
    <w:rsid w:val="493E42BA"/>
    <w:rsid w:val="4957480F"/>
    <w:rsid w:val="496E7691"/>
    <w:rsid w:val="4B386DCB"/>
    <w:rsid w:val="4BF076A6"/>
    <w:rsid w:val="4BF844D4"/>
    <w:rsid w:val="4C5916EF"/>
    <w:rsid w:val="4C691B4C"/>
    <w:rsid w:val="4CC27294"/>
    <w:rsid w:val="4CFE5DCC"/>
    <w:rsid w:val="4D4C0CB9"/>
    <w:rsid w:val="4D6B3488"/>
    <w:rsid w:val="4E197388"/>
    <w:rsid w:val="4E766588"/>
    <w:rsid w:val="4E824F2D"/>
    <w:rsid w:val="4EDD6607"/>
    <w:rsid w:val="4EF23735"/>
    <w:rsid w:val="4EFF657E"/>
    <w:rsid w:val="507E34D2"/>
    <w:rsid w:val="51031C29"/>
    <w:rsid w:val="522E0F28"/>
    <w:rsid w:val="523D3D5D"/>
    <w:rsid w:val="527833D4"/>
    <w:rsid w:val="528F19C6"/>
    <w:rsid w:val="531620E8"/>
    <w:rsid w:val="536966BB"/>
    <w:rsid w:val="538C47AE"/>
    <w:rsid w:val="53AA2830"/>
    <w:rsid w:val="54216F96"/>
    <w:rsid w:val="545D5AF4"/>
    <w:rsid w:val="554F7B33"/>
    <w:rsid w:val="55740711"/>
    <w:rsid w:val="55D50038"/>
    <w:rsid w:val="55F83AEC"/>
    <w:rsid w:val="56C65908"/>
    <w:rsid w:val="570219A0"/>
    <w:rsid w:val="57F624E8"/>
    <w:rsid w:val="5849666B"/>
    <w:rsid w:val="58BC54DF"/>
    <w:rsid w:val="58DC3EDA"/>
    <w:rsid w:val="59064EB4"/>
    <w:rsid w:val="590D1897"/>
    <w:rsid w:val="594E1920"/>
    <w:rsid w:val="597D050C"/>
    <w:rsid w:val="597E0936"/>
    <w:rsid w:val="59BE5287"/>
    <w:rsid w:val="59FB6C39"/>
    <w:rsid w:val="5A980725"/>
    <w:rsid w:val="5AE26D53"/>
    <w:rsid w:val="5BCC3C8B"/>
    <w:rsid w:val="5CBF559E"/>
    <w:rsid w:val="5D0E2082"/>
    <w:rsid w:val="5D755C5D"/>
    <w:rsid w:val="5DC170F4"/>
    <w:rsid w:val="5DC658EC"/>
    <w:rsid w:val="5DE12FF0"/>
    <w:rsid w:val="5DF11787"/>
    <w:rsid w:val="5EC21376"/>
    <w:rsid w:val="5ECC5D50"/>
    <w:rsid w:val="5F1C0A86"/>
    <w:rsid w:val="60196D73"/>
    <w:rsid w:val="608A5EC3"/>
    <w:rsid w:val="614B5652"/>
    <w:rsid w:val="61FB0E26"/>
    <w:rsid w:val="621B6B3C"/>
    <w:rsid w:val="621D7965"/>
    <w:rsid w:val="623600B0"/>
    <w:rsid w:val="62487DE4"/>
    <w:rsid w:val="62B24F88"/>
    <w:rsid w:val="62E418BB"/>
    <w:rsid w:val="636E0FC6"/>
    <w:rsid w:val="63730E90"/>
    <w:rsid w:val="650F4BE9"/>
    <w:rsid w:val="65654809"/>
    <w:rsid w:val="65F52117"/>
    <w:rsid w:val="667E3DD4"/>
    <w:rsid w:val="66A73E3D"/>
    <w:rsid w:val="66CF2882"/>
    <w:rsid w:val="66F61BBC"/>
    <w:rsid w:val="68ED3493"/>
    <w:rsid w:val="692A0243"/>
    <w:rsid w:val="69362744"/>
    <w:rsid w:val="6942558D"/>
    <w:rsid w:val="69D16911"/>
    <w:rsid w:val="69E01FE1"/>
    <w:rsid w:val="6A967B01"/>
    <w:rsid w:val="6A9C6F1F"/>
    <w:rsid w:val="6AD82A0E"/>
    <w:rsid w:val="6B1B42E7"/>
    <w:rsid w:val="6B405AFC"/>
    <w:rsid w:val="6B6660E9"/>
    <w:rsid w:val="6B6813C7"/>
    <w:rsid w:val="6CB22A29"/>
    <w:rsid w:val="6CFE17CB"/>
    <w:rsid w:val="6D620771"/>
    <w:rsid w:val="6DCD48A2"/>
    <w:rsid w:val="6EF72978"/>
    <w:rsid w:val="6F3E0D9A"/>
    <w:rsid w:val="6F451933"/>
    <w:rsid w:val="6F5A4CB2"/>
    <w:rsid w:val="6FAB550E"/>
    <w:rsid w:val="6FD9207B"/>
    <w:rsid w:val="702154C6"/>
    <w:rsid w:val="705E5813"/>
    <w:rsid w:val="707029DF"/>
    <w:rsid w:val="72D04EF8"/>
    <w:rsid w:val="72DA05E4"/>
    <w:rsid w:val="72E871A5"/>
    <w:rsid w:val="73196529"/>
    <w:rsid w:val="737547B1"/>
    <w:rsid w:val="74253AE1"/>
    <w:rsid w:val="746740F9"/>
    <w:rsid w:val="74B775E4"/>
    <w:rsid w:val="74D55507"/>
    <w:rsid w:val="75093403"/>
    <w:rsid w:val="752124FA"/>
    <w:rsid w:val="766F3739"/>
    <w:rsid w:val="76F51E90"/>
    <w:rsid w:val="770B146E"/>
    <w:rsid w:val="770E2F52"/>
    <w:rsid w:val="77163BB5"/>
    <w:rsid w:val="78EE4DE9"/>
    <w:rsid w:val="79287A1A"/>
    <w:rsid w:val="7A0F10F3"/>
    <w:rsid w:val="7A1F51BA"/>
    <w:rsid w:val="7AF16E13"/>
    <w:rsid w:val="7B0C1557"/>
    <w:rsid w:val="7BFC15CB"/>
    <w:rsid w:val="7C1E3C37"/>
    <w:rsid w:val="7C983161"/>
    <w:rsid w:val="7DB859C6"/>
    <w:rsid w:val="7E023E73"/>
    <w:rsid w:val="7E394D59"/>
    <w:rsid w:val="7E6A3164"/>
    <w:rsid w:val="7EF649F8"/>
    <w:rsid w:val="7F08472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99"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2"/>
      <w:lang w:val="en-US" w:eastAsia="zh-CN" w:bidi="ar-SA"/>
    </w:rPr>
  </w:style>
  <w:style w:type="paragraph" w:styleId="2">
    <w:name w:val="heading 1"/>
    <w:basedOn w:val="1"/>
    <w:next w:val="1"/>
    <w:qFormat/>
    <w:uiPriority w:val="0"/>
    <w:pPr>
      <w:keepNext/>
      <w:spacing w:line="440" w:lineRule="atLeast"/>
      <w:ind w:firstLine="206"/>
      <w:jc w:val="center"/>
      <w:outlineLvl w:val="0"/>
    </w:pPr>
    <w:rPr>
      <w:b/>
      <w:sz w:val="30"/>
    </w:rPr>
  </w:style>
  <w:style w:type="paragraph" w:styleId="3">
    <w:name w:val="heading 2"/>
    <w:basedOn w:val="1"/>
    <w:next w:val="1"/>
    <w:link w:val="42"/>
    <w:unhideWhenUsed/>
    <w:qFormat/>
    <w:uiPriority w:val="9"/>
    <w:pPr>
      <w:keepNext/>
      <w:keepLines/>
      <w:spacing w:before="260" w:after="260" w:line="413" w:lineRule="auto"/>
      <w:outlineLvl w:val="1"/>
    </w:pPr>
    <w:rPr>
      <w:rFonts w:ascii="Arial" w:hAnsi="Arial" w:eastAsia="黑体"/>
      <w:b/>
      <w:sz w:val="32"/>
    </w:rPr>
  </w:style>
  <w:style w:type="character" w:default="1" w:styleId="22">
    <w:name w:val="Default Paragraph Font"/>
    <w:semiHidden/>
    <w:unhideWhenUsed/>
    <w:qFormat/>
    <w:uiPriority w:val="1"/>
  </w:style>
  <w:style w:type="table" w:default="1" w:styleId="20">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30"/>
    <w:unhideWhenUsed/>
    <w:qFormat/>
    <w:uiPriority w:val="99"/>
    <w:pPr>
      <w:jc w:val="left"/>
    </w:pPr>
  </w:style>
  <w:style w:type="paragraph" w:styleId="5">
    <w:name w:val="Body Text"/>
    <w:basedOn w:val="1"/>
    <w:next w:val="1"/>
    <w:qFormat/>
    <w:uiPriority w:val="0"/>
    <w:pPr>
      <w:spacing w:after="120"/>
    </w:pPr>
  </w:style>
  <w:style w:type="paragraph" w:styleId="6">
    <w:name w:val="Body Text Indent"/>
    <w:basedOn w:val="1"/>
    <w:next w:val="7"/>
    <w:link w:val="26"/>
    <w:qFormat/>
    <w:uiPriority w:val="0"/>
    <w:pPr>
      <w:ind w:firstLine="830" w:firstLineChars="352"/>
    </w:pPr>
    <w:rPr>
      <w:rFonts w:ascii="仿宋_GB2312" w:hAnsi="Times New Roman" w:eastAsia="仿宋_GB2312"/>
      <w:sz w:val="32"/>
      <w:szCs w:val="20"/>
    </w:rPr>
  </w:style>
  <w:style w:type="paragraph" w:customStyle="1" w:styleId="7">
    <w:name w:val="Default"/>
    <w:qFormat/>
    <w:uiPriority w:val="0"/>
    <w:pPr>
      <w:widowControl w:val="0"/>
      <w:autoSpaceDE w:val="0"/>
      <w:autoSpaceDN w:val="0"/>
      <w:adjustRightInd w:val="0"/>
      <w:spacing w:after="160" w:line="259" w:lineRule="auto"/>
    </w:pPr>
    <w:rPr>
      <w:rFonts w:ascii="宋体" w:hAnsi="Times New Roman" w:eastAsia="宋体" w:cs="宋体"/>
      <w:color w:val="000000"/>
      <w:sz w:val="24"/>
      <w:szCs w:val="24"/>
      <w:lang w:val="en-US" w:eastAsia="zh-CN" w:bidi="ar-SA"/>
    </w:rPr>
  </w:style>
  <w:style w:type="paragraph" w:styleId="8">
    <w:name w:val="toc 3"/>
    <w:basedOn w:val="1"/>
    <w:next w:val="1"/>
    <w:unhideWhenUsed/>
    <w:qFormat/>
    <w:uiPriority w:val="39"/>
    <w:pPr>
      <w:ind w:left="840" w:leftChars="400"/>
    </w:pPr>
  </w:style>
  <w:style w:type="paragraph" w:styleId="9">
    <w:name w:val="Body Text Indent 2"/>
    <w:basedOn w:val="1"/>
    <w:qFormat/>
    <w:uiPriority w:val="0"/>
    <w:pPr>
      <w:spacing w:line="300" w:lineRule="auto"/>
      <w:ind w:firstLine="420"/>
    </w:pPr>
  </w:style>
  <w:style w:type="paragraph" w:styleId="10">
    <w:name w:val="Balloon Text"/>
    <w:basedOn w:val="1"/>
    <w:link w:val="31"/>
    <w:unhideWhenUsed/>
    <w:qFormat/>
    <w:uiPriority w:val="99"/>
    <w:rPr>
      <w:sz w:val="18"/>
      <w:szCs w:val="18"/>
    </w:rPr>
  </w:style>
  <w:style w:type="paragraph" w:styleId="11">
    <w:name w:val="footer"/>
    <w:basedOn w:val="1"/>
    <w:link w:val="28"/>
    <w:unhideWhenUsed/>
    <w:qFormat/>
    <w:uiPriority w:val="99"/>
    <w:pPr>
      <w:tabs>
        <w:tab w:val="center" w:pos="4153"/>
        <w:tab w:val="right" w:pos="8306"/>
      </w:tabs>
      <w:snapToGrid w:val="0"/>
      <w:jc w:val="left"/>
    </w:pPr>
    <w:rPr>
      <w:sz w:val="18"/>
      <w:szCs w:val="18"/>
    </w:rPr>
  </w:style>
  <w:style w:type="paragraph" w:styleId="12">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style>
  <w:style w:type="paragraph" w:styleId="14">
    <w:name w:val="Body Text Indent 3"/>
    <w:basedOn w:val="1"/>
    <w:link w:val="34"/>
    <w:qFormat/>
    <w:uiPriority w:val="99"/>
    <w:pPr>
      <w:spacing w:after="120"/>
      <w:ind w:left="420" w:leftChars="200"/>
    </w:pPr>
    <w:rPr>
      <w:sz w:val="16"/>
      <w:szCs w:val="16"/>
    </w:rPr>
  </w:style>
  <w:style w:type="paragraph" w:styleId="15">
    <w:name w:val="toc 2"/>
    <w:basedOn w:val="1"/>
    <w:next w:val="1"/>
    <w:unhideWhenUsed/>
    <w:qFormat/>
    <w:uiPriority w:val="39"/>
    <w:pPr>
      <w:ind w:left="420" w:leftChars="200"/>
    </w:pPr>
  </w:style>
  <w:style w:type="paragraph" w:styleId="16">
    <w:name w:val="Normal (Web)"/>
    <w:basedOn w:val="1"/>
    <w:semiHidden/>
    <w:unhideWhenUsed/>
    <w:qFormat/>
    <w:uiPriority w:val="99"/>
    <w:pPr>
      <w:widowControl/>
      <w:spacing w:before="100" w:beforeAutospacing="1" w:after="100" w:afterAutospacing="1"/>
      <w:jc w:val="left"/>
    </w:pPr>
    <w:rPr>
      <w:rFonts w:ascii="宋体" w:hAnsi="宋体" w:cs="宋体"/>
      <w:kern w:val="0"/>
      <w:sz w:val="24"/>
      <w:szCs w:val="24"/>
    </w:rPr>
  </w:style>
  <w:style w:type="paragraph" w:styleId="17">
    <w:name w:val="annotation subject"/>
    <w:basedOn w:val="4"/>
    <w:next w:val="4"/>
    <w:link w:val="27"/>
    <w:unhideWhenUsed/>
    <w:qFormat/>
    <w:uiPriority w:val="99"/>
    <w:rPr>
      <w:b/>
      <w:bCs/>
    </w:rPr>
  </w:style>
  <w:style w:type="paragraph" w:styleId="18">
    <w:name w:val="Body Text First Indent"/>
    <w:basedOn w:val="5"/>
    <w:qFormat/>
    <w:uiPriority w:val="0"/>
    <w:pPr>
      <w:ind w:firstLine="420" w:firstLineChars="100"/>
    </w:pPr>
    <w:rPr>
      <w:rFonts w:ascii="Times New Roman"/>
      <w:szCs w:val="24"/>
    </w:rPr>
  </w:style>
  <w:style w:type="paragraph" w:styleId="19">
    <w:name w:val="Body Text First Indent 2"/>
    <w:basedOn w:val="6"/>
    <w:qFormat/>
    <w:uiPriority w:val="0"/>
    <w:pPr>
      <w:spacing w:line="360" w:lineRule="auto"/>
      <w:ind w:firstLine="200" w:firstLineChars="200"/>
    </w:pPr>
    <w:rPr>
      <w:rFonts w:ascii="宋体" w:eastAsia="宋体"/>
    </w:rPr>
  </w:style>
  <w:style w:type="table" w:styleId="21">
    <w:name w:val="Table Grid"/>
    <w:basedOn w:val="2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qFormat/>
    <w:uiPriority w:val="22"/>
    <w:rPr>
      <w:b/>
      <w:bCs/>
    </w:rPr>
  </w:style>
  <w:style w:type="character" w:styleId="24">
    <w:name w:val="Hyperlink"/>
    <w:unhideWhenUsed/>
    <w:qFormat/>
    <w:uiPriority w:val="99"/>
    <w:rPr>
      <w:color w:val="0000FF"/>
      <w:u w:val="single"/>
    </w:rPr>
  </w:style>
  <w:style w:type="character" w:styleId="25">
    <w:name w:val="annotation reference"/>
    <w:unhideWhenUsed/>
    <w:qFormat/>
    <w:uiPriority w:val="99"/>
    <w:rPr>
      <w:sz w:val="21"/>
      <w:szCs w:val="21"/>
    </w:rPr>
  </w:style>
  <w:style w:type="character" w:customStyle="1" w:styleId="26">
    <w:name w:val="正文文本缩进 字符"/>
    <w:link w:val="6"/>
    <w:qFormat/>
    <w:uiPriority w:val="0"/>
    <w:rPr>
      <w:rFonts w:ascii="仿宋_GB2312" w:eastAsia="仿宋_GB2312"/>
      <w:kern w:val="2"/>
      <w:sz w:val="32"/>
    </w:rPr>
  </w:style>
  <w:style w:type="character" w:customStyle="1" w:styleId="27">
    <w:name w:val="批注主题 字符"/>
    <w:link w:val="17"/>
    <w:semiHidden/>
    <w:qFormat/>
    <w:uiPriority w:val="99"/>
    <w:rPr>
      <w:rFonts w:ascii="Calibri" w:hAnsi="Calibri"/>
      <w:b/>
      <w:bCs/>
      <w:kern w:val="2"/>
      <w:sz w:val="21"/>
      <w:szCs w:val="22"/>
    </w:rPr>
  </w:style>
  <w:style w:type="character" w:customStyle="1" w:styleId="28">
    <w:name w:val="页脚 字符"/>
    <w:link w:val="11"/>
    <w:qFormat/>
    <w:uiPriority w:val="99"/>
    <w:rPr>
      <w:rFonts w:ascii="Calibri" w:hAnsi="Calibri"/>
      <w:kern w:val="2"/>
      <w:sz w:val="18"/>
      <w:szCs w:val="18"/>
    </w:rPr>
  </w:style>
  <w:style w:type="character" w:customStyle="1" w:styleId="29">
    <w:name w:val="页眉 字符"/>
    <w:link w:val="12"/>
    <w:qFormat/>
    <w:uiPriority w:val="99"/>
    <w:rPr>
      <w:rFonts w:ascii="Calibri" w:hAnsi="Calibri"/>
      <w:kern w:val="2"/>
      <w:sz w:val="18"/>
      <w:szCs w:val="18"/>
    </w:rPr>
  </w:style>
  <w:style w:type="character" w:customStyle="1" w:styleId="30">
    <w:name w:val="批注文字 字符"/>
    <w:link w:val="4"/>
    <w:qFormat/>
    <w:uiPriority w:val="99"/>
    <w:rPr>
      <w:rFonts w:ascii="Calibri" w:hAnsi="Calibri"/>
      <w:kern w:val="2"/>
      <w:sz w:val="21"/>
      <w:szCs w:val="22"/>
    </w:rPr>
  </w:style>
  <w:style w:type="character" w:customStyle="1" w:styleId="31">
    <w:name w:val="批注框文本 字符"/>
    <w:link w:val="10"/>
    <w:semiHidden/>
    <w:qFormat/>
    <w:uiPriority w:val="99"/>
    <w:rPr>
      <w:rFonts w:ascii="Calibri" w:hAnsi="Calibri"/>
      <w:kern w:val="2"/>
      <w:sz w:val="18"/>
      <w:szCs w:val="18"/>
    </w:rPr>
  </w:style>
  <w:style w:type="paragraph" w:customStyle="1" w:styleId="32">
    <w:name w:val="detail-info"/>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33">
    <w:name w:val="列出段落1"/>
    <w:basedOn w:val="1"/>
    <w:qFormat/>
    <w:uiPriority w:val="34"/>
    <w:pPr>
      <w:ind w:firstLine="420" w:firstLineChars="200"/>
    </w:pPr>
  </w:style>
  <w:style w:type="character" w:customStyle="1" w:styleId="34">
    <w:name w:val="正文文本缩进 3 字符"/>
    <w:basedOn w:val="22"/>
    <w:link w:val="14"/>
    <w:qFormat/>
    <w:uiPriority w:val="99"/>
    <w:rPr>
      <w:rFonts w:ascii="Calibri" w:hAnsi="Calibri"/>
      <w:kern w:val="2"/>
      <w:sz w:val="16"/>
      <w:szCs w:val="16"/>
    </w:rPr>
  </w:style>
  <w:style w:type="character" w:customStyle="1" w:styleId="35">
    <w:name w:val="hps"/>
    <w:basedOn w:val="22"/>
    <w:qFormat/>
    <w:uiPriority w:val="0"/>
  </w:style>
  <w:style w:type="character" w:customStyle="1" w:styleId="36">
    <w:name w:val="short_text"/>
    <w:basedOn w:val="22"/>
    <w:qFormat/>
    <w:uiPriority w:val="0"/>
  </w:style>
  <w:style w:type="paragraph" w:customStyle="1" w:styleId="37">
    <w:name w:val="Char1"/>
    <w:basedOn w:val="1"/>
    <w:qFormat/>
    <w:uiPriority w:val="0"/>
    <w:rPr>
      <w:szCs w:val="21"/>
    </w:rPr>
  </w:style>
  <w:style w:type="character" w:customStyle="1" w:styleId="38">
    <w:name w:val="NormalCharacter"/>
    <w:semiHidden/>
    <w:qFormat/>
    <w:uiPriority w:val="0"/>
    <w:rPr>
      <w:kern w:val="2"/>
      <w:sz w:val="21"/>
      <w:szCs w:val="22"/>
      <w:lang w:val="en-US" w:eastAsia="zh-CN" w:bidi="ar-SA"/>
    </w:rPr>
  </w:style>
  <w:style w:type="paragraph" w:customStyle="1" w:styleId="39">
    <w:name w:val="WPSOffice手动目录 1"/>
    <w:qFormat/>
    <w:uiPriority w:val="0"/>
    <w:rPr>
      <w:rFonts w:ascii="Times New Roman" w:hAnsi="Times New Roman" w:eastAsia="宋体" w:cs="Times New Roman"/>
      <w:lang w:val="en-US" w:eastAsia="zh-CN" w:bidi="ar-SA"/>
    </w:rPr>
  </w:style>
  <w:style w:type="paragraph" w:customStyle="1" w:styleId="40">
    <w:name w:val="WPSOffice手动目录 2"/>
    <w:qFormat/>
    <w:uiPriority w:val="0"/>
    <w:pPr>
      <w:ind w:left="200" w:leftChars="200"/>
    </w:pPr>
    <w:rPr>
      <w:rFonts w:ascii="Times New Roman" w:hAnsi="Times New Roman" w:eastAsia="宋体" w:cs="Times New Roman"/>
      <w:lang w:val="en-US" w:eastAsia="zh-CN" w:bidi="ar-SA"/>
    </w:rPr>
  </w:style>
  <w:style w:type="paragraph" w:customStyle="1" w:styleId="41">
    <w:name w:val="WPSOffice手动目录 3"/>
    <w:qFormat/>
    <w:uiPriority w:val="0"/>
    <w:pPr>
      <w:ind w:left="400" w:leftChars="400"/>
    </w:pPr>
    <w:rPr>
      <w:rFonts w:ascii="Times New Roman" w:hAnsi="Times New Roman" w:eastAsia="宋体" w:cs="Times New Roman"/>
      <w:lang w:val="en-US" w:eastAsia="zh-CN" w:bidi="ar-SA"/>
    </w:rPr>
  </w:style>
  <w:style w:type="character" w:customStyle="1" w:styleId="42">
    <w:name w:val="标题 2 字符"/>
    <w:link w:val="3"/>
    <w:qFormat/>
    <w:uiPriority w:val="0"/>
    <w:rPr>
      <w:rFonts w:ascii="Arial" w:hAnsi="Arial" w:eastAsia="黑体"/>
      <w:b/>
      <w:sz w:val="32"/>
    </w:rPr>
  </w:style>
  <w:style w:type="paragraph" w:styleId="43">
    <w:name w:val="List Paragraph"/>
    <w:basedOn w:val="1"/>
    <w:qFormat/>
    <w:uiPriority w:val="99"/>
    <w:pPr>
      <w:ind w:firstLine="420" w:firstLineChars="200"/>
    </w:pPr>
  </w:style>
  <w:style w:type="paragraph" w:customStyle="1" w:styleId="44">
    <w:name w:val="p18"/>
    <w:basedOn w:val="1"/>
    <w:qFormat/>
    <w:uiPriority w:val="0"/>
    <w:pPr>
      <w:widowControl/>
    </w:pPr>
    <w:rPr>
      <w:rFonts w:ascii="宋体" w:hAnsi="宋体"/>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微软中国</Company>
  <Pages>28</Pages>
  <Words>16221</Words>
  <Characters>19607</Characters>
  <Lines>148</Lines>
  <Paragraphs>41</Paragraphs>
  <TotalTime>12</TotalTime>
  <ScaleCrop>false</ScaleCrop>
  <LinksUpToDate>false</LinksUpToDate>
  <CharactersWithSpaces>19842</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2026-06-15T00:48:00Z</dcterms:created>
  <dc:creator>广西工业职业技术学院</dc:creator>
  <cp:lastModifiedBy>黄淑娟</cp:lastModifiedBy>
  <dcterms:modified xsi:type="dcterms:W3CDTF">2026-06-15T08:51:31Z</dcterms:modified>
  <cp:revision>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EF5EE2C7E69F4715936282BC1AC09A0C_13</vt:lpwstr>
  </property>
  <property fmtid="{D5CDD505-2E9C-101B-9397-08002B2CF9AE}" pid="4" name="KSOTemplateDocerSaveRecord">
    <vt:lpwstr>eyJoZGlkIjoiODIwNDcyNTVjYzBjOWY1NDRhYmFlMjQ0YjZjZDAwMjIiLCJ1c2VySWQiOiIxNjY3NjM0MTc1In0=</vt:lpwstr>
  </property>
</Properties>
</file>