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85C1F">
      <w:pPr>
        <w:rPr>
          <w:rFonts w:hint="eastAsia"/>
        </w:rPr>
      </w:pPr>
    </w:p>
    <w:p w14:paraId="07CAA114">
      <w:pPr>
        <w:rPr>
          <w:rFonts w:hint="eastAsia"/>
        </w:rPr>
      </w:pPr>
    </w:p>
    <w:p w14:paraId="4870B0AB">
      <w:pPr>
        <w:rPr>
          <w:rFonts w:hint="eastAsia"/>
        </w:rPr>
      </w:pPr>
    </w:p>
    <w:p w14:paraId="2A0B994C">
      <w:pPr>
        <w:rPr>
          <w:rFonts w:hint="eastAsia"/>
        </w:rPr>
      </w:pPr>
    </w:p>
    <w:p w14:paraId="04159BBF">
      <w:pPr>
        <w:rPr>
          <w:rFonts w:hint="eastAsia"/>
        </w:rPr>
      </w:pPr>
    </w:p>
    <w:p w14:paraId="2DE0B755">
      <w:pPr>
        <w:jc w:val="center"/>
        <w:rPr>
          <w:rFonts w:hint="eastAsia" w:ascii="方正小标宋_GBK" w:hAnsi="方正小标宋_GBK" w:eastAsia="方正小标宋_GBK" w:cs="方正小标宋_GBK"/>
          <w:sz w:val="52"/>
          <w:szCs w:val="52"/>
        </w:rPr>
      </w:pPr>
      <w:r>
        <w:rPr>
          <w:rFonts w:hint="default" w:ascii="Times New Roman" w:hAnsi="Times New Roman" w:eastAsia="方正小标宋_GBK" w:cs="Times New Roman"/>
          <w:sz w:val="52"/>
          <w:szCs w:val="52"/>
        </w:rPr>
        <w:t>2026</w:t>
      </w:r>
      <w:r>
        <w:rPr>
          <w:rFonts w:hint="eastAsia" w:ascii="方正小标宋_GBK" w:hAnsi="方正小标宋_GBK" w:eastAsia="方正小标宋_GBK" w:cs="方正小标宋_GBK"/>
          <w:sz w:val="52"/>
          <w:szCs w:val="52"/>
        </w:rPr>
        <w:t>年江南训练基地触控一体机</w:t>
      </w:r>
    </w:p>
    <w:p w14:paraId="6F54FB10">
      <w:pPr>
        <w:rPr>
          <w:rFonts w:hint="eastAsia"/>
        </w:rPr>
      </w:pPr>
    </w:p>
    <w:p w14:paraId="0AD2E2B4">
      <w:pPr>
        <w:rPr>
          <w:rFonts w:hint="eastAsia"/>
        </w:rPr>
      </w:pPr>
    </w:p>
    <w:p w14:paraId="0F9C6685">
      <w:pPr>
        <w:rPr>
          <w:rFonts w:hint="eastAsia"/>
        </w:rPr>
      </w:pPr>
    </w:p>
    <w:p w14:paraId="62BC6432">
      <w:pPr>
        <w:rPr>
          <w:rFonts w:hint="eastAsia"/>
        </w:rPr>
      </w:pPr>
    </w:p>
    <w:p w14:paraId="63DB7F67">
      <w:pPr>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反向竞价采购文件</w:t>
      </w:r>
    </w:p>
    <w:p w14:paraId="160466FE">
      <w:pPr>
        <w:rPr>
          <w:rFonts w:hint="eastAsia"/>
        </w:rPr>
      </w:pPr>
    </w:p>
    <w:p w14:paraId="55D10473">
      <w:pPr>
        <w:rPr>
          <w:rFonts w:hint="eastAsia"/>
        </w:rPr>
      </w:pPr>
    </w:p>
    <w:p w14:paraId="45D64DE1">
      <w:pPr>
        <w:rPr>
          <w:rFonts w:hint="eastAsia"/>
        </w:rPr>
      </w:pPr>
    </w:p>
    <w:p w14:paraId="02B5D1C0">
      <w:pPr>
        <w:rPr>
          <w:rFonts w:hint="eastAsia"/>
        </w:rPr>
      </w:pPr>
    </w:p>
    <w:p w14:paraId="1EC10985">
      <w:pPr>
        <w:rPr>
          <w:rFonts w:hint="eastAsia"/>
        </w:rPr>
      </w:pPr>
    </w:p>
    <w:p w14:paraId="667B8829">
      <w:pPr>
        <w:rPr>
          <w:rFonts w:hint="eastAsia"/>
        </w:rPr>
      </w:pPr>
    </w:p>
    <w:p w14:paraId="5E6471A6">
      <w:pPr>
        <w:rPr>
          <w:rFonts w:hint="eastAsia"/>
        </w:rPr>
      </w:pPr>
    </w:p>
    <w:p w14:paraId="6B7B9F83">
      <w:pPr>
        <w:rPr>
          <w:rFonts w:hint="eastAsia"/>
        </w:rPr>
      </w:pPr>
    </w:p>
    <w:p w14:paraId="7B252ABF">
      <w:pPr>
        <w:rPr>
          <w:rFonts w:hint="eastAsia"/>
        </w:rPr>
      </w:pPr>
    </w:p>
    <w:p w14:paraId="570685AE">
      <w:pPr>
        <w:rPr>
          <w:rFonts w:hint="eastAsia"/>
        </w:rPr>
      </w:pPr>
    </w:p>
    <w:p w14:paraId="2F2D870F">
      <w:pPr>
        <w:rPr>
          <w:rFonts w:hint="eastAsia"/>
        </w:rPr>
      </w:pPr>
    </w:p>
    <w:p w14:paraId="7B57F948">
      <w:pPr>
        <w:jc w:val="center"/>
        <w:rPr>
          <w:rFonts w:hint="eastAsia"/>
          <w:sz w:val="36"/>
          <w:szCs w:val="36"/>
        </w:rPr>
      </w:pPr>
      <w:r>
        <w:rPr>
          <w:rFonts w:hint="eastAsia"/>
          <w:sz w:val="36"/>
          <w:szCs w:val="36"/>
        </w:rPr>
        <w:t>项目名称：</w:t>
      </w:r>
      <w:r>
        <w:rPr>
          <w:rFonts w:hint="default" w:ascii="Times New Roman" w:hAnsi="Times New Roman" w:cs="Times New Roman"/>
          <w:sz w:val="36"/>
          <w:szCs w:val="36"/>
        </w:rPr>
        <w:t>2026</w:t>
      </w:r>
      <w:r>
        <w:rPr>
          <w:rFonts w:hint="eastAsia"/>
          <w:sz w:val="36"/>
          <w:szCs w:val="36"/>
        </w:rPr>
        <w:t>年江南训练基地触控一体机采购项目</w:t>
      </w:r>
    </w:p>
    <w:p w14:paraId="7CBDC220">
      <w:pPr>
        <w:jc w:val="center"/>
        <w:rPr>
          <w:rFonts w:hint="eastAsia"/>
          <w:sz w:val="36"/>
          <w:szCs w:val="36"/>
        </w:rPr>
      </w:pPr>
      <w:r>
        <w:rPr>
          <w:rFonts w:hint="eastAsia"/>
          <w:sz w:val="36"/>
          <w:szCs w:val="36"/>
        </w:rPr>
        <w:t>采购单位：广西壮族自治区体育局江南训练基地</w:t>
      </w:r>
    </w:p>
    <w:p w14:paraId="78A2796D">
      <w:pPr>
        <w:rPr>
          <w:rFonts w:hint="eastAsia"/>
        </w:rPr>
      </w:pPr>
    </w:p>
    <w:p w14:paraId="7279EA95">
      <w:pPr>
        <w:rPr>
          <w:rFonts w:hint="eastAsia"/>
        </w:rPr>
      </w:pPr>
    </w:p>
    <w:p w14:paraId="29B85569">
      <w:pPr>
        <w:rPr>
          <w:rFonts w:hint="eastAsia"/>
        </w:rPr>
      </w:pPr>
    </w:p>
    <w:p w14:paraId="0B06A8C5">
      <w:pPr>
        <w:rPr>
          <w:rFonts w:hint="eastAsia"/>
        </w:rPr>
      </w:pPr>
    </w:p>
    <w:p w14:paraId="7678FA66">
      <w:pPr>
        <w:rPr>
          <w:rFonts w:hint="eastAsia"/>
        </w:rPr>
      </w:pPr>
    </w:p>
    <w:p w14:paraId="057EA9E2">
      <w:pPr>
        <w:rPr>
          <w:rFonts w:hint="eastAsia"/>
        </w:rPr>
      </w:pPr>
    </w:p>
    <w:p w14:paraId="67BFA7D2">
      <w:pPr>
        <w:rPr>
          <w:rFonts w:hint="eastAsia"/>
        </w:rPr>
      </w:pPr>
    </w:p>
    <w:p w14:paraId="2BC9E45A">
      <w:pPr>
        <w:rPr>
          <w:rFonts w:hint="eastAsia"/>
        </w:rPr>
      </w:pPr>
    </w:p>
    <w:p w14:paraId="4C1CC2D6">
      <w:pPr>
        <w:rPr>
          <w:rFonts w:hint="eastAsia"/>
        </w:rPr>
      </w:pPr>
    </w:p>
    <w:p w14:paraId="57E4B883">
      <w:pPr>
        <w:jc w:val="center"/>
        <w:rPr>
          <w:rFonts w:hint="eastAsia" w:ascii="方正小标宋_GBK" w:hAnsi="方正小标宋_GBK" w:eastAsia="方正小标宋_GBK" w:cs="方正小标宋_GBK"/>
          <w:sz w:val="36"/>
          <w:szCs w:val="36"/>
        </w:rPr>
      </w:pPr>
      <w:r>
        <w:rPr>
          <w:rFonts w:hint="default" w:ascii="Times New Roman" w:hAnsi="Times New Roman" w:eastAsia="方正小标宋_GBK" w:cs="Times New Roman"/>
          <w:sz w:val="36"/>
          <w:szCs w:val="36"/>
        </w:rPr>
        <w:t>2026年4月</w:t>
      </w:r>
    </w:p>
    <w:p w14:paraId="408742D6">
      <w:pPr>
        <w:pStyle w:val="3"/>
        <w:bidi w:val="0"/>
        <w:rPr>
          <w:rFonts w:hint="eastAsia"/>
        </w:rPr>
        <w:sectPr>
          <w:headerReference r:id="rId3" w:type="even"/>
          <w:pgSz w:w="11906" w:h="16838"/>
          <w:pgMar w:top="2098" w:right="1474" w:bottom="1531" w:left="1587" w:header="851" w:footer="992" w:gutter="0"/>
          <w:cols w:space="425" w:num="1"/>
          <w:docGrid w:type="lines" w:linePitch="312" w:charSpace="0"/>
        </w:sectPr>
      </w:pPr>
      <w:bookmarkStart w:id="0" w:name="_Toc26047"/>
      <w:bookmarkStart w:id="1" w:name="_Toc6154"/>
      <w:bookmarkStart w:id="2" w:name="_Toc7004"/>
    </w:p>
    <w:p w14:paraId="616DC23C">
      <w:pPr>
        <w:pStyle w:val="3"/>
        <w:bidi w:val="0"/>
        <w:rPr>
          <w:rFonts w:hint="eastAsia"/>
        </w:rPr>
      </w:pPr>
      <w:r>
        <w:rPr>
          <w:rFonts w:hint="eastAsia"/>
        </w:rPr>
        <w:t>目 录</w:t>
      </w:r>
      <w:bookmarkEnd w:id="0"/>
      <w:bookmarkEnd w:id="1"/>
      <w:bookmarkEnd w:id="2"/>
    </w:p>
    <w:sdt>
      <w:sdtPr>
        <w:rPr>
          <w:rFonts w:ascii="宋体" w:hAnsi="宋体" w:eastAsia="宋体" w:cstheme="minorBidi"/>
          <w:kern w:val="2"/>
          <w:sz w:val="21"/>
          <w:szCs w:val="24"/>
          <w:lang w:val="en-US" w:eastAsia="zh-CN" w:bidi="ar-SA"/>
        </w:rPr>
        <w:id w:val="147479243"/>
        <w15:color w:val="DBDBDB"/>
        <w:docPartObj>
          <w:docPartGallery w:val="Table of Contents"/>
          <w:docPartUnique/>
        </w:docPartObj>
      </w:sdtPr>
      <w:sdtEndPr>
        <w:rPr>
          <w:rFonts w:hint="eastAsia" w:asciiTheme="minorHAnsi" w:hAnsiTheme="minorHAnsi" w:eastAsiaTheme="minorEastAsia" w:cstheme="minorBidi"/>
          <w:kern w:val="2"/>
          <w:sz w:val="21"/>
          <w:szCs w:val="24"/>
          <w:lang w:val="en-US" w:eastAsia="zh-CN" w:bidi="ar-SA"/>
        </w:rPr>
      </w:sdtEndPr>
      <w:sdtContent>
        <w:p w14:paraId="40858283">
          <w:pPr>
            <w:spacing w:before="0" w:beforeLines="0" w:after="0" w:afterLines="0" w:line="240" w:lineRule="auto"/>
            <w:ind w:left="0" w:leftChars="0" w:right="0" w:rightChars="0" w:firstLine="0" w:firstLineChars="0"/>
            <w:jc w:val="center"/>
            <w:rPr>
              <w:rFonts w:hint="eastAsia" w:ascii="仿宋_GB2312" w:hAnsi="仿宋_GB2312" w:eastAsia="仿宋_GB2312" w:cs="仿宋_GB2312"/>
              <w:sz w:val="32"/>
              <w:szCs w:val="32"/>
            </w:rPr>
          </w:pPr>
          <w:r>
            <w:rPr>
              <w:rFonts w:hint="eastAsia"/>
            </w:rPr>
            <w:fldChar w:fldCharType="begin"/>
          </w:r>
          <w:r>
            <w:rPr>
              <w:rFonts w:hint="eastAsia"/>
            </w:rPr>
            <w:instrText xml:space="preserve">TOC \o "1-1" \h \u </w:instrText>
          </w:r>
          <w:r>
            <w:rPr>
              <w:rFonts w:hint="eastAsia"/>
            </w:rPr>
            <w:fldChar w:fldCharType="separate"/>
          </w:r>
        </w:p>
        <w:p w14:paraId="04CF009C">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_Toc21340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第一章 反向竞价公告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_Toc21340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3F03386">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_Toc28933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第二章 采购需求表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_Toc28933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94DF04">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_Toc6496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第三章 商务要求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_Toc6496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71DEB0B">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5C2ADC">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_Toc25598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第五章 反向竞价响应文件格式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D99CFB5">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_Toc14361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_Toc14361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0171E9E">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_Toc9333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_Toc9333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04174AE">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_Toc26567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D0CBA4F">
          <w:pPr>
            <w:pStyle w:val="11"/>
            <w:tabs>
              <w:tab w:val="right" w:leader="dot" w:pos="8845"/>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_Toc32078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_Toc32078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D81ED9">
          <w:pPr>
            <w:pStyle w:val="11"/>
            <w:tabs>
              <w:tab w:val="right" w:leader="dot" w:pos="8845"/>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_Toc29747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FB624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HAnsi" w:hAnsiTheme="minorHAnsi" w:eastAsiaTheme="minorEastAsia" w:cstheme="minorBidi"/>
              <w:kern w:val="2"/>
              <w:sz w:val="21"/>
              <w:szCs w:val="24"/>
              <w:lang w:val="en-US" w:eastAsia="zh-CN" w:bidi="ar-SA"/>
            </w:rPr>
          </w:pPr>
          <w:r>
            <w:rPr>
              <w:rFonts w:hint="eastAsia"/>
            </w:rPr>
            <w:fldChar w:fldCharType="end"/>
          </w:r>
        </w:p>
      </w:sdtContent>
    </w:sdt>
    <w:p w14:paraId="391A2859">
      <w:pPr>
        <w:pStyle w:val="3"/>
        <w:bidi w:val="0"/>
        <w:rPr>
          <w:rFonts w:hint="eastAsia"/>
        </w:rPr>
        <w:sectPr>
          <w:footerReference r:id="rId4" w:type="default"/>
          <w:pgSz w:w="11906" w:h="16838"/>
          <w:pgMar w:top="2098" w:right="1474" w:bottom="1531" w:left="1587" w:header="851" w:footer="992" w:gutter="0"/>
          <w:pgNumType w:fmt="decimal" w:start="1"/>
          <w:cols w:space="425" w:num="1"/>
          <w:docGrid w:type="lines" w:linePitch="312" w:charSpace="0"/>
        </w:sectPr>
      </w:pPr>
      <w:bookmarkStart w:id="3" w:name="_Toc17339"/>
      <w:bookmarkStart w:id="4" w:name="_Toc21340"/>
    </w:p>
    <w:p w14:paraId="70AFC230">
      <w:pPr>
        <w:pStyle w:val="3"/>
        <w:bidi w:val="0"/>
        <w:rPr>
          <w:rFonts w:hint="eastAsia"/>
        </w:rPr>
      </w:pPr>
      <w:r>
        <w:rPr>
          <w:rFonts w:hint="eastAsia"/>
        </w:rPr>
        <w:t>第一章 反向竞价公告</w:t>
      </w:r>
      <w:bookmarkEnd w:id="3"/>
      <w:bookmarkEnd w:id="4"/>
    </w:p>
    <w:p w14:paraId="4DF9FBEE">
      <w:pPr>
        <w:rPr>
          <w:rFonts w:hint="eastAsia"/>
        </w:rPr>
      </w:pPr>
    </w:p>
    <w:p w14:paraId="71C3D6B9">
      <w:pPr>
        <w:rPr>
          <w:rFonts w:hint="eastAsia"/>
        </w:rPr>
      </w:pPr>
    </w:p>
    <w:p w14:paraId="7C22FCB5">
      <w:pPr>
        <w:rPr>
          <w:rFonts w:hint="eastAsia"/>
        </w:rPr>
      </w:pPr>
    </w:p>
    <w:p w14:paraId="24310C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一、项目概况</w:t>
      </w:r>
    </w:p>
    <w:p w14:paraId="57B403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u w:val="single"/>
        </w:rPr>
        <w:t>2026年江南训练基地触控一体机采购项目</w:t>
      </w:r>
      <w:r>
        <w:rPr>
          <w:rFonts w:hint="eastAsia" w:ascii="Times New Roman" w:hAnsi="Times New Roman" w:eastAsia="仿宋_GB2312" w:cs="仿宋_GB2312"/>
          <w:sz w:val="32"/>
          <w:szCs w:val="32"/>
        </w:rPr>
        <w:t>的潜在供应商应在政采云平台反向竞价页面中获取（下载）反向竞价采购文件，并于</w:t>
      </w:r>
      <w:r>
        <w:rPr>
          <w:rFonts w:hint="eastAsia" w:ascii="Times New Roman" w:hAnsi="Times New Roman" w:eastAsia="仿宋_GB2312" w:cs="仿宋_GB2312"/>
          <w:sz w:val="32"/>
          <w:szCs w:val="32"/>
          <w:u w:val="single"/>
        </w:rPr>
        <w:t>反向竞价截止时间前</w:t>
      </w:r>
      <w:r>
        <w:rPr>
          <w:rFonts w:hint="eastAsia" w:ascii="Times New Roman" w:hAnsi="Times New Roman" w:eastAsia="仿宋_GB2312" w:cs="仿宋_GB2312"/>
          <w:sz w:val="32"/>
          <w:szCs w:val="32"/>
        </w:rPr>
        <w:t>提交响应文件。</w:t>
      </w:r>
    </w:p>
    <w:p w14:paraId="7CF685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二、项目基本情况</w:t>
      </w:r>
    </w:p>
    <w:p w14:paraId="7E07B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项目名称：</w:t>
      </w:r>
      <w:r>
        <w:rPr>
          <w:rFonts w:hint="eastAsia" w:ascii="Times New Roman" w:hAnsi="Times New Roman" w:eastAsia="仿宋_GB2312" w:cs="仿宋_GB2312"/>
          <w:sz w:val="32"/>
          <w:szCs w:val="32"/>
          <w:u w:val="single"/>
        </w:rPr>
        <w:t>2026年江南训练基地触控一体机采购项目。</w:t>
      </w:r>
    </w:p>
    <w:p w14:paraId="40EF31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预算金额：</w:t>
      </w:r>
      <w:r>
        <w:rPr>
          <w:rFonts w:hint="eastAsia" w:ascii="Times New Roman" w:hAnsi="Times New Roman" w:eastAsia="仿宋_GB2312" w:cs="仿宋_GB2312"/>
          <w:sz w:val="32"/>
          <w:szCs w:val="32"/>
          <w:u w:val="single"/>
        </w:rPr>
        <w:t>154,000元。</w:t>
      </w:r>
    </w:p>
    <w:p w14:paraId="43224E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采购需求：</w:t>
      </w:r>
      <w:r>
        <w:rPr>
          <w:rFonts w:hint="eastAsia" w:ascii="Times New Roman" w:hAnsi="Times New Roman" w:eastAsia="仿宋_GB2312" w:cs="仿宋_GB2312"/>
          <w:sz w:val="32"/>
          <w:szCs w:val="32"/>
          <w:u w:val="single"/>
        </w:rPr>
        <w:t>项目要求详见采购文件。</w:t>
      </w:r>
    </w:p>
    <w:p w14:paraId="5EAD64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合同履行期限：</w:t>
      </w:r>
      <w:r>
        <w:rPr>
          <w:rFonts w:hint="eastAsia" w:ascii="Times New Roman" w:hAnsi="Times New Roman" w:eastAsia="仿宋_GB2312" w:cs="仿宋_GB2312"/>
          <w:sz w:val="32"/>
          <w:szCs w:val="32"/>
          <w:u w:val="single"/>
        </w:rPr>
        <w:t>自合同签订之日起15日内交货并安装完毕。</w:t>
      </w:r>
    </w:p>
    <w:p w14:paraId="151B53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三、供应商的资格条件</w:t>
      </w:r>
    </w:p>
    <w:p w14:paraId="3E3CF0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1.满足《中华人民共和国政府采购法》第二十二条规定。</w:t>
      </w:r>
    </w:p>
    <w:p w14:paraId="47C18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2.符合《关于规范政府采购供应商资格设定及资格审查的通知》第六条规定。</w:t>
      </w:r>
    </w:p>
    <w:p w14:paraId="1E9753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3.已在广西政府采购云平台系统注册并通过资质初审的供应商。</w:t>
      </w:r>
    </w:p>
    <w:p w14:paraId="455B03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四、其他说明</w:t>
      </w:r>
    </w:p>
    <w:p w14:paraId="453D9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无</w:t>
      </w:r>
      <w:r>
        <w:rPr>
          <w:rFonts w:hint="eastAsia" w:ascii="Times New Roman" w:hAnsi="Times New Roman" w:eastAsia="仿宋_GB2312" w:cs="仿宋_GB2312"/>
          <w:sz w:val="32"/>
          <w:szCs w:val="32"/>
          <w:lang w:eastAsia="zh-CN"/>
        </w:rPr>
        <w:t>。</w:t>
      </w:r>
    </w:p>
    <w:p w14:paraId="5F95F961">
      <w:pPr>
        <w:rPr>
          <w:rFonts w:hint="eastAsia"/>
        </w:rPr>
        <w:sectPr>
          <w:footerReference r:id="rId5" w:type="default"/>
          <w:footerReference r:id="rId6" w:type="even"/>
          <w:pgSz w:w="11906" w:h="16838"/>
          <w:pgMar w:top="2098" w:right="1474" w:bottom="1531" w:left="1587" w:header="851" w:footer="992" w:gutter="0"/>
          <w:pgNumType w:fmt="decimal" w:start="1"/>
          <w:cols w:space="425" w:num="1"/>
          <w:docGrid w:type="lines" w:linePitch="312" w:charSpace="0"/>
        </w:sectPr>
      </w:pPr>
    </w:p>
    <w:p w14:paraId="6128B8C5">
      <w:pPr>
        <w:pStyle w:val="3"/>
        <w:bidi w:val="0"/>
        <w:rPr>
          <w:rFonts w:hint="eastAsia"/>
        </w:rPr>
      </w:pPr>
      <w:bookmarkStart w:id="5" w:name="_Toc28933"/>
      <w:r>
        <w:rPr>
          <w:rFonts w:hint="eastAsia"/>
        </w:rPr>
        <w:t>第二章 采购需求表</w:t>
      </w:r>
      <w:bookmarkEnd w:id="5"/>
    </w:p>
    <w:p w14:paraId="482113A9">
      <w:pPr>
        <w:rPr>
          <w:rFonts w:hint="eastAsia"/>
        </w:rPr>
      </w:pPr>
    </w:p>
    <w:p w14:paraId="4069B6C2">
      <w:pPr>
        <w:rPr>
          <w:rFonts w:hint="eastAsia"/>
        </w:rPr>
      </w:pPr>
    </w:p>
    <w:tbl>
      <w:tblPr>
        <w:tblStyle w:val="9"/>
        <w:tblW w:w="1515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
        <w:gridCol w:w="660"/>
        <w:gridCol w:w="735"/>
        <w:gridCol w:w="11942"/>
        <w:gridCol w:w="510"/>
        <w:gridCol w:w="945"/>
      </w:tblGrid>
      <w:tr w14:paraId="0789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61" w:type="dxa"/>
            <w:vAlign w:val="center"/>
          </w:tcPr>
          <w:p w14:paraId="70E27CA7">
            <w:pPr>
              <w:jc w:val="center"/>
              <w:rPr>
                <w:rFonts w:hint="eastAsia"/>
                <w:vertAlign w:val="baseline"/>
              </w:rPr>
            </w:pPr>
            <w:r>
              <w:rPr>
                <w:rFonts w:hint="eastAsia"/>
              </w:rPr>
              <w:t>序号</w:t>
            </w:r>
          </w:p>
        </w:tc>
        <w:tc>
          <w:tcPr>
            <w:tcW w:w="660" w:type="dxa"/>
            <w:vAlign w:val="center"/>
          </w:tcPr>
          <w:p w14:paraId="5A400F76">
            <w:pPr>
              <w:jc w:val="center"/>
              <w:rPr>
                <w:rFonts w:hint="eastAsia"/>
                <w:vertAlign w:val="baseline"/>
              </w:rPr>
            </w:pPr>
            <w:r>
              <w:rPr>
                <w:rFonts w:hint="eastAsia"/>
              </w:rPr>
              <w:t>货物名称</w:t>
            </w:r>
          </w:p>
        </w:tc>
        <w:tc>
          <w:tcPr>
            <w:tcW w:w="735" w:type="dxa"/>
            <w:vAlign w:val="center"/>
          </w:tcPr>
          <w:p w14:paraId="28D70C0A">
            <w:pPr>
              <w:jc w:val="center"/>
              <w:rPr>
                <w:rFonts w:hint="eastAsia" w:eastAsiaTheme="minorEastAsia"/>
                <w:lang w:val="en-US" w:eastAsia="zh-CN"/>
              </w:rPr>
            </w:pPr>
            <w:r>
              <w:rPr>
                <w:rFonts w:hint="eastAsia"/>
                <w:lang w:val="en-US" w:eastAsia="zh-CN"/>
              </w:rPr>
              <w:t>型号</w:t>
            </w:r>
          </w:p>
        </w:tc>
        <w:tc>
          <w:tcPr>
            <w:tcW w:w="11942" w:type="dxa"/>
            <w:vAlign w:val="center"/>
          </w:tcPr>
          <w:p w14:paraId="23598FE1">
            <w:pPr>
              <w:jc w:val="center"/>
              <w:rPr>
                <w:rFonts w:hint="eastAsia"/>
                <w:vertAlign w:val="baseline"/>
              </w:rPr>
            </w:pPr>
            <w:r>
              <w:rPr>
                <w:rFonts w:hint="eastAsia"/>
              </w:rPr>
              <w:t>技术参数及性能(配置)要求</w:t>
            </w:r>
          </w:p>
        </w:tc>
        <w:tc>
          <w:tcPr>
            <w:tcW w:w="510" w:type="dxa"/>
            <w:vAlign w:val="center"/>
          </w:tcPr>
          <w:p w14:paraId="36D3941F">
            <w:pPr>
              <w:jc w:val="center"/>
              <w:rPr>
                <w:rFonts w:hint="eastAsia"/>
                <w:vertAlign w:val="baseline"/>
              </w:rPr>
            </w:pPr>
            <w:r>
              <w:rPr>
                <w:rFonts w:hint="eastAsia"/>
              </w:rPr>
              <w:t>数量</w:t>
            </w:r>
          </w:p>
        </w:tc>
        <w:tc>
          <w:tcPr>
            <w:tcW w:w="945" w:type="dxa"/>
            <w:vAlign w:val="center"/>
          </w:tcPr>
          <w:p w14:paraId="2E794AAE">
            <w:pPr>
              <w:jc w:val="center"/>
              <w:rPr>
                <w:rFonts w:hint="eastAsia"/>
                <w:vertAlign w:val="baseline"/>
              </w:rPr>
            </w:pPr>
            <w:r>
              <w:rPr>
                <w:rFonts w:hint="eastAsia"/>
              </w:rPr>
              <w:t>采购上控价</w:t>
            </w:r>
          </w:p>
        </w:tc>
      </w:tr>
      <w:tr w14:paraId="53A2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77302999">
            <w:pPr>
              <w:jc w:val="center"/>
              <w:rPr>
                <w:rFonts w:hint="eastAsia" w:eastAsiaTheme="minorEastAsia"/>
                <w:vertAlign w:val="baseline"/>
                <w:lang w:val="en-US" w:eastAsia="zh-CN"/>
              </w:rPr>
            </w:pPr>
            <w:r>
              <w:rPr>
                <w:rFonts w:hint="eastAsia"/>
                <w:vertAlign w:val="baseline"/>
                <w:lang w:val="en-US" w:eastAsia="zh-CN"/>
              </w:rPr>
              <w:t>1</w:t>
            </w:r>
          </w:p>
        </w:tc>
        <w:tc>
          <w:tcPr>
            <w:tcW w:w="660" w:type="dxa"/>
            <w:vAlign w:val="center"/>
          </w:tcPr>
          <w:p w14:paraId="6E913F92">
            <w:pPr>
              <w:jc w:val="center"/>
              <w:rPr>
                <w:rFonts w:hint="eastAsia" w:eastAsiaTheme="minorEastAsia"/>
                <w:vertAlign w:val="baseline"/>
                <w:lang w:eastAsia="zh-CN"/>
              </w:rPr>
            </w:pPr>
            <w:r>
              <w:rPr>
                <w:rFonts w:hint="eastAsia"/>
                <w:vertAlign w:val="baseline"/>
              </w:rPr>
              <w:t>触控一体机</w:t>
            </w:r>
          </w:p>
        </w:tc>
        <w:tc>
          <w:tcPr>
            <w:tcW w:w="735" w:type="dxa"/>
            <w:vAlign w:val="center"/>
          </w:tcPr>
          <w:p w14:paraId="4F82FEE4">
            <w:pPr>
              <w:jc w:val="center"/>
              <w:rPr>
                <w:rFonts w:hint="eastAsia"/>
                <w:vertAlign w:val="baseline"/>
              </w:rPr>
            </w:pPr>
            <w:r>
              <w:rPr>
                <w:rFonts w:hint="eastAsia"/>
                <w:vertAlign w:val="baseline"/>
              </w:rPr>
              <w:t>希沃FH86EC</w:t>
            </w:r>
          </w:p>
        </w:tc>
        <w:tc>
          <w:tcPr>
            <w:tcW w:w="11942" w:type="dxa"/>
            <w:vAlign w:val="center"/>
          </w:tcPr>
          <w:p w14:paraId="7C1E8B5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一、整体设计</w:t>
            </w:r>
          </w:p>
          <w:p w14:paraId="2F32E2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1.整机采用一体设计，外部无任何可见内部功能模块连接线。边角采用弧形设计，表面无尖锐边缘或凸起。</w:t>
            </w:r>
          </w:p>
          <w:p w14:paraId="1CEFE36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2.整机屏幕边缘采用金属圆角包边防护，整机背板采用金属材质，有效屏蔽内部电路器件辐射；防潮耐盐雾蚀锈，适应多种教学环境。</w:t>
            </w:r>
          </w:p>
          <w:p w14:paraId="76AE7A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3.整机左、右、下三边框皆具备磁吸功能，边框任意位置可吸附具备磁吸功能的书写笔，吸附稳定不掉落，磁吸拉力≥60g，方便教具的收纳管理。投标时须提供国家认可的第三方检测（检验）机构出具的带有CMA或CNAS标志的关于该功能检测（检验）报告复印件</w:t>
            </w:r>
          </w:p>
          <w:p w14:paraId="6F6A39A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4.整机屏幕采用86英寸液晶显示器，采⽤超⾼清LED液晶屏，显示分辨率3840*2160，可视⻆度≥178°。</w:t>
            </w:r>
          </w:p>
          <w:p w14:paraId="14FA94A4">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5.整机设备屏幕亮度：≥350cd/㎡。</w:t>
            </w:r>
          </w:p>
          <w:p w14:paraId="7534F64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6.整机书写面板采用防眩光全钢化防爆玻璃面板，面板的碎片状态、抗冲击性、霰弹袋冲击性能、耐热冲击性能均通过国家强制玻璃标准，表面应力≥100Mpa,适应学校复杂环境，保障教学安全。</w:t>
            </w:r>
          </w:p>
          <w:p w14:paraId="089A3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二、系统性能</w:t>
            </w:r>
          </w:p>
          <w:p w14:paraId="08AEEA10">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整机接口：侧置输入接口具备2路HDMI、1路RS232（RJ45形态）、1路USB接口。侧置输出接口具备1路音频输出、1路触控USB输出。前置输入接口3路USB接口（包含1路Type-C、2路USB）。投标时须提供国家认可的第三方检测（检验）机构出具的带有CMA或CNAS标志的关于该功能检测（检验）报告复印件</w:t>
            </w:r>
          </w:p>
          <w:p w14:paraId="6EF2FC70">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▲2.安卓系统配置：整机采用≥12核国产化嵌入式芯片，CPU≥8核，整机嵌入式系统版本≥Android 15，主频≥1.6GHz，内存≥2GB，DDR最大速率≥2666MT/S，存储空间≥32GB。投标时须提供国家认可的第三方检测（检验）机构出具的带有CMA或CNAS标志的关于该功能检测（检验）报告复印件</w:t>
            </w:r>
          </w:p>
          <w:p w14:paraId="04507A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3.整机从待机状态下（待机功耗≤0.5W），可12s内开机进入到系统主页，并达到可触控状态。</w:t>
            </w:r>
          </w:p>
          <w:p w14:paraId="4543BAB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4.整机全通道⽀持4K显示，包括安卓通道、PC通道、HDMI通道。</w:t>
            </w:r>
          </w:p>
          <w:p w14:paraId="4F12B3F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5.长时间无人使用屏幕可自动息屏，用户可通过整机内置触摸中控菜单进行开启和关闭，可自定义无人操作息屏时间间隔为1小时、2小时。</w:t>
            </w:r>
          </w:p>
          <w:p w14:paraId="41C8420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6.整机设备内置2.2声道扬声器，前朝向发声，12W高音扬声器2个，上朝向30W中低音扬声器2个，最大功率≥84W，单个扬声器容积≥0.62L，最低谐振频率≤85Hz。投标时须提供国家认可的第三方检测（检验）机构出具的带有CMA或CNAS标志的关于该功能检测（检验）报告复印件</w:t>
            </w:r>
          </w:p>
          <w:p w14:paraId="23D239F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7.整机内置非独立外扩展的4阵列麦克风，可用于对教室环境音频进行采集，麦克风拾音距离≥12米。</w:t>
            </w:r>
          </w:p>
          <w:p w14:paraId="5246562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8.整机听力模式下具备AI人声语言增强功能，支持三挡强弱调节，通过AI算法提取视频/音频中的语言进行效果增强，在不增加音量的情况下提升语言清晰度，扩声系统语言传输指数（STIPA）≥0.75。</w:t>
            </w:r>
          </w:p>
          <w:p w14:paraId="2551A74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9.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投标时须提供国家认可的第三方检测（检验）机构出具的带有CMA或CNAS标志的关于该功能检测（检验）报告复印件</w:t>
            </w:r>
          </w:p>
          <w:p w14:paraId="0BC4A28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10.整机系统支持手势上滑调出人工智能画质调节模式（AI-PQ），开启AI-PQ功能后，播放视频即可根据屏幕内容自动调节画质参数，当屏幕出现人物、建筑、夜景元素时，自动调整对比度、饱和度、锐利度、色调色相值、高光/阴影。</w:t>
            </w:r>
          </w:p>
          <w:p w14:paraId="4318C46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11.整机配套教学应用APP可通过wifi直连技术，近场发现附近教学大屏设备，无需扫码、账号密码输入步骤，即可直接连接并登录教学大屏设备，基于统一身份认证机制可实现其他教学软件免登录操作。</w:t>
            </w:r>
          </w:p>
          <w:p w14:paraId="2154212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12.整机具备班级视力检测功能，学⽣站在距离屏幕前5m处，可通过⼿势识别方式来标识方向进行视力测试，测试完成后可直接⽣成视⼒检测结果，并建⽴学⽣视⼒档案，对学⽣视⼒情况进⾏管理。</w:t>
            </w:r>
          </w:p>
          <w:p w14:paraId="3EEFC2B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三、OPS模块设计</w:t>
            </w:r>
          </w:p>
          <w:p w14:paraId="64AB67C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1.Intel酷睿系列，兼容i5。</w:t>
            </w:r>
          </w:p>
          <w:p w14:paraId="031EF7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2.内存：≥8G.</w:t>
            </w:r>
          </w:p>
          <w:p w14:paraId="4E3C833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3.固态硬盘：≥256G.</w:t>
            </w:r>
          </w:p>
          <w:p w14:paraId="1EE30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4.声卡：集成声卡。</w:t>
            </w:r>
          </w:p>
          <w:p w14:paraId="0A97B5E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5.模块设计：采用按压式卡扣，无需工具即可快速拆卸电脑模块。</w:t>
            </w:r>
          </w:p>
          <w:p w14:paraId="5F85BB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6.结构设计：PC模块可抽拉式插入整机，可实现无单独接线的拔插。</w:t>
            </w:r>
          </w:p>
          <w:p w14:paraId="1B78DA9D">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7.HDMI接口：具有独立非外拓展的视频输出接口：≥1路HDMI。</w:t>
            </w:r>
          </w:p>
          <w:p w14:paraId="3EBAFD9D">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8.USB接口：具有独立非外拓展的电脑USB接口：至少具备3个USB3.0接口，3个USB2.0接口。</w:t>
            </w:r>
          </w:p>
          <w:p w14:paraId="6735436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9.防盗锁：具有标准PC防盗锁孔，确保电脑模块安全防盗。</w:t>
            </w:r>
          </w:p>
          <w:p w14:paraId="5C429204">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四、教学桌面设计</w:t>
            </w:r>
          </w:p>
          <w:p w14:paraId="577201E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1.整机设备开机启动后，自动进入教学桌面，支持账号登录、退出，自动获取个人云端教学课件列表，并可进入全部课件列表。</w:t>
            </w:r>
          </w:p>
          <w:p w14:paraId="4CC4124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2.整机设备支持多种身份识别方式，支持通过账号登录、手机扫码登录、人脸识别登录、声纹识别登录、近场发现登录，并支持账号安全登录检测。</w:t>
            </w:r>
          </w:p>
          <w:p w14:paraId="0EF0FB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3.整机支持统一互通的用户身份认证服务，账号登录后，打开教学白板软件教学应用工具时无需再次输入账号密码重复登录。</w:t>
            </w:r>
          </w:p>
          <w:p w14:paraId="1655E6F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4.整机教学桌面的教师登录账号后，可自动获取并在桌面显示最近使用的教学课件，点击课件可直接进入授课模式；并支持查看所有个人教学课件资源。</w:t>
            </w:r>
          </w:p>
          <w:p w14:paraId="0BC747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5.整机教学桌面支持教学白板软件和文件管理软件；教学桌面首页支持自定义桌面应用，支持展示 8 个应用入口，并提供进入本机所有应用的入口。</w:t>
            </w:r>
          </w:p>
          <w:p w14:paraId="27BA211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6.整机可将应用编辑到教学桌面首页，编辑方式支持从教学桌面首页进入编辑，支持在全部应用列表中进入编辑2 种方式。教学桌面首页应用支持无需进入应用编辑页面，在首页指定应用上长按进行移除。</w:t>
            </w:r>
          </w:p>
          <w:p w14:paraId="17D0CDF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7.整机教学桌面支持U盘、移动硬盘外接存储设备直接在桌面显示，无需打开文件浏览器即可查看文件列表，并且支持文件打开。支持查看全部文件列表以及按照文档、图片、音视频分类方式查看文件列表。</w:t>
            </w:r>
          </w:p>
          <w:p w14:paraId="7EDD4AD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五、文件传输功能设计</w:t>
            </w:r>
          </w:p>
          <w:p w14:paraId="4E307AC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整机Windows通道支持文件传输应用，支持多人同时将手机文件传输到整机上；当手机端登录账号与整机一致时，接收文件不需要二次确认，当手机端登录账号与整机不一致时，且距离连接成功或上次传输超过3分钟，则接收文件需要二次确认。</w:t>
            </w:r>
          </w:p>
          <w:p w14:paraId="0483594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2.整机Windows通道支持文件传输应用，支持通过扫码、超声、wifi直连三种方式与手机进行握手连接，实现文件传输功能。投标时须提供国家认可的第三方检测（检验）机构出具的带有CMA或CNAS标志的关于该功能检测（检验）报告复印件</w:t>
            </w:r>
          </w:p>
          <w:p w14:paraId="350FC04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3.整机Windows通道支持文件传输应用，开启该应用后，可自动打开整机热点，并在文件传输应用中显示热点信息，无需手动在设置中查看热点。</w:t>
            </w:r>
          </w:p>
          <w:p w14:paraId="6693A36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4.整机Windows通道支持文件传输应用，可将手机文件传输到整机上，无需借助第三方网页、第三方应用，传输文件格式支持：pptx、pdf、docx、txt、xlsx、enbx、jpg、png、gif、svg、mp4、rmvb、avi、3gp、wmv、flv、mkv、mp3、wav、wma、ogg、zip。</w:t>
            </w:r>
          </w:p>
          <w:p w14:paraId="1448B5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六、软件应用设计</w:t>
            </w:r>
          </w:p>
          <w:p w14:paraId="4FBE8AF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1.支持智能书写功能，书写文字自动识别为标准印刷体，支持图形识别功能，可将多种手绘图形转化为矩形、三角形、圆形标准图形。</w:t>
            </w:r>
          </w:p>
          <w:p w14:paraId="49E7FE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2.整机支持在无任何外部设备的情况下，实时录制用户朗读内容，识别用户声纹并进行统一身份登录，登录后自动获取个人云端教学课件列表，打开教学白板软件时可跳过软件自带登录步骤。</w:t>
            </w:r>
          </w:p>
          <w:p w14:paraId="5CDEFF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3.整机内置交互式白板软件支持课件多人在线协同编辑，支持以链接的形式进行课件分享、邀请协作，支持查看当前在线用户，针对邀请协同的用户可设置可编辑、可阅读权限，支持将PPT课件转化为交互式课件进行协同编辑。</w:t>
            </w:r>
          </w:p>
          <w:p w14:paraId="4F43DF7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4.整机白板软件支持智能图表绘制，可将手绘表格转化为智能表格，形成表格对象后表格中书写区域可根据书写内容自适应调整大小，支持将表格外书写内容一键拖动到表格中。</w:t>
            </w:r>
          </w:p>
          <w:p w14:paraId="6C18299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5.整机侧边栏内置智能语音转文字工具，支持实时拾取整机系统播放的音视频源内容并进行文字转译，以悬浮字幕形式将文字显示在屏幕上。</w:t>
            </w:r>
          </w:p>
          <w:p w14:paraId="6636239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b w:val="0"/>
                <w:bCs w:val="0"/>
                <w:vertAlign w:val="baseline"/>
              </w:rPr>
            </w:pPr>
            <w:r>
              <w:rPr>
                <w:rFonts w:hint="eastAsia"/>
                <w:b w:val="0"/>
                <w:bCs w:val="0"/>
                <w:vertAlign w:val="baseline"/>
              </w:rPr>
              <w:t>6.整机内置计算器应用，支持多项式复杂计算，对多项式进行积分、求导、多项式展开和多项式分解，支持对多项式进行绘制图像，展示绘制结果。</w:t>
            </w:r>
          </w:p>
          <w:p w14:paraId="4A5D317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vertAlign w:val="baseline"/>
                <w:lang w:val="en-US" w:eastAsia="zh-CN"/>
              </w:rPr>
            </w:pPr>
            <w:r>
              <w:rPr>
                <w:rFonts w:hint="eastAsia"/>
                <w:b w:val="0"/>
                <w:bCs w:val="0"/>
                <w:vertAlign w:val="baseline"/>
              </w:rPr>
              <w:t>7.支持通过悬浮球调起元素周期表，支持对不同类别元素进行颜色区分，可通过点击对不同元素进行分类展示，展示样式支持按原子数/原子结构/相对原子质量/电子构型配置元素方式进行调整。</w:t>
            </w:r>
          </w:p>
        </w:tc>
        <w:tc>
          <w:tcPr>
            <w:tcW w:w="510" w:type="dxa"/>
            <w:vAlign w:val="center"/>
          </w:tcPr>
          <w:p w14:paraId="67488404">
            <w:pPr>
              <w:jc w:val="center"/>
              <w:rPr>
                <w:rFonts w:hint="default" w:eastAsiaTheme="minorEastAsia"/>
                <w:vertAlign w:val="baseline"/>
                <w:lang w:val="en-US" w:eastAsia="zh-CN"/>
              </w:rPr>
            </w:pPr>
            <w:r>
              <w:rPr>
                <w:rFonts w:hint="eastAsia"/>
                <w:vertAlign w:val="baseline"/>
                <w:lang w:val="en-US" w:eastAsia="zh-CN"/>
              </w:rPr>
              <w:t>5台</w:t>
            </w:r>
          </w:p>
        </w:tc>
        <w:tc>
          <w:tcPr>
            <w:tcW w:w="945" w:type="dxa"/>
            <w:vMerge w:val="restart"/>
            <w:vAlign w:val="center"/>
          </w:tcPr>
          <w:p w14:paraId="506E48E9">
            <w:pPr>
              <w:jc w:val="center"/>
              <w:rPr>
                <w:rFonts w:hint="default" w:eastAsiaTheme="minorEastAsia"/>
                <w:vertAlign w:val="baseline"/>
                <w:lang w:val="en-US" w:eastAsia="zh-CN"/>
              </w:rPr>
            </w:pPr>
            <w:r>
              <w:rPr>
                <w:rFonts w:hint="eastAsia"/>
                <w:vertAlign w:val="baseline"/>
                <w:lang w:val="en-US" w:eastAsia="zh-CN"/>
              </w:rPr>
              <w:t>154000元</w:t>
            </w:r>
          </w:p>
        </w:tc>
      </w:tr>
      <w:tr w14:paraId="58DD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2EE4235A">
            <w:pPr>
              <w:jc w:val="center"/>
              <w:rPr>
                <w:rFonts w:hint="eastAsia" w:eastAsiaTheme="minorEastAsia"/>
                <w:vertAlign w:val="baseline"/>
                <w:lang w:val="en-US" w:eastAsia="zh-CN"/>
              </w:rPr>
            </w:pPr>
            <w:r>
              <w:rPr>
                <w:rFonts w:hint="eastAsia"/>
                <w:vertAlign w:val="baseline"/>
                <w:lang w:val="en-US" w:eastAsia="zh-CN"/>
              </w:rPr>
              <w:t>2</w:t>
            </w:r>
          </w:p>
        </w:tc>
        <w:tc>
          <w:tcPr>
            <w:tcW w:w="660" w:type="dxa"/>
            <w:vAlign w:val="center"/>
          </w:tcPr>
          <w:p w14:paraId="3DA3C352">
            <w:pPr>
              <w:jc w:val="center"/>
              <w:rPr>
                <w:rFonts w:hint="eastAsia"/>
                <w:vertAlign w:val="baseline"/>
              </w:rPr>
            </w:pPr>
            <w:r>
              <w:rPr>
                <w:rFonts w:hint="eastAsia"/>
                <w:vertAlign w:val="baseline"/>
              </w:rPr>
              <w:t>拔插式OPS模块</w:t>
            </w:r>
          </w:p>
        </w:tc>
        <w:tc>
          <w:tcPr>
            <w:tcW w:w="735" w:type="dxa"/>
            <w:vAlign w:val="center"/>
          </w:tcPr>
          <w:p w14:paraId="4A8073CF">
            <w:pPr>
              <w:jc w:val="center"/>
              <w:rPr>
                <w:rFonts w:hint="eastAsia"/>
                <w:vertAlign w:val="baseline"/>
              </w:rPr>
            </w:pPr>
            <w:r>
              <w:rPr>
                <w:rFonts w:hint="eastAsia"/>
                <w:vertAlign w:val="baseline"/>
              </w:rPr>
              <w:t>希沃MT71A</w:t>
            </w:r>
          </w:p>
        </w:tc>
        <w:tc>
          <w:tcPr>
            <w:tcW w:w="11942" w:type="dxa"/>
            <w:vAlign w:val="center"/>
          </w:tcPr>
          <w:p w14:paraId="4479C78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b w:val="0"/>
                <w:bCs w:val="0"/>
                <w:vertAlign w:val="baseline"/>
              </w:rPr>
            </w:pPr>
            <w:r>
              <w:rPr>
                <w:rFonts w:hint="eastAsia"/>
                <w:b w:val="0"/>
                <w:bCs w:val="0"/>
                <w:vertAlign w:val="baseline"/>
              </w:rPr>
              <w:t>1.拔插式OPS模块，为希沃触控一体机提供电脑功能及windows系统，实现更直观教学操作。</w:t>
            </w:r>
          </w:p>
          <w:p w14:paraId="0FDA61D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b w:val="0"/>
                <w:bCs w:val="0"/>
                <w:vertAlign w:val="baseline"/>
              </w:rPr>
            </w:pPr>
            <w:r>
              <w:rPr>
                <w:rFonts w:hint="eastAsia"/>
                <w:b w:val="0"/>
                <w:bCs w:val="0"/>
                <w:vertAlign w:val="baseline"/>
              </w:rPr>
              <w:t>2.配置:i5 CPU，8GB 内存，256GBSSD固态硬盘。</w:t>
            </w:r>
          </w:p>
          <w:p w14:paraId="74890DE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b w:val="0"/>
                <w:bCs w:val="0"/>
                <w:vertAlign w:val="baseline"/>
              </w:rPr>
            </w:pPr>
            <w:r>
              <w:rPr>
                <w:rFonts w:hint="eastAsia"/>
                <w:b w:val="0"/>
                <w:bCs w:val="0"/>
                <w:vertAlign w:val="baseline"/>
              </w:rPr>
              <w:t>3.采用按压式卡扣，和整机的连接采用万兆级接口，传输速率：10Gbps。</w:t>
            </w:r>
          </w:p>
          <w:p w14:paraId="1FCBFF2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b w:val="0"/>
                <w:bCs w:val="0"/>
                <w:vertAlign w:val="baseline"/>
              </w:rPr>
              <w:t>4.模块接口：1路HDMI ，USB接口：3路USB。</w:t>
            </w:r>
          </w:p>
        </w:tc>
        <w:tc>
          <w:tcPr>
            <w:tcW w:w="510" w:type="dxa"/>
            <w:vAlign w:val="center"/>
          </w:tcPr>
          <w:p w14:paraId="576222C2">
            <w:pPr>
              <w:jc w:val="center"/>
              <w:rPr>
                <w:rFonts w:hint="eastAsia" w:eastAsiaTheme="minorEastAsia"/>
                <w:vertAlign w:val="baseline"/>
                <w:lang w:val="en-US" w:eastAsia="zh-CN"/>
              </w:rPr>
            </w:pPr>
            <w:r>
              <w:rPr>
                <w:rFonts w:hint="eastAsia"/>
                <w:vertAlign w:val="baseline"/>
                <w:lang w:val="en-US" w:eastAsia="zh-CN"/>
              </w:rPr>
              <w:t>5台</w:t>
            </w:r>
          </w:p>
        </w:tc>
        <w:tc>
          <w:tcPr>
            <w:tcW w:w="945" w:type="dxa"/>
            <w:vMerge w:val="continue"/>
            <w:vAlign w:val="center"/>
          </w:tcPr>
          <w:p w14:paraId="54B28D5B">
            <w:pPr>
              <w:jc w:val="center"/>
              <w:rPr>
                <w:rFonts w:hint="eastAsia"/>
                <w:vertAlign w:val="baseline"/>
              </w:rPr>
            </w:pPr>
          </w:p>
        </w:tc>
      </w:tr>
      <w:tr w14:paraId="6F40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4AF8B5FB">
            <w:pPr>
              <w:jc w:val="center"/>
              <w:rPr>
                <w:rFonts w:hint="default"/>
                <w:vertAlign w:val="baseline"/>
                <w:lang w:val="en-US" w:eastAsia="zh-CN"/>
              </w:rPr>
            </w:pPr>
            <w:r>
              <w:rPr>
                <w:rFonts w:hint="eastAsia"/>
                <w:vertAlign w:val="baseline"/>
                <w:lang w:val="en-US" w:eastAsia="zh-CN"/>
              </w:rPr>
              <w:t>3</w:t>
            </w:r>
          </w:p>
        </w:tc>
        <w:tc>
          <w:tcPr>
            <w:tcW w:w="660" w:type="dxa"/>
            <w:vAlign w:val="center"/>
          </w:tcPr>
          <w:p w14:paraId="71942E77">
            <w:pPr>
              <w:jc w:val="center"/>
              <w:rPr>
                <w:rFonts w:hint="eastAsia"/>
                <w:vertAlign w:val="baseline"/>
              </w:rPr>
            </w:pPr>
            <w:r>
              <w:rPr>
                <w:rFonts w:hint="eastAsia"/>
                <w:vertAlign w:val="baseline"/>
              </w:rPr>
              <w:t>壁挂式视频展台</w:t>
            </w:r>
          </w:p>
        </w:tc>
        <w:tc>
          <w:tcPr>
            <w:tcW w:w="735" w:type="dxa"/>
            <w:vAlign w:val="center"/>
          </w:tcPr>
          <w:p w14:paraId="04E45F45">
            <w:pPr>
              <w:jc w:val="center"/>
              <w:rPr>
                <w:rFonts w:hint="eastAsia"/>
                <w:vertAlign w:val="baseline"/>
              </w:rPr>
            </w:pPr>
            <w:r>
              <w:rPr>
                <w:rFonts w:hint="eastAsia"/>
                <w:vertAlign w:val="baseline"/>
              </w:rPr>
              <w:t>希沃SC06</w:t>
            </w:r>
          </w:p>
        </w:tc>
        <w:tc>
          <w:tcPr>
            <w:tcW w:w="11942" w:type="dxa"/>
            <w:vAlign w:val="center"/>
          </w:tcPr>
          <w:p w14:paraId="3BAB726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w:t>
            </w:r>
            <w:r>
              <w:rPr>
                <w:rFonts w:hint="eastAsia"/>
                <w:vertAlign w:val="baseline"/>
                <w:lang w:eastAsia="zh-CN"/>
              </w:rPr>
              <w:t>.</w:t>
            </w:r>
            <w:r>
              <w:rPr>
                <w:rFonts w:hint="eastAsia"/>
                <w:vertAlign w:val="baseline"/>
              </w:rPr>
              <w:t>采用≥800万像素摄像头；采用 USB五伏电源直接供电，无需额外配置电源适配器，环保无辐射；箱内USB连线采用隐藏式设计，箱内无可见连线且USB口下出，有效防止积尘，且方便布线和返修。</w:t>
            </w:r>
          </w:p>
          <w:p w14:paraId="3B9D4C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2</w:t>
            </w:r>
            <w:r>
              <w:rPr>
                <w:rFonts w:hint="eastAsia"/>
                <w:vertAlign w:val="baseline"/>
                <w:lang w:eastAsia="zh-CN"/>
              </w:rPr>
              <w:t>.</w:t>
            </w:r>
            <w:r>
              <w:rPr>
                <w:rFonts w:hint="eastAsia"/>
                <w:vertAlign w:val="baseline"/>
              </w:rPr>
              <w:t>A4大小拍摄幅面，1080P动态视频预览达到30帧/秒；托板及挂墙部分采用金属加强，托板可承重3kg，整机壁挂式安装。</w:t>
            </w:r>
          </w:p>
          <w:p w14:paraId="60FB029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3</w:t>
            </w:r>
            <w:r>
              <w:rPr>
                <w:rFonts w:hint="eastAsia"/>
                <w:vertAlign w:val="baseline"/>
                <w:lang w:eastAsia="zh-CN"/>
              </w:rPr>
              <w:t>.</w:t>
            </w:r>
            <w:r>
              <w:rPr>
                <w:rFonts w:hint="eastAsia"/>
                <w:vertAlign w:val="baseline"/>
              </w:rPr>
              <w:t>支持展台成像画面实时批注，预设多种笔划粗细及颜色供选择，且支持对展台成像画面联同批注内容进行同步缩放、移动。</w:t>
            </w:r>
          </w:p>
          <w:p w14:paraId="11D483A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4</w:t>
            </w:r>
            <w:r>
              <w:rPr>
                <w:rFonts w:hint="eastAsia"/>
                <w:vertAlign w:val="baseline"/>
                <w:lang w:eastAsia="zh-CN"/>
              </w:rPr>
              <w:t>.</w:t>
            </w:r>
            <w:r>
              <w:rPr>
                <w:rFonts w:hint="eastAsia"/>
                <w:vertAlign w:val="baseline"/>
              </w:rPr>
              <w:t>展示托板正上方具备LED补光灯，保证展示区域的亮度及展示效果，补光灯开关采用触摸按键设计，同时可通过交互智能平板中的软件直接控制开关；带自动对焦摄像头。</w:t>
            </w:r>
          </w:p>
          <w:p w14:paraId="0CF96C3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5</w:t>
            </w:r>
            <w:r>
              <w:rPr>
                <w:rFonts w:hint="eastAsia"/>
                <w:vertAlign w:val="baseline"/>
                <w:lang w:eastAsia="zh-CN"/>
              </w:rPr>
              <w:t>.</w:t>
            </w:r>
            <w:r>
              <w:rPr>
                <w:rFonts w:hint="eastAsia"/>
                <w:vertAlign w:val="baseline"/>
              </w:rPr>
              <w:t>具有故障自动检测功能：在调用展台却无法出现镜头采集画面信号时，可自动出现检测链接，并给出导致性原因（如硬件连接、摄像头占用、配套软件版本等问题）。</w:t>
            </w:r>
          </w:p>
          <w:p w14:paraId="04FF870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6</w:t>
            </w:r>
            <w:r>
              <w:rPr>
                <w:rFonts w:hint="eastAsia"/>
                <w:vertAlign w:val="baseline"/>
                <w:lang w:eastAsia="zh-CN"/>
              </w:rPr>
              <w:t>.</w:t>
            </w:r>
            <w:r>
              <w:rPr>
                <w:rFonts w:hint="eastAsia"/>
                <w:vertAlign w:val="baseline"/>
              </w:rPr>
              <w:t>为保证兼容性及稳定性，视频展台需与智能触控一体机为同一品牌厂家。</w:t>
            </w:r>
          </w:p>
        </w:tc>
        <w:tc>
          <w:tcPr>
            <w:tcW w:w="510" w:type="dxa"/>
            <w:vAlign w:val="center"/>
          </w:tcPr>
          <w:p w14:paraId="4092B66E">
            <w:pPr>
              <w:jc w:val="center"/>
              <w:rPr>
                <w:rFonts w:hint="default" w:eastAsiaTheme="minorEastAsia"/>
                <w:vertAlign w:val="baseline"/>
                <w:lang w:val="en-US" w:eastAsia="zh-CN"/>
              </w:rPr>
            </w:pPr>
            <w:r>
              <w:rPr>
                <w:rFonts w:hint="eastAsia"/>
                <w:vertAlign w:val="baseline"/>
                <w:lang w:val="en-US" w:eastAsia="zh-CN"/>
              </w:rPr>
              <w:t>5个</w:t>
            </w:r>
          </w:p>
        </w:tc>
        <w:tc>
          <w:tcPr>
            <w:tcW w:w="945" w:type="dxa"/>
            <w:vMerge w:val="continue"/>
            <w:vAlign w:val="center"/>
          </w:tcPr>
          <w:p w14:paraId="75CC5074">
            <w:pPr>
              <w:jc w:val="center"/>
              <w:rPr>
                <w:rFonts w:hint="eastAsia"/>
                <w:vertAlign w:val="baseline"/>
              </w:rPr>
            </w:pPr>
          </w:p>
        </w:tc>
      </w:tr>
      <w:tr w14:paraId="7C91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6923E0D2">
            <w:pPr>
              <w:jc w:val="center"/>
              <w:rPr>
                <w:rFonts w:hint="default"/>
                <w:vertAlign w:val="baseline"/>
                <w:lang w:val="en-US" w:eastAsia="zh-CN"/>
              </w:rPr>
            </w:pPr>
            <w:r>
              <w:rPr>
                <w:rFonts w:hint="eastAsia"/>
                <w:vertAlign w:val="baseline"/>
                <w:lang w:val="en-US" w:eastAsia="zh-CN"/>
              </w:rPr>
              <w:t>4</w:t>
            </w:r>
          </w:p>
        </w:tc>
        <w:tc>
          <w:tcPr>
            <w:tcW w:w="660" w:type="dxa"/>
            <w:vAlign w:val="center"/>
          </w:tcPr>
          <w:p w14:paraId="7AEBA5C5">
            <w:pPr>
              <w:jc w:val="center"/>
              <w:rPr>
                <w:rFonts w:hint="eastAsia"/>
                <w:vertAlign w:val="baseline"/>
              </w:rPr>
            </w:pPr>
            <w:r>
              <w:rPr>
                <w:rFonts w:hint="eastAsia"/>
                <w:vertAlign w:val="baseline"/>
              </w:rPr>
              <w:t>有源音箱</w:t>
            </w:r>
          </w:p>
        </w:tc>
        <w:tc>
          <w:tcPr>
            <w:tcW w:w="735" w:type="dxa"/>
            <w:vAlign w:val="center"/>
          </w:tcPr>
          <w:p w14:paraId="1AB9A47F">
            <w:pPr>
              <w:jc w:val="center"/>
              <w:rPr>
                <w:rFonts w:hint="eastAsia"/>
                <w:vertAlign w:val="baseline"/>
              </w:rPr>
            </w:pPr>
            <w:r>
              <w:rPr>
                <w:rFonts w:hint="eastAsia"/>
                <w:vertAlign w:val="baseline"/>
              </w:rPr>
              <w:t>希沃SS33B</w:t>
            </w:r>
          </w:p>
        </w:tc>
        <w:tc>
          <w:tcPr>
            <w:tcW w:w="11942" w:type="dxa"/>
            <w:vAlign w:val="center"/>
          </w:tcPr>
          <w:p w14:paraId="073531B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1.采用功放与有源音箱一体化设计，内置麦克风无线接收模块，帮助教师实现多媒体扩音以及本地扩声功能。</w:t>
            </w:r>
          </w:p>
          <w:p w14:paraId="5B8E4D8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2.输出额定功率：2x15W。</w:t>
            </w:r>
          </w:p>
          <w:p w14:paraId="33F9473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3.音箱灵敏度：85dB，1W/1M。</w:t>
            </w:r>
          </w:p>
          <w:p w14:paraId="07D5AC7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4.信噪比：80dB。</w:t>
            </w:r>
          </w:p>
          <w:p w14:paraId="0E01AC7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5.全频喇叭单元尺寸：5英寸。</w:t>
            </w:r>
          </w:p>
          <w:p w14:paraId="04FD1C0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6.声频响110Hz-16kHz。</w:t>
            </w:r>
          </w:p>
          <w:p w14:paraId="14A05CB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7.距离音箱10米处声压级：75dB。</w:t>
            </w:r>
          </w:p>
          <w:p w14:paraId="053F5F3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8.具备≥1路电源开关、1路LINE IN、1路USB 接口。USB接口可外接U盘设备对音箱固件进行升级。</w:t>
            </w:r>
          </w:p>
          <w:p w14:paraId="3634E43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9支持无线麦克风扩音接收，采用Wi-Fi射频2.4GHz与 5GHz双频段传输，有效避免环境中运营商U段（700MHz）的信号干扰。</w:t>
            </w:r>
          </w:p>
          <w:p w14:paraId="75507F8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10.采用红外对码方式，避免连接到其他教室音箱。可快速完成与教学扩声麦克风对码，无需繁琐操作。</w:t>
            </w:r>
          </w:p>
          <w:p w14:paraId="2752CA2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11.配置独立音频数字信号处理芯片，支持啸叫抑制功能。</w:t>
            </w:r>
          </w:p>
          <w:p w14:paraId="27620ED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12.支持蓝牙无线接收，可分享移动设备上的音频。支持密码模式，防止学生连接。</w:t>
            </w:r>
          </w:p>
        </w:tc>
        <w:tc>
          <w:tcPr>
            <w:tcW w:w="510" w:type="dxa"/>
            <w:vAlign w:val="center"/>
          </w:tcPr>
          <w:p w14:paraId="0AF857D2">
            <w:pPr>
              <w:jc w:val="center"/>
              <w:rPr>
                <w:rFonts w:hint="default" w:eastAsiaTheme="minorEastAsia"/>
                <w:vertAlign w:val="baseline"/>
                <w:lang w:val="en-US" w:eastAsia="zh-CN"/>
              </w:rPr>
            </w:pPr>
            <w:r>
              <w:rPr>
                <w:rFonts w:hint="eastAsia"/>
                <w:vertAlign w:val="baseline"/>
                <w:lang w:val="en-US" w:eastAsia="zh-CN"/>
              </w:rPr>
              <w:t>5对</w:t>
            </w:r>
          </w:p>
        </w:tc>
        <w:tc>
          <w:tcPr>
            <w:tcW w:w="945" w:type="dxa"/>
            <w:vMerge w:val="continue"/>
            <w:vAlign w:val="center"/>
          </w:tcPr>
          <w:p w14:paraId="2F344958">
            <w:pPr>
              <w:jc w:val="center"/>
              <w:rPr>
                <w:rFonts w:hint="eastAsia"/>
                <w:vertAlign w:val="baseline"/>
              </w:rPr>
            </w:pPr>
          </w:p>
        </w:tc>
      </w:tr>
      <w:tr w14:paraId="0D87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5782ADE0">
            <w:pPr>
              <w:jc w:val="center"/>
              <w:rPr>
                <w:rFonts w:hint="default"/>
                <w:vertAlign w:val="baseline"/>
                <w:lang w:val="en-US" w:eastAsia="zh-CN"/>
              </w:rPr>
            </w:pPr>
            <w:r>
              <w:rPr>
                <w:rFonts w:hint="eastAsia"/>
                <w:vertAlign w:val="baseline"/>
                <w:lang w:val="en-US" w:eastAsia="zh-CN"/>
              </w:rPr>
              <w:t>5</w:t>
            </w:r>
          </w:p>
        </w:tc>
        <w:tc>
          <w:tcPr>
            <w:tcW w:w="660" w:type="dxa"/>
            <w:vAlign w:val="center"/>
          </w:tcPr>
          <w:p w14:paraId="11A3E4EA">
            <w:pPr>
              <w:jc w:val="center"/>
              <w:rPr>
                <w:rFonts w:hint="eastAsia"/>
                <w:vertAlign w:val="baseline"/>
              </w:rPr>
            </w:pPr>
            <w:r>
              <w:rPr>
                <w:rFonts w:hint="eastAsia"/>
                <w:vertAlign w:val="baseline"/>
              </w:rPr>
              <w:t>无线麦克风</w:t>
            </w:r>
          </w:p>
        </w:tc>
        <w:tc>
          <w:tcPr>
            <w:tcW w:w="735" w:type="dxa"/>
            <w:vAlign w:val="center"/>
          </w:tcPr>
          <w:p w14:paraId="03E5527A">
            <w:pPr>
              <w:jc w:val="center"/>
              <w:rPr>
                <w:rFonts w:hint="eastAsia"/>
                <w:vertAlign w:val="baseline"/>
              </w:rPr>
            </w:pPr>
            <w:r>
              <w:rPr>
                <w:rFonts w:hint="eastAsia"/>
                <w:vertAlign w:val="baseline"/>
              </w:rPr>
              <w:t>希沃MC33</w:t>
            </w:r>
          </w:p>
        </w:tc>
        <w:tc>
          <w:tcPr>
            <w:tcW w:w="11942" w:type="dxa"/>
            <w:vAlign w:val="center"/>
          </w:tcPr>
          <w:p w14:paraId="7C1B6F3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1.采样率≥48KHz，16bit；</w:t>
            </w:r>
          </w:p>
          <w:p w14:paraId="62D00490">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2</w:t>
            </w:r>
            <w:r>
              <w:rPr>
                <w:rFonts w:hint="eastAsia"/>
                <w:vertAlign w:val="baseline"/>
              </w:rPr>
              <w:t>.扩音增益≥15dB；</w:t>
            </w:r>
          </w:p>
          <w:p w14:paraId="2FED870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3</w:t>
            </w:r>
            <w:r>
              <w:rPr>
                <w:rFonts w:hint="eastAsia"/>
                <w:vertAlign w:val="baseline"/>
              </w:rPr>
              <w:t>.声频响150Hz-16kHz，底噪≤200uVrms，声信噪比≥60dB；</w:t>
            </w:r>
          </w:p>
          <w:p w14:paraId="5880837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4</w:t>
            </w:r>
            <w:r>
              <w:rPr>
                <w:rFonts w:hint="eastAsia"/>
                <w:vertAlign w:val="baseline"/>
              </w:rPr>
              <w:t>.配合一体化有源音箱，扩音延时≤35ms；</w:t>
            </w:r>
          </w:p>
          <w:p w14:paraId="078C855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5</w:t>
            </w:r>
            <w:r>
              <w:rPr>
                <w:rFonts w:hint="eastAsia"/>
                <w:vertAlign w:val="baseline"/>
              </w:rPr>
              <w:t>.用Wi-Fi射频频段传输，有效避免环境中运营商U段（700MHz）信号干扰；</w:t>
            </w:r>
          </w:p>
          <w:p w14:paraId="71D223B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6</w:t>
            </w:r>
            <w:r>
              <w:rPr>
                <w:rFonts w:hint="eastAsia"/>
                <w:vertAlign w:val="baseline"/>
              </w:rPr>
              <w:t>.支持2.4GHz与5GHz双频段工作，信道数量≥26个；</w:t>
            </w:r>
          </w:p>
          <w:p w14:paraId="6F093EFF">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7</w:t>
            </w:r>
            <w:r>
              <w:rPr>
                <w:rFonts w:hint="eastAsia"/>
                <w:vertAlign w:val="baseline"/>
              </w:rPr>
              <w:t>.电续航时间≥7小时；</w:t>
            </w:r>
          </w:p>
          <w:p w14:paraId="781F34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8</w:t>
            </w:r>
            <w:r>
              <w:rPr>
                <w:rFonts w:hint="eastAsia"/>
                <w:vertAlign w:val="baseline"/>
              </w:rPr>
              <w:t>.采用红外对码方式连接，避免连接到其他教室音箱。可在5S内快速完成与教学扩声音箱对码，无需繁琐操作；</w:t>
            </w:r>
          </w:p>
          <w:p w14:paraId="5ECD652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lang w:val="en-US" w:eastAsia="zh-CN"/>
              </w:rPr>
              <w:t>9</w:t>
            </w:r>
            <w:r>
              <w:rPr>
                <w:rFonts w:hint="eastAsia"/>
                <w:vertAlign w:val="baseline"/>
              </w:rPr>
              <w:t>.支持两个无线麦克风同时配对一套一体化有源音箱使用，实现两个麦克风混音输出进行扩音；</w:t>
            </w:r>
          </w:p>
          <w:p w14:paraId="1A70806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w:t>
            </w:r>
            <w:r>
              <w:rPr>
                <w:rFonts w:hint="eastAsia"/>
                <w:vertAlign w:val="baseline"/>
                <w:lang w:val="en-US" w:eastAsia="zh-CN"/>
              </w:rPr>
              <w:t>0</w:t>
            </w:r>
            <w:r>
              <w:rPr>
                <w:rFonts w:hint="eastAsia"/>
                <w:vertAlign w:val="baseline"/>
              </w:rPr>
              <w:t>.具备3.5mm外置麦克风接口；</w:t>
            </w:r>
          </w:p>
          <w:p w14:paraId="545CFEE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w:t>
            </w:r>
            <w:r>
              <w:rPr>
                <w:rFonts w:hint="eastAsia"/>
                <w:vertAlign w:val="baseline"/>
                <w:lang w:val="en-US" w:eastAsia="zh-CN"/>
              </w:rPr>
              <w:t>1</w:t>
            </w:r>
            <w:r>
              <w:rPr>
                <w:rFonts w:hint="eastAsia"/>
                <w:vertAlign w:val="baseline"/>
              </w:rPr>
              <w:t>.外壳防火等级≥V1；</w:t>
            </w:r>
          </w:p>
          <w:p w14:paraId="67C2B04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w:t>
            </w:r>
            <w:r>
              <w:rPr>
                <w:rFonts w:hint="eastAsia"/>
                <w:vertAlign w:val="baseline"/>
                <w:lang w:val="en-US" w:eastAsia="zh-CN"/>
              </w:rPr>
              <w:t>2</w:t>
            </w:r>
            <w:r>
              <w:rPr>
                <w:rFonts w:hint="eastAsia"/>
                <w:vertAlign w:val="baseline"/>
              </w:rPr>
              <w:t>.为保证兼容性及稳定性，无线麦克风需与有源音箱为同一品牌厂家。</w:t>
            </w:r>
          </w:p>
        </w:tc>
        <w:tc>
          <w:tcPr>
            <w:tcW w:w="510" w:type="dxa"/>
            <w:vAlign w:val="center"/>
          </w:tcPr>
          <w:p w14:paraId="192FE979">
            <w:pPr>
              <w:jc w:val="center"/>
              <w:rPr>
                <w:rFonts w:hint="default" w:eastAsiaTheme="minorEastAsia"/>
                <w:vertAlign w:val="baseline"/>
                <w:lang w:val="en-US" w:eastAsia="zh-CN"/>
              </w:rPr>
            </w:pPr>
            <w:r>
              <w:rPr>
                <w:rFonts w:hint="eastAsia"/>
                <w:vertAlign w:val="baseline"/>
                <w:lang w:val="en-US" w:eastAsia="zh-CN"/>
              </w:rPr>
              <w:t>5个</w:t>
            </w:r>
          </w:p>
        </w:tc>
        <w:tc>
          <w:tcPr>
            <w:tcW w:w="945" w:type="dxa"/>
            <w:vMerge w:val="continue"/>
            <w:vAlign w:val="center"/>
          </w:tcPr>
          <w:p w14:paraId="347293C8">
            <w:pPr>
              <w:jc w:val="center"/>
              <w:rPr>
                <w:rFonts w:hint="eastAsia"/>
                <w:vertAlign w:val="baseline"/>
              </w:rPr>
            </w:pPr>
          </w:p>
        </w:tc>
      </w:tr>
      <w:tr w14:paraId="64F7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70CE7324">
            <w:pPr>
              <w:jc w:val="center"/>
              <w:rPr>
                <w:rFonts w:hint="default"/>
                <w:vertAlign w:val="baseline"/>
                <w:lang w:val="en-US" w:eastAsia="zh-CN"/>
              </w:rPr>
            </w:pPr>
            <w:r>
              <w:rPr>
                <w:rFonts w:hint="eastAsia"/>
                <w:vertAlign w:val="baseline"/>
                <w:lang w:val="en-US" w:eastAsia="zh-CN"/>
              </w:rPr>
              <w:t>6</w:t>
            </w:r>
          </w:p>
        </w:tc>
        <w:tc>
          <w:tcPr>
            <w:tcW w:w="660" w:type="dxa"/>
            <w:vAlign w:val="center"/>
          </w:tcPr>
          <w:p w14:paraId="3DCAA0B6">
            <w:pPr>
              <w:jc w:val="center"/>
              <w:rPr>
                <w:rFonts w:hint="eastAsia"/>
                <w:vertAlign w:val="baseline"/>
              </w:rPr>
            </w:pPr>
            <w:r>
              <w:rPr>
                <w:rFonts w:hint="eastAsia"/>
                <w:vertAlign w:val="baseline"/>
              </w:rPr>
              <w:t>智能笔</w:t>
            </w:r>
          </w:p>
        </w:tc>
        <w:tc>
          <w:tcPr>
            <w:tcW w:w="735" w:type="dxa"/>
            <w:vAlign w:val="center"/>
          </w:tcPr>
          <w:p w14:paraId="3B791EFF">
            <w:pPr>
              <w:jc w:val="center"/>
              <w:rPr>
                <w:rFonts w:hint="eastAsia"/>
                <w:vertAlign w:val="baseline"/>
              </w:rPr>
            </w:pPr>
            <w:r>
              <w:rPr>
                <w:rFonts w:hint="eastAsia"/>
                <w:vertAlign w:val="baseline"/>
              </w:rPr>
              <w:t>希沃SP30</w:t>
            </w:r>
          </w:p>
        </w:tc>
        <w:tc>
          <w:tcPr>
            <w:tcW w:w="11942" w:type="dxa"/>
            <w:vAlign w:val="center"/>
          </w:tcPr>
          <w:p w14:paraId="19567B7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笔头直径8mm，还原真实书写，支持无线翻页，RF 2.4GHz遥控技术，USB接收器设计，单节7号电池供电。</w:t>
            </w:r>
          </w:p>
        </w:tc>
        <w:tc>
          <w:tcPr>
            <w:tcW w:w="510" w:type="dxa"/>
            <w:vAlign w:val="center"/>
          </w:tcPr>
          <w:p w14:paraId="6C519451">
            <w:pPr>
              <w:jc w:val="center"/>
              <w:rPr>
                <w:rFonts w:hint="default" w:eastAsiaTheme="minorEastAsia"/>
                <w:vertAlign w:val="baseline"/>
                <w:lang w:val="en-US" w:eastAsia="zh-CN"/>
              </w:rPr>
            </w:pPr>
            <w:r>
              <w:rPr>
                <w:rFonts w:hint="eastAsia"/>
                <w:vertAlign w:val="baseline"/>
                <w:lang w:val="en-US" w:eastAsia="zh-CN"/>
              </w:rPr>
              <w:t>5支</w:t>
            </w:r>
          </w:p>
        </w:tc>
        <w:tc>
          <w:tcPr>
            <w:tcW w:w="945" w:type="dxa"/>
            <w:vMerge w:val="continue"/>
            <w:vAlign w:val="center"/>
          </w:tcPr>
          <w:p w14:paraId="456F7A99">
            <w:pPr>
              <w:jc w:val="center"/>
              <w:rPr>
                <w:rFonts w:hint="eastAsia"/>
                <w:vertAlign w:val="baseline"/>
              </w:rPr>
            </w:pPr>
          </w:p>
        </w:tc>
      </w:tr>
      <w:tr w14:paraId="41FD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18EE783F">
            <w:pPr>
              <w:jc w:val="center"/>
              <w:rPr>
                <w:rFonts w:hint="default"/>
                <w:vertAlign w:val="baseline"/>
                <w:lang w:val="en-US" w:eastAsia="zh-CN"/>
              </w:rPr>
            </w:pPr>
            <w:r>
              <w:rPr>
                <w:rFonts w:hint="eastAsia"/>
                <w:vertAlign w:val="baseline"/>
                <w:lang w:val="en-US" w:eastAsia="zh-CN"/>
              </w:rPr>
              <w:t>7</w:t>
            </w:r>
          </w:p>
        </w:tc>
        <w:tc>
          <w:tcPr>
            <w:tcW w:w="660" w:type="dxa"/>
            <w:shd w:val="clear" w:color="auto" w:fill="auto"/>
            <w:vAlign w:val="center"/>
          </w:tcPr>
          <w:p w14:paraId="3906AD97">
            <w:pPr>
              <w:jc w:val="center"/>
              <w:rPr>
                <w:rFonts w:hint="eastAsia" w:asciiTheme="minorHAnsi" w:hAnsiTheme="minorHAnsi" w:eastAsiaTheme="minorEastAsia" w:cstheme="minorBidi"/>
                <w:kern w:val="2"/>
                <w:sz w:val="21"/>
                <w:szCs w:val="24"/>
                <w:vertAlign w:val="baseline"/>
                <w:lang w:val="en-US" w:eastAsia="zh-CN" w:bidi="ar-SA"/>
              </w:rPr>
            </w:pPr>
            <w:r>
              <w:rPr>
                <w:rFonts w:hint="eastAsia"/>
                <w:vertAlign w:val="baseline"/>
              </w:rPr>
              <w:t>推拉黑板</w:t>
            </w:r>
          </w:p>
        </w:tc>
        <w:tc>
          <w:tcPr>
            <w:tcW w:w="735" w:type="dxa"/>
            <w:shd w:val="clear" w:color="auto" w:fill="auto"/>
            <w:vAlign w:val="center"/>
          </w:tcPr>
          <w:p w14:paraId="2C7ACAF1">
            <w:pPr>
              <w:jc w:val="center"/>
              <w:rPr>
                <w:rFonts w:hint="eastAsia" w:asciiTheme="minorHAnsi" w:hAnsiTheme="minorHAnsi" w:eastAsiaTheme="minorEastAsia" w:cstheme="minorBidi"/>
                <w:kern w:val="2"/>
                <w:sz w:val="21"/>
                <w:szCs w:val="24"/>
                <w:vertAlign w:val="baseline"/>
                <w:lang w:val="en-US" w:eastAsia="zh-CN" w:bidi="ar-SA"/>
              </w:rPr>
            </w:pPr>
            <w:r>
              <w:rPr>
                <w:rFonts w:hint="eastAsia"/>
                <w:vertAlign w:val="baseline"/>
              </w:rPr>
              <w:t>蓝贝思特ZY100-29</w:t>
            </w:r>
          </w:p>
        </w:tc>
        <w:tc>
          <w:tcPr>
            <w:tcW w:w="11942" w:type="dxa"/>
            <w:shd w:val="clear" w:color="auto" w:fill="auto"/>
            <w:vAlign w:val="center"/>
          </w:tcPr>
          <w:p w14:paraId="5110653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w:t>
            </w:r>
            <w:r>
              <w:rPr>
                <w:rFonts w:hint="eastAsia"/>
                <w:vertAlign w:val="baseline"/>
                <w:lang w:eastAsia="zh-CN"/>
              </w:rPr>
              <w:t>.</w:t>
            </w:r>
            <w:r>
              <w:rPr>
                <w:rFonts w:hint="eastAsia"/>
                <w:vertAlign w:val="baseline"/>
              </w:rPr>
              <w:t>结构：推拉板由四块书写板及铝合金边框组装而成，书写板分内外双层结构，内层为两块固定书写板与电子白板正面平齐，外层为两块滑动书写板，滑动板配装刻有黑板品牌LOGO标识的挂锁，开闭自如确保电子白板的安全管理。</w:t>
            </w:r>
          </w:p>
          <w:p w14:paraId="5989C99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2</w:t>
            </w:r>
            <w:r>
              <w:rPr>
                <w:rFonts w:hint="eastAsia"/>
                <w:vertAlign w:val="baseline"/>
                <w:lang w:eastAsia="zh-CN"/>
              </w:rPr>
              <w:t>.</w:t>
            </w:r>
            <w:r>
              <w:rPr>
                <w:rFonts w:hint="eastAsia"/>
                <w:vertAlign w:val="baseline"/>
              </w:rPr>
              <w:t>基本尺寸：≥4300mm×1305mm，可根据所配电子产品适当调整，确保与电子产品的有效配套。</w:t>
            </w:r>
          </w:p>
          <w:p w14:paraId="55969D90">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3</w:t>
            </w:r>
            <w:r>
              <w:rPr>
                <w:rFonts w:hint="eastAsia"/>
                <w:vertAlign w:val="baseline"/>
                <w:lang w:eastAsia="zh-CN"/>
              </w:rPr>
              <w:t>.</w:t>
            </w:r>
            <w:r>
              <w:rPr>
                <w:rFonts w:hint="eastAsia"/>
                <w:vertAlign w:val="baseline"/>
              </w:rPr>
              <w:t>书写板面：环保教学专用彩色涂层钢板，浅米黄色，厚度≥0.3mm，硬度≥4H，板面可吸附磁针、磁片，书写面光滑、平整，颜色均匀，坚固耐用、哑光，投影可视效果佳，有效地保护了师生的视力健康。</w:t>
            </w:r>
          </w:p>
          <w:p w14:paraId="61F5D30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4</w:t>
            </w:r>
            <w:r>
              <w:rPr>
                <w:rFonts w:hint="eastAsia"/>
                <w:vertAlign w:val="baseline"/>
                <w:lang w:eastAsia="zh-CN"/>
              </w:rPr>
              <w:t>.</w:t>
            </w:r>
            <w:r>
              <w:rPr>
                <w:rFonts w:hint="eastAsia"/>
                <w:vertAlign w:val="baseline"/>
              </w:rPr>
              <w:t>内芯材料：高强度、吸音、聚苯乙烯泡沫板，采用国际适用工艺，书写无吱咔声，改善书写手感。</w:t>
            </w:r>
          </w:p>
          <w:p w14:paraId="15CE80F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5</w:t>
            </w:r>
            <w:r>
              <w:rPr>
                <w:rFonts w:hint="eastAsia"/>
                <w:vertAlign w:val="baseline"/>
                <w:lang w:eastAsia="zh-CN"/>
              </w:rPr>
              <w:t>.</w:t>
            </w:r>
            <w:r>
              <w:rPr>
                <w:rFonts w:hint="eastAsia"/>
                <w:vertAlign w:val="baseline"/>
              </w:rPr>
              <w:t>背板：采用优质防锈热镀锌钢板，厚度≥0.25mm，流水线一次成型，间隔80mm压有20mm凹槽加强筋,确保均布承压不低于635N，凹槽造型美观、增加强度，更加耐用。</w:t>
            </w:r>
          </w:p>
          <w:p w14:paraId="5164FE4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6</w:t>
            </w:r>
            <w:r>
              <w:rPr>
                <w:rFonts w:hint="eastAsia"/>
                <w:vertAlign w:val="baseline"/>
                <w:lang w:eastAsia="zh-CN"/>
              </w:rPr>
              <w:t>.</w:t>
            </w:r>
            <w:r>
              <w:rPr>
                <w:rFonts w:hint="eastAsia"/>
                <w:vertAlign w:val="baseline"/>
              </w:rPr>
              <w:t>覆板：采用环保型双组份聚氨酯胶水，自动化流水线覆板作业，牵引、滴胶、刷胶、压固、切割下料一次完成，确保粘接牢固板面平整，甲醛释放量≤0.3mg/L，符合GB/T 28231-2011《书写板安全卫生要求》。</w:t>
            </w:r>
          </w:p>
          <w:p w14:paraId="1191BC5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7</w:t>
            </w:r>
            <w:r>
              <w:rPr>
                <w:rFonts w:hint="eastAsia"/>
                <w:vertAlign w:val="baseline"/>
                <w:lang w:eastAsia="zh-CN"/>
              </w:rPr>
              <w:t>.</w:t>
            </w:r>
            <w:r>
              <w:rPr>
                <w:rFonts w:hint="eastAsia"/>
                <w:vertAlign w:val="baseline"/>
              </w:rPr>
              <w:t>边框：采用工业用高强度铝合金型材，电泳香槟色，模具挤压一次成型，上框规格57mm×100mm，左右框规格29mm×100mm。轨道上置隐藏式平滑轮滑道，结构性解决滑轮受灰尘影响的情况，配有宽度≥30mm的板托，板托与滑动系统分离，与边框一次模具成形，可放置书写笔，方便实用。</w:t>
            </w:r>
          </w:p>
          <w:p w14:paraId="14079B4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8</w:t>
            </w:r>
            <w:r>
              <w:rPr>
                <w:rFonts w:hint="eastAsia"/>
                <w:vertAlign w:val="baseline"/>
                <w:lang w:eastAsia="zh-CN"/>
              </w:rPr>
              <w:t>.</w:t>
            </w:r>
            <w:r>
              <w:rPr>
                <w:rFonts w:hint="eastAsia"/>
                <w:vertAlign w:val="baseline"/>
              </w:rPr>
              <w:t>包角材料：采用抗老化高强度ABS工程塑料注塑成型。规格：100mm×29mm×29mm，采用双壁成腔流线型设计，≥R25mm的圆角，正面带黑板品牌LOGO标识，无尖角毛刺，符合JY0001-2003《教学仪器设备产品一般质量要求》。</w:t>
            </w:r>
          </w:p>
          <w:p w14:paraId="776F69F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9</w:t>
            </w:r>
            <w:r>
              <w:rPr>
                <w:rFonts w:hint="eastAsia"/>
                <w:vertAlign w:val="baseline"/>
                <w:lang w:eastAsia="zh-CN"/>
              </w:rPr>
              <w:t>.</w:t>
            </w:r>
            <w:r>
              <w:rPr>
                <w:rFonts w:hint="eastAsia"/>
                <w:vertAlign w:val="baseline"/>
              </w:rPr>
              <w:t>黑板滑轮：上轨采用减震消音双组吊轮，滑轮使用高精度轴承，下轨采用双组滑块，保证滑动流畅、噪音小、前后定位精确不晃动、滑动板前后晃动小于0.5mm，经久耐用。数目各4组，上下均匀安装，推拉顺畅自如，无卡挤现象和尖锐的摩擦声，稳定性好。</w:t>
            </w:r>
          </w:p>
          <w:p w14:paraId="4056563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10</w:t>
            </w:r>
            <w:r>
              <w:rPr>
                <w:rFonts w:hint="eastAsia"/>
                <w:vertAlign w:val="baseline"/>
                <w:lang w:eastAsia="zh-CN"/>
              </w:rPr>
              <w:t>.</w:t>
            </w:r>
            <w:r>
              <w:rPr>
                <w:rFonts w:hint="eastAsia"/>
                <w:vertAlign w:val="baseline"/>
              </w:rPr>
              <w:t>限位档：黑板边框内部两侧安装滑动板限位档，防止活动黑板开启时撞击立框。</w:t>
            </w:r>
          </w:p>
          <w:p w14:paraId="0D5B918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11</w:t>
            </w:r>
            <w:r>
              <w:rPr>
                <w:rFonts w:hint="eastAsia"/>
                <w:vertAlign w:val="baseline"/>
                <w:lang w:eastAsia="zh-CN"/>
              </w:rPr>
              <w:t>.</w:t>
            </w:r>
            <w:r>
              <w:rPr>
                <w:rFonts w:hint="eastAsia"/>
                <w:vertAlign w:val="baseline"/>
              </w:rPr>
              <w:t>安全性：一把锁实现对滑动黑板的锁定，钥匙通用，方便实用。</w:t>
            </w:r>
          </w:p>
          <w:p w14:paraId="397A7F5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12</w:t>
            </w:r>
            <w:r>
              <w:rPr>
                <w:rFonts w:hint="eastAsia"/>
                <w:vertAlign w:val="baseline"/>
                <w:lang w:eastAsia="zh-CN"/>
              </w:rPr>
              <w:t>.</w:t>
            </w:r>
            <w:r>
              <w:rPr>
                <w:rFonts w:hint="eastAsia"/>
                <w:vertAlign w:val="baseline"/>
              </w:rPr>
              <w:t>安装：配装自制钢制安装件，规格95*50*60mm，隐形安装、没有外露的挂接件，符合GB 21027-2007《学生用品的安全通用要求》。</w:t>
            </w:r>
          </w:p>
          <w:p w14:paraId="7F31C8A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heme="minorHAnsi" w:hAnsiTheme="minorHAnsi" w:eastAsiaTheme="minorEastAsia" w:cstheme="minorBidi"/>
                <w:kern w:val="2"/>
                <w:sz w:val="21"/>
                <w:szCs w:val="24"/>
                <w:vertAlign w:val="baseline"/>
                <w:lang w:val="en-US" w:eastAsia="zh-CN" w:bidi="ar-SA"/>
              </w:rPr>
            </w:pPr>
            <w:r>
              <w:rPr>
                <w:rFonts w:hint="eastAsia"/>
                <w:vertAlign w:val="baseline"/>
              </w:rPr>
              <w:t>13</w:t>
            </w:r>
            <w:r>
              <w:rPr>
                <w:rFonts w:hint="eastAsia"/>
                <w:vertAlign w:val="baseline"/>
                <w:lang w:eastAsia="zh-CN"/>
              </w:rPr>
              <w:t>.</w:t>
            </w:r>
            <w:r>
              <w:rPr>
                <w:rFonts w:hint="eastAsia"/>
                <w:vertAlign w:val="baseline"/>
              </w:rPr>
              <w:t>包装：采用环保型材料，符合国家产品包装要求，单套或双套纸箱独立包装，箱体印有制造商名称、LOGO标识、地址、服务热线等信息。</w:t>
            </w:r>
          </w:p>
        </w:tc>
        <w:tc>
          <w:tcPr>
            <w:tcW w:w="510" w:type="dxa"/>
            <w:shd w:val="clear" w:color="auto" w:fill="auto"/>
            <w:vAlign w:val="center"/>
          </w:tcPr>
          <w:p w14:paraId="5EA9D98F">
            <w:pPr>
              <w:jc w:val="center"/>
              <w:rPr>
                <w:rFonts w:hint="eastAsia"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4套</w:t>
            </w:r>
          </w:p>
        </w:tc>
        <w:tc>
          <w:tcPr>
            <w:tcW w:w="945" w:type="dxa"/>
            <w:vMerge w:val="continue"/>
            <w:vAlign w:val="center"/>
          </w:tcPr>
          <w:p w14:paraId="2ED60113">
            <w:pPr>
              <w:jc w:val="center"/>
              <w:rPr>
                <w:rFonts w:hint="eastAsia"/>
                <w:vertAlign w:val="baseline"/>
              </w:rPr>
            </w:pPr>
          </w:p>
        </w:tc>
      </w:tr>
      <w:tr w14:paraId="54A8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7B67D98C">
            <w:pPr>
              <w:jc w:val="center"/>
              <w:rPr>
                <w:rFonts w:hint="default"/>
                <w:vertAlign w:val="baseline"/>
                <w:lang w:val="en-US" w:eastAsia="zh-CN"/>
              </w:rPr>
            </w:pPr>
            <w:r>
              <w:rPr>
                <w:rFonts w:hint="eastAsia"/>
                <w:vertAlign w:val="baseline"/>
                <w:lang w:val="en-US" w:eastAsia="zh-CN"/>
              </w:rPr>
              <w:t>8</w:t>
            </w:r>
          </w:p>
        </w:tc>
        <w:tc>
          <w:tcPr>
            <w:tcW w:w="660" w:type="dxa"/>
            <w:vAlign w:val="center"/>
          </w:tcPr>
          <w:p w14:paraId="3F7EBBBA">
            <w:pPr>
              <w:jc w:val="center"/>
              <w:rPr>
                <w:rFonts w:hint="eastAsia"/>
                <w:vertAlign w:val="baseline"/>
              </w:rPr>
            </w:pPr>
            <w:r>
              <w:rPr>
                <w:rFonts w:hint="eastAsia"/>
                <w:vertAlign w:val="baseline"/>
              </w:rPr>
              <w:t>移动支架</w:t>
            </w:r>
          </w:p>
        </w:tc>
        <w:tc>
          <w:tcPr>
            <w:tcW w:w="735" w:type="dxa"/>
            <w:vAlign w:val="center"/>
          </w:tcPr>
          <w:p w14:paraId="1E246B20">
            <w:pPr>
              <w:jc w:val="center"/>
              <w:rPr>
                <w:rFonts w:hint="eastAsia"/>
                <w:vertAlign w:val="baseline"/>
              </w:rPr>
            </w:pPr>
            <w:r>
              <w:rPr>
                <w:rFonts w:hint="eastAsia"/>
                <w:vertAlign w:val="baseline"/>
              </w:rPr>
              <w:t>86寸移动支架</w:t>
            </w:r>
          </w:p>
        </w:tc>
        <w:tc>
          <w:tcPr>
            <w:tcW w:w="11942" w:type="dxa"/>
            <w:vAlign w:val="center"/>
          </w:tcPr>
          <w:p w14:paraId="770DBE0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eastAsiaTheme="minorEastAsia"/>
                <w:vertAlign w:val="baseline"/>
                <w:lang w:eastAsia="zh-CN"/>
              </w:rPr>
            </w:pPr>
            <w:r>
              <w:rPr>
                <w:rFonts w:hint="eastAsia"/>
                <w:vertAlign w:val="baseline"/>
              </w:rPr>
              <w:t>1</w:t>
            </w:r>
            <w:r>
              <w:rPr>
                <w:rFonts w:hint="eastAsia"/>
                <w:vertAlign w:val="baseline"/>
                <w:lang w:eastAsia="zh-CN"/>
              </w:rPr>
              <w:t>.</w:t>
            </w:r>
            <w:r>
              <w:rPr>
                <w:rFonts w:hint="eastAsia"/>
                <w:vertAlign w:val="baseline"/>
              </w:rPr>
              <w:t>采用高品质冷轧钢制作而成，承重120kg以上</w:t>
            </w:r>
            <w:r>
              <w:rPr>
                <w:rFonts w:hint="eastAsia"/>
                <w:vertAlign w:val="baseline"/>
                <w:lang w:eastAsia="zh-CN"/>
              </w:rPr>
              <w:t>。</w:t>
            </w:r>
          </w:p>
          <w:p w14:paraId="6CC26BD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eastAsiaTheme="minorEastAsia"/>
                <w:vertAlign w:val="baseline"/>
                <w:lang w:eastAsia="zh-CN"/>
              </w:rPr>
            </w:pPr>
            <w:r>
              <w:rPr>
                <w:rFonts w:hint="eastAsia"/>
                <w:vertAlign w:val="baseline"/>
              </w:rPr>
              <w:t>2</w:t>
            </w:r>
            <w:r>
              <w:rPr>
                <w:rFonts w:hint="eastAsia"/>
                <w:vertAlign w:val="baseline"/>
                <w:lang w:eastAsia="zh-CN"/>
              </w:rPr>
              <w:t>.</w:t>
            </w:r>
            <w:r>
              <w:rPr>
                <w:rFonts w:hint="eastAsia"/>
                <w:vertAlign w:val="baseline"/>
              </w:rPr>
              <w:t>一体机底座，安装位置可上下调节</w:t>
            </w:r>
            <w:r>
              <w:rPr>
                <w:rFonts w:hint="eastAsia"/>
                <w:vertAlign w:val="baseline"/>
                <w:lang w:eastAsia="zh-CN"/>
              </w:rPr>
              <w:t>。</w:t>
            </w:r>
          </w:p>
          <w:p w14:paraId="20F0C67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vertAlign w:val="baseline"/>
              </w:rPr>
            </w:pPr>
            <w:r>
              <w:rPr>
                <w:rFonts w:hint="eastAsia"/>
                <w:vertAlign w:val="baseline"/>
              </w:rPr>
              <w:t>3</w:t>
            </w:r>
            <w:r>
              <w:rPr>
                <w:rFonts w:hint="eastAsia"/>
                <w:vertAlign w:val="baseline"/>
                <w:lang w:eastAsia="zh-CN"/>
              </w:rPr>
              <w:t>.</w:t>
            </w:r>
            <w:r>
              <w:rPr>
                <w:rFonts w:hint="eastAsia"/>
                <w:vertAlign w:val="baseline"/>
              </w:rPr>
              <w:t>360度全向轮，可随时推动和静止。</w:t>
            </w:r>
          </w:p>
        </w:tc>
        <w:tc>
          <w:tcPr>
            <w:tcW w:w="510" w:type="dxa"/>
            <w:vAlign w:val="center"/>
          </w:tcPr>
          <w:p w14:paraId="6077B9AD">
            <w:pPr>
              <w:jc w:val="center"/>
              <w:rPr>
                <w:rFonts w:hint="default" w:eastAsiaTheme="minorEastAsia"/>
                <w:vertAlign w:val="baseline"/>
                <w:lang w:val="en-US" w:eastAsia="zh-CN"/>
              </w:rPr>
            </w:pPr>
            <w:r>
              <w:rPr>
                <w:rFonts w:hint="eastAsia"/>
                <w:vertAlign w:val="baseline"/>
                <w:lang w:val="en-US" w:eastAsia="zh-CN"/>
              </w:rPr>
              <w:t>1个</w:t>
            </w:r>
          </w:p>
        </w:tc>
        <w:tc>
          <w:tcPr>
            <w:tcW w:w="945" w:type="dxa"/>
            <w:vMerge w:val="continue"/>
            <w:vAlign w:val="center"/>
          </w:tcPr>
          <w:p w14:paraId="2A7AE00F">
            <w:pPr>
              <w:jc w:val="center"/>
              <w:rPr>
                <w:rFonts w:hint="eastAsia"/>
                <w:vertAlign w:val="baseline"/>
              </w:rPr>
            </w:pPr>
          </w:p>
        </w:tc>
      </w:tr>
    </w:tbl>
    <w:p w14:paraId="22CE412F">
      <w:pPr>
        <w:rPr>
          <w:rFonts w:hint="eastAsia"/>
        </w:rPr>
      </w:pPr>
    </w:p>
    <w:p w14:paraId="14873FE3">
      <w:pPr>
        <w:rPr>
          <w:rFonts w:hint="eastAsia"/>
        </w:rPr>
        <w:sectPr>
          <w:headerReference r:id="rId7" w:type="default"/>
          <w:footerReference r:id="rId9" w:type="default"/>
          <w:headerReference r:id="rId8" w:type="even"/>
          <w:pgSz w:w="16838" w:h="11906" w:orient="landscape"/>
          <w:pgMar w:top="1587" w:right="2098" w:bottom="1474" w:left="1531" w:header="851" w:footer="992" w:gutter="0"/>
          <w:pgNumType w:fmt="decimal"/>
          <w:cols w:space="425" w:num="1"/>
          <w:docGrid w:type="lines" w:linePitch="312" w:charSpace="0"/>
        </w:sectPr>
      </w:pPr>
    </w:p>
    <w:p w14:paraId="1B7CB4C6">
      <w:pPr>
        <w:pStyle w:val="3"/>
        <w:bidi w:val="0"/>
        <w:rPr>
          <w:rFonts w:hint="eastAsia"/>
        </w:rPr>
      </w:pPr>
      <w:bookmarkStart w:id="6" w:name="_Toc6496"/>
      <w:r>
        <w:rPr>
          <w:rFonts w:hint="eastAsia"/>
        </w:rPr>
        <w:t>第三章 商务要求</w:t>
      </w:r>
      <w:bookmarkEnd w:id="6"/>
    </w:p>
    <w:p w14:paraId="17C838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tbl>
      <w:tblPr>
        <w:tblStyle w:val="12"/>
        <w:tblW w:w="884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5"/>
        <w:gridCol w:w="6654"/>
      </w:tblGrid>
      <w:tr w14:paraId="7A495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blHeader/>
        </w:trPr>
        <w:tc>
          <w:tcPr>
            <w:tcW w:w="2195" w:type="dxa"/>
            <w:vAlign w:val="center"/>
          </w:tcPr>
          <w:p w14:paraId="17B5C4E1">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t>商务项目</w:t>
            </w:r>
          </w:p>
        </w:tc>
        <w:tc>
          <w:tcPr>
            <w:tcW w:w="6654" w:type="dxa"/>
            <w:vAlign w:val="center"/>
          </w:tcPr>
          <w:p w14:paraId="691DC888">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t>商务要求</w:t>
            </w:r>
          </w:p>
        </w:tc>
      </w:tr>
      <w:tr w14:paraId="62E43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195" w:type="dxa"/>
            <w:vAlign w:val="center"/>
          </w:tcPr>
          <w:p w14:paraId="25E6A851">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t>付款条件</w:t>
            </w:r>
          </w:p>
        </w:tc>
        <w:tc>
          <w:tcPr>
            <w:tcW w:w="6654" w:type="dxa"/>
            <w:vAlign w:val="center"/>
          </w:tcPr>
          <w:p w14:paraId="7ACCD041">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highlight w:val="no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t>本项目无预付款，货到安装验收合格，成交供应商提供等额发票和请款函，采购人审核无误15个工作日内支付。</w:t>
            </w:r>
          </w:p>
        </w:tc>
      </w:tr>
      <w:tr w14:paraId="4C545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195" w:type="dxa"/>
            <w:vAlign w:val="center"/>
          </w:tcPr>
          <w:p w14:paraId="14302770">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t>竞标报价要求</w:t>
            </w:r>
          </w:p>
        </w:tc>
        <w:tc>
          <w:tcPr>
            <w:tcW w:w="6654" w:type="dxa"/>
            <w:vAlign w:val="center"/>
          </w:tcPr>
          <w:p w14:paraId="2F9712A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t>1.竞标报价包括但不限于人工费、材料设备费、运输费、装卸费、保险费、安装调试费、检测验收费、培训费、税金、利润以及售后服务费等为完成本项目全部工作内容的所有费用。供应商在固定总价中必须考虑各种风险费用。在合同履行过程中，采购人不予支付合同以外的其他费用。供应商负责工人人身、设备安全责任，验收前，货品丢失自行负责。</w:t>
            </w:r>
          </w:p>
          <w:p w14:paraId="1A92ECCE">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pPr>
            <w:r>
              <w:rPr>
                <w:rFonts w:hint="eastAsia" w:ascii="Times New Roman" w:hAnsi="Times New Roman" w:eastAsia="仿宋_GB2312" w:cs="仿宋_GB2312"/>
                <w:color w:val="auto"/>
                <w:spacing w:val="0"/>
                <w:position w:val="0"/>
                <w:sz w:val="24"/>
                <w:szCs w:val="24"/>
                <w:highlight w:val="none"/>
                <w:lang w:val="en-US" w:eastAsia="zh-CN"/>
              </w:rPr>
              <w:t>2.本项目设备最终报价为包干报价，安装调试过程中，如产生布线、环境创设、拆除旧设备、垃圾清运等，费用均由中标供货商负责。</w:t>
            </w:r>
          </w:p>
          <w:p w14:paraId="533A2294">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Fill>
                  <w14:solidFill>
                    <w14:schemeClr w14:val="tx1"/>
                  </w14:solidFill>
                </w14:textFill>
              </w:rPr>
              <w:t>3.本项目投标报价不得存在区间值，不接受有选择的报价。</w:t>
            </w:r>
          </w:p>
        </w:tc>
      </w:tr>
      <w:tr w14:paraId="68B21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2195" w:type="dxa"/>
            <w:vAlign w:val="center"/>
          </w:tcPr>
          <w:p w14:paraId="0B42685F">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供货要求</w:t>
            </w:r>
          </w:p>
        </w:tc>
        <w:tc>
          <w:tcPr>
            <w:tcW w:w="6654" w:type="dxa"/>
            <w:vAlign w:val="center"/>
          </w:tcPr>
          <w:p w14:paraId="50147D1C">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1.所有竞标产品必须是厂家合法渠道的全新正品，符合规定的质量、规格、性能，并按照相关国际、国家及专业标准检验的合格产品，其产品须符合国家有关规定及厂家承诺实行“三包”。</w:t>
            </w:r>
          </w:p>
          <w:p w14:paraId="0D4CEFF8">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2.本项目所有产品系统均严格按签订的采购合同、供应商响应和承诺的技术参数及性能进行验收，达不到要求的验收不合格，采购人有权终止，按无效响应处理，终止交易。</w:t>
            </w:r>
          </w:p>
          <w:p w14:paraId="2FBD0155">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3.必须按照采购人要求的供货时间完成供货，逾期采购人有权解除合同，造成的一切损失由成交供应商承担。</w:t>
            </w:r>
          </w:p>
        </w:tc>
      </w:tr>
      <w:tr w14:paraId="6BDF8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2195" w:type="dxa"/>
            <w:vAlign w:val="center"/>
          </w:tcPr>
          <w:p w14:paraId="02DF644B">
            <w:pPr>
              <w:keepNext w:val="0"/>
              <w:keepLines w:val="0"/>
              <w:widowControl/>
              <w:suppressLineNumbers w:val="0"/>
              <w:jc w:val="center"/>
              <w:textAlignment w:val="cente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售后技术服务要求</w:t>
            </w:r>
          </w:p>
        </w:tc>
        <w:tc>
          <w:tcPr>
            <w:tcW w:w="6654" w:type="dxa"/>
            <w:vAlign w:val="center"/>
          </w:tcPr>
          <w:p w14:paraId="2EAB34EA">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480" w:firstLineChars="200"/>
              <w:jc w:val="left"/>
              <w:textAlignment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1.触控一体机</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提供至少3年原厂免费质保服务，</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其他配件提供至少1年免费质保服务，</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保修期自货物验收合格之日算起。</w:t>
            </w:r>
          </w:p>
          <w:p w14:paraId="01C52829">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480" w:firstLineChars="200"/>
              <w:jc w:val="left"/>
              <w:textAlignment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2.</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保修期内报修，供应商须在2小时内赶到现场处理。供应商在收到采购方故障通知超过2个小时未做出响应及时承担保修责任，采购方有权采用其他渠道和方式对货物进行维修，由此产生的费用由供应商承担，并且不能以此为由拒绝承担后期的保修责任。</w:t>
            </w:r>
          </w:p>
          <w:p w14:paraId="63442AC9">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480" w:firstLineChars="200"/>
              <w:jc w:val="left"/>
              <w:textAlignment w:val="cente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3.</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供应商保证按时上门售后服务的同时，应提供不少于2次的设备使用操作及技术培训服务，竞标供应商的技术服务人员应具备相关品牌的技术维修能力(提供上门服务时请提供相关厂家技术服务培训证明或相关上岗证书)</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p>
          <w:p w14:paraId="32A765E9">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480" w:firstLineChars="200"/>
              <w:jc w:val="left"/>
              <w:textAlignment w:val="cente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4.</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货物保修期满后，供应商应持续对设备运行期间出现的故障提供上门维修服务。对设备维修所需费用，供货商应仅收取正常的维修配件成本费用，不可收取上门费等额外费用。</w:t>
            </w:r>
          </w:p>
        </w:tc>
      </w:tr>
      <w:tr w14:paraId="4B326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2195" w:type="dxa"/>
            <w:vAlign w:val="center"/>
          </w:tcPr>
          <w:p w14:paraId="0DB3130C">
            <w:pPr>
              <w:keepNext w:val="0"/>
              <w:keepLines w:val="0"/>
              <w:widowControl/>
              <w:suppressLineNumbers w:val="0"/>
              <w:jc w:val="center"/>
              <w:textAlignment w:val="cente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交货时间及地点</w:t>
            </w:r>
          </w:p>
        </w:tc>
        <w:tc>
          <w:tcPr>
            <w:tcW w:w="6654" w:type="dxa"/>
            <w:vAlign w:val="center"/>
          </w:tcPr>
          <w:p w14:paraId="53C6AF61">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1.交货时间：自合同签订之日起15日内交货并安装完毕。</w:t>
            </w:r>
          </w:p>
          <w:p w14:paraId="08F8439E">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2.交货地点：南宁市内采购人指定地点。</w:t>
            </w:r>
          </w:p>
        </w:tc>
      </w:tr>
      <w:tr w14:paraId="12557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2195" w:type="dxa"/>
            <w:vAlign w:val="center"/>
          </w:tcPr>
          <w:p w14:paraId="5EC3B9D0">
            <w:pPr>
              <w:keepNext w:val="0"/>
              <w:keepLines w:val="0"/>
              <w:widowControl/>
              <w:suppressLineNumbers w:val="0"/>
              <w:jc w:val="center"/>
              <w:textAlignment w:val="cente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pPr>
            <w: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t>履约验收要求</w:t>
            </w:r>
          </w:p>
        </w:tc>
        <w:tc>
          <w:tcPr>
            <w:tcW w:w="6654" w:type="dxa"/>
            <w:vAlign w:val="center"/>
          </w:tcPr>
          <w:p w14:paraId="20D0EB3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auto"/>
                <w:spacing w:val="0"/>
                <w:position w:val="0"/>
                <w:sz w:val="24"/>
                <w:szCs w:val="24"/>
                <w:lang w:val="en-US" w:eastAsia="zh-CN"/>
              </w:rPr>
            </w:pPr>
            <w:r>
              <w:rPr>
                <w:rFonts w:hint="eastAsia" w:ascii="Times New Roman" w:hAnsi="Times New Roman" w:eastAsia="仿宋_GB2312" w:cs="仿宋_GB2312"/>
                <w:color w:val="auto"/>
                <w:spacing w:val="0"/>
                <w:position w:val="0"/>
                <w:sz w:val="24"/>
                <w:szCs w:val="24"/>
                <w:lang w:val="en-US" w:eastAsia="zh-CN"/>
              </w:rPr>
              <w:t>本次采购由本单位根据反向竞价文件的有关条款和投标文件的响应及承诺执行情况进行验收，经验收不合格且无法整改的，采购人有权拒绝支付货款，所产生的所有损失由成交供应商承担；验收时须供应商与生产厂家代表共同现场进行验收确认产品真伪。</w:t>
            </w:r>
          </w:p>
        </w:tc>
      </w:tr>
      <w:tr w14:paraId="5E223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1" w:hRule="atLeast"/>
        </w:trPr>
        <w:tc>
          <w:tcPr>
            <w:tcW w:w="2195" w:type="dxa"/>
            <w:vAlign w:val="center"/>
          </w:tcPr>
          <w:p w14:paraId="25AB5A39">
            <w:pPr>
              <w:keepNext w:val="0"/>
              <w:keepLines w:val="0"/>
              <w:widowControl/>
              <w:suppressLineNumbers w:val="0"/>
              <w:jc w:val="center"/>
              <w:textAlignment w:val="cente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pPr>
            <w: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t>违约要求</w:t>
            </w:r>
          </w:p>
        </w:tc>
        <w:tc>
          <w:tcPr>
            <w:tcW w:w="6654" w:type="dxa"/>
            <w:vAlign w:val="center"/>
          </w:tcPr>
          <w:p w14:paraId="725E74E9">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仿宋_GB2312" w:cs="仿宋_GB2312"/>
                <w:i w:val="0"/>
                <w:iCs w:val="0"/>
                <w:snapToGrid w:val="0"/>
                <w:color w:val="auto"/>
                <w:spacing w:val="0"/>
                <w:kern w:val="0"/>
                <w:position w:val="0"/>
                <w:sz w:val="24"/>
                <w:szCs w:val="24"/>
                <w:u w:val="none"/>
                <w:lang w:val="en-US" w:eastAsia="zh-CN" w:bidi="ar"/>
              </w:rPr>
            </w:pPr>
            <w:r>
              <w:rPr>
                <w:rFonts w:hint="eastAsia" w:ascii="Times New Roman" w:hAnsi="Times New Roman" w:eastAsia="仿宋_GB2312" w:cs="仿宋_GB2312"/>
                <w:i w:val="0"/>
                <w:iCs w:val="0"/>
                <w:snapToGrid w:val="0"/>
                <w:color w:val="auto"/>
                <w:spacing w:val="0"/>
                <w:kern w:val="0"/>
                <w:position w:val="0"/>
                <w:sz w:val="24"/>
                <w:szCs w:val="24"/>
                <w:u w:val="none"/>
                <w:lang w:val="en-US" w:eastAsia="zh-CN" w:bidi="ar"/>
              </w:rPr>
              <w:t>1.成交供应商未按合同约定按时按质交货的，每逾期一日，应按合同金额的1‰向采购人支付违约金，逾期10日的，采购人有权解除合同。</w:t>
            </w:r>
          </w:p>
          <w:p w14:paraId="3D36053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i w:val="0"/>
                <w:iCs w:val="0"/>
                <w:snapToGrid w:val="0"/>
                <w:color w:val="auto"/>
                <w:spacing w:val="0"/>
                <w:kern w:val="0"/>
                <w:position w:val="0"/>
                <w:sz w:val="24"/>
                <w:szCs w:val="24"/>
                <w:u w:val="none"/>
                <w:lang w:val="en-US" w:eastAsia="zh-CN" w:bidi="ar"/>
              </w:rPr>
            </w:pPr>
            <w:r>
              <w:rPr>
                <w:rFonts w:hint="eastAsia" w:ascii="Times New Roman" w:hAnsi="Times New Roman" w:eastAsia="仿宋_GB2312" w:cs="仿宋_GB2312"/>
                <w:i w:val="0"/>
                <w:iCs w:val="0"/>
                <w:snapToGrid w:val="0"/>
                <w:color w:val="auto"/>
                <w:spacing w:val="0"/>
                <w:kern w:val="0"/>
                <w:position w:val="0"/>
                <w:sz w:val="24"/>
                <w:szCs w:val="24"/>
                <w:u w:val="none"/>
                <w:lang w:val="en-US" w:eastAsia="zh-CN" w:bidi="ar"/>
              </w:rPr>
              <w:t>2.验收和履行过程中，如不符合公告文件的技术需求或要求或提供虚假承诺等情况，导致采购人损失的，按相关规定做退货及违约处理，成交供应商承担所有责任和费用，采购人保留进一步追究责任的权利，立刻终止合同或终止交易，同时通过法律途径解决。</w:t>
            </w:r>
          </w:p>
          <w:p w14:paraId="36C29097">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i w:val="0"/>
                <w:iCs w:val="0"/>
                <w:snapToGrid w:val="0"/>
                <w:color w:val="auto"/>
                <w:spacing w:val="0"/>
                <w:kern w:val="0"/>
                <w:position w:val="0"/>
                <w:sz w:val="24"/>
                <w:szCs w:val="24"/>
                <w:u w:val="none"/>
                <w:lang w:val="en-US" w:eastAsia="zh-CN" w:bidi="ar"/>
              </w:rPr>
            </w:pPr>
            <w:r>
              <w:rPr>
                <w:rFonts w:hint="eastAsia" w:ascii="Times New Roman" w:hAnsi="Times New Roman" w:eastAsia="仿宋_GB2312" w:cs="仿宋_GB2312"/>
                <w:i w:val="0"/>
                <w:iCs w:val="0"/>
                <w:snapToGrid w:val="0"/>
                <w:color w:val="auto"/>
                <w:spacing w:val="0"/>
                <w:kern w:val="0"/>
                <w:position w:val="0"/>
                <w:sz w:val="24"/>
                <w:szCs w:val="24"/>
                <w:u w:val="none"/>
                <w:lang w:val="en-US" w:eastAsia="zh-CN" w:bidi="ar"/>
              </w:rPr>
              <w:t>3.若所提供的产品为不符合国家知识产权法律法规要求的非正规正版产品、被生产厂家判断为属于假冒伪劣商品的或无法获得厂家正常保修服务的，不予验收，并追究相关法律责任。严格按照实物商品型号及参数竞标，如违反相关要求，追究相关责任。</w:t>
            </w:r>
          </w:p>
        </w:tc>
      </w:tr>
      <w:tr w14:paraId="7B6BF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4" w:hRule="atLeast"/>
        </w:trPr>
        <w:tc>
          <w:tcPr>
            <w:tcW w:w="2195" w:type="dxa"/>
            <w:vAlign w:val="center"/>
          </w:tcPr>
          <w:p w14:paraId="25611C52">
            <w:pPr>
              <w:keepNext w:val="0"/>
              <w:keepLines w:val="0"/>
              <w:widowControl/>
              <w:suppressLineNumbers w:val="0"/>
              <w:jc w:val="center"/>
              <w:textAlignment w:val="cente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pPr>
            <w:r>
              <w:rPr>
                <w:rFonts w:hint="eastAsia" w:ascii="Times New Roman" w:hAnsi="Times New Roman" w:eastAsia="仿宋_GB2312" w:cs="仿宋_GB2312"/>
                <w:i w:val="0"/>
                <w:iCs w:val="0"/>
                <w:snapToGrid w:val="0"/>
                <w:color w:val="000000" w:themeColor="text1"/>
                <w:spacing w:val="0"/>
                <w:kern w:val="0"/>
                <w:position w:val="0"/>
                <w:sz w:val="24"/>
                <w:szCs w:val="24"/>
                <w:u w:val="none"/>
                <w:lang w:val="en-US" w:eastAsia="zh-CN" w:bidi="ar"/>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其他要求</w:t>
            </w:r>
          </w:p>
        </w:tc>
        <w:tc>
          <w:tcPr>
            <w:tcW w:w="6654" w:type="dxa"/>
            <w:vAlign w:val="center"/>
          </w:tcPr>
          <w:p w14:paraId="37D461D8">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auto"/>
                <w:spacing w:val="0"/>
                <w:position w:val="0"/>
                <w:sz w:val="24"/>
                <w:szCs w:val="24"/>
                <w:highlight w:val="none"/>
                <w:lang w:val="en-US" w:eastAsia="zh-CN"/>
              </w:rPr>
            </w:pPr>
            <w:r>
              <w:rPr>
                <w:rFonts w:hint="eastAsia" w:ascii="Times New Roman" w:hAnsi="Times New Roman" w:eastAsia="仿宋_GB2312" w:cs="仿宋_GB2312"/>
                <w:color w:val="auto"/>
                <w:spacing w:val="0"/>
                <w:position w:val="0"/>
                <w:sz w:val="24"/>
                <w:szCs w:val="24"/>
                <w:highlight w:val="none"/>
                <w:lang w:val="en-US" w:eastAsia="zh-CN"/>
              </w:rPr>
              <w:t>1.确定供应商后，响应文件的各型号单价不随时间、市场价格等因素的变动而改变，直至采购人完成采购为止，否则按供应商违约处理并取消中标资格。</w:t>
            </w:r>
          </w:p>
          <w:p w14:paraId="5A37A127">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auto"/>
                <w:spacing w:val="0"/>
                <w:position w:val="0"/>
                <w:sz w:val="24"/>
                <w:szCs w:val="24"/>
                <w:highlight w:val="none"/>
                <w:lang w:val="en-US" w:eastAsia="zh-CN"/>
              </w:rPr>
            </w:pPr>
            <w:r>
              <w:rPr>
                <w:rFonts w:hint="eastAsia" w:ascii="Times New Roman" w:hAnsi="Times New Roman" w:eastAsia="仿宋_GB2312" w:cs="仿宋_GB2312"/>
                <w:color w:val="auto"/>
                <w:spacing w:val="0"/>
                <w:position w:val="0"/>
                <w:sz w:val="24"/>
                <w:szCs w:val="24"/>
                <w:highlight w:val="none"/>
                <w:lang w:val="en-US" w:eastAsia="zh-CN"/>
              </w:rPr>
              <w:t>2.请供应商在报价前仔细评估自身履约能力，谢绝恶意低价、不按要求报价、中标后无故放弃、不按合同履行等违约行为。对出现此类行为的预成交供应商，将根据在线竞价违约处理规则，依法依规提请政采云平台进行处罚，处罚内容包括停止推送报价信息、禁止报价等，并记入政府采购诚信档案。采购单位有权将询价单中的商务要求列入合同条款，否则有权拒签合同。</w:t>
            </w:r>
          </w:p>
          <w:p w14:paraId="3CF07921">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color w:val="auto"/>
                <w:spacing w:val="0"/>
                <w:position w:val="0"/>
                <w:sz w:val="24"/>
                <w:szCs w:val="24"/>
                <w:highlight w:val="none"/>
                <w:lang w:val="en-US" w:eastAsia="zh-CN"/>
              </w:rPr>
            </w:pPr>
            <w:r>
              <w:rPr>
                <w:rFonts w:hint="eastAsia" w:ascii="Times New Roman" w:hAnsi="Times New Roman" w:eastAsia="仿宋_GB2312" w:cs="仿宋_GB2312"/>
                <w:color w:val="auto"/>
                <w:spacing w:val="0"/>
                <w:position w:val="0"/>
                <w:sz w:val="24"/>
                <w:szCs w:val="24"/>
                <w:highlight w:val="none"/>
                <w:lang w:val="en-US" w:eastAsia="zh-CN"/>
              </w:rPr>
              <w:t>3.供应商需提供产品质量承诺书（格式自拟，承诺内容包括但不限于所供产品符合产品质量、售后服务等）。</w:t>
            </w:r>
          </w:p>
          <w:p w14:paraId="40893AA2">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Times New Roman" w:hAnsi="Times New Roman" w:eastAsia="仿宋_GB2312" w:cs="仿宋_GB2312"/>
                <w:i w:val="0"/>
                <w:iCs w:val="0"/>
                <w:snapToGrid w:val="0"/>
                <w:color w:val="auto"/>
                <w:spacing w:val="0"/>
                <w:kern w:val="0"/>
                <w:position w:val="0"/>
                <w:sz w:val="24"/>
                <w:szCs w:val="24"/>
                <w:u w:val="none"/>
                <w:lang w:val="en-US" w:eastAsia="zh-CN" w:bidi="ar"/>
              </w:rPr>
            </w:pPr>
            <w:r>
              <w:rPr>
                <w:rFonts w:hint="eastAsia" w:ascii="Times New Roman" w:hAnsi="Times New Roman" w:eastAsia="仿宋_GB2312" w:cs="仿宋_GB2312"/>
                <w:color w:val="auto"/>
                <w:spacing w:val="0"/>
                <w:position w:val="0"/>
                <w:sz w:val="24"/>
                <w:szCs w:val="24"/>
                <w:highlight w:val="none"/>
                <w:lang w:val="en-US" w:eastAsia="zh-CN"/>
              </w:rPr>
              <w:t>4.特别提醒：请参与竞价前务必注意阅读商务要求，</w:t>
            </w:r>
            <w:r>
              <w:rPr>
                <w:rFonts w:hint="eastAsia" w:ascii="Times New Roman" w:hAnsi="Times New Roman" w:eastAsia="仿宋_GB2312" w:cs="仿宋_GB2312"/>
                <w:color w:val="auto"/>
                <w:spacing w:val="0"/>
                <w:position w:val="0"/>
                <w:sz w:val="24"/>
                <w:szCs w:val="24"/>
                <w:lang w:val="en-US" w:eastAsia="zh-CN"/>
              </w:rPr>
              <w:t>确认是否有货可供，是否能按交货时间供货，是否符合采购人相关要求。</w:t>
            </w:r>
          </w:p>
        </w:tc>
      </w:tr>
    </w:tbl>
    <w:p w14:paraId="0DF7326E">
      <w:pPr>
        <w:rPr>
          <w:rFonts w:hint="eastAsia"/>
        </w:rPr>
      </w:pPr>
      <w:r>
        <w:rPr>
          <w:rFonts w:hint="eastAsia"/>
        </w:rPr>
        <w:br w:type="page"/>
      </w:r>
    </w:p>
    <w:p w14:paraId="139804A7">
      <w:pPr>
        <w:pStyle w:val="3"/>
        <w:bidi w:val="0"/>
        <w:rPr>
          <w:rFonts w:hint="eastAsia"/>
        </w:rPr>
      </w:pPr>
      <w:bookmarkStart w:id="7" w:name="_Toc3008"/>
      <w:r>
        <w:rPr>
          <w:rFonts w:hint="eastAsia"/>
        </w:rPr>
        <w:t>第四章 供应商须知</w:t>
      </w:r>
      <w:bookmarkEnd w:id="7"/>
    </w:p>
    <w:p w14:paraId="3CEB21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tbl>
      <w:tblPr>
        <w:tblStyle w:val="12"/>
        <w:tblW w:w="101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4"/>
        <w:gridCol w:w="1241"/>
        <w:gridCol w:w="8350"/>
      </w:tblGrid>
      <w:tr w14:paraId="18DAF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574" w:type="dxa"/>
            <w:vAlign w:val="center"/>
          </w:tcPr>
          <w:p w14:paraId="6847A88B">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t>序号</w:t>
            </w:r>
          </w:p>
        </w:tc>
        <w:tc>
          <w:tcPr>
            <w:tcW w:w="1241" w:type="dxa"/>
            <w:vAlign w:val="center"/>
          </w:tcPr>
          <w:p w14:paraId="007AF30D">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t>条款内容</w:t>
            </w:r>
          </w:p>
        </w:tc>
        <w:tc>
          <w:tcPr>
            <w:tcW w:w="8350" w:type="dxa"/>
            <w:vAlign w:val="center"/>
          </w:tcPr>
          <w:p w14:paraId="30B4EFB0">
            <w:pPr>
              <w:keepNext w:val="0"/>
              <w:keepLines w:val="0"/>
              <w:widowControl/>
              <w:suppressLineNumbers w:val="0"/>
              <w:jc w:val="center"/>
              <w:textAlignment w:val="cente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highlight w:val="none"/>
                <w:lang w:val="en-US" w:eastAsia="zh-CN"/>
                <w14:textOutline w14:w="3831" w14:cap="flat" w14:cmpd="sng">
                  <w14:solidFill>
                    <w14:srgbClr w14:val="000000"/>
                  </w14:solidFill>
                  <w14:prstDash w14:val="solid"/>
                  <w14:miter w14:val="0"/>
                </w14:textOutline>
                <w14:textFill>
                  <w14:solidFill>
                    <w14:schemeClr w14:val="tx1"/>
                  </w14:solidFill>
                </w14:textFill>
              </w:rPr>
              <w:t>具体要求</w:t>
            </w:r>
          </w:p>
        </w:tc>
      </w:tr>
      <w:tr w14:paraId="286F8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6" w:hRule="atLeast"/>
          <w:jc w:val="center"/>
        </w:trPr>
        <w:tc>
          <w:tcPr>
            <w:tcW w:w="574" w:type="dxa"/>
            <w:vAlign w:val="center"/>
          </w:tcPr>
          <w:p w14:paraId="21637585">
            <w:pPr>
              <w:spacing w:before="68" w:line="186"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1</w:t>
            </w:r>
          </w:p>
        </w:tc>
        <w:tc>
          <w:tcPr>
            <w:tcW w:w="1241" w:type="dxa"/>
            <w:vAlign w:val="center"/>
          </w:tcPr>
          <w:p w14:paraId="0A22F2A1">
            <w:pPr>
              <w:spacing w:before="68" w:line="221" w:lineRule="auto"/>
              <w:ind w:left="124"/>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响应文件组成</w:t>
            </w:r>
          </w:p>
        </w:tc>
        <w:tc>
          <w:tcPr>
            <w:tcW w:w="8350" w:type="dxa"/>
            <w:vAlign w:val="top"/>
          </w:tcPr>
          <w:p w14:paraId="0761681F">
            <w:pPr>
              <w:keepNext w:val="0"/>
              <w:keepLines w:val="0"/>
              <w:pageBreakBefore w:val="0"/>
              <w:widowControl w:val="0"/>
              <w:kinsoku/>
              <w:wordWrap/>
              <w:overflowPunct/>
              <w:topLinePunct w:val="0"/>
              <w:autoSpaceDE/>
              <w:autoSpaceDN/>
              <w:bidi w:val="0"/>
              <w:adjustRightInd/>
              <w:snapToGrid/>
              <w:spacing w:before="76" w:line="240" w:lineRule="auto"/>
              <w:ind w:right="103" w:firstLine="480" w:firstLineChars="200"/>
              <w:textAlignment w:val="auto"/>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FF0000"/>
                  </w14:solidFill>
                  <w14:prstDash w14:val="solid"/>
                  <w14:miter w14:val="0"/>
                </w14:textOutline>
                <w14:textFill>
                  <w14:solidFill>
                    <w14:schemeClr w14:val="tx1"/>
                  </w14:solidFill>
                </w14:textFill>
              </w:rPr>
              <w:t>供应商必须上传以下材料，</w:t>
            </w:r>
            <w:r>
              <w:rPr>
                <w:rFonts w:hint="eastAsia" w:ascii="Times New Roman" w:hAnsi="Times New Roman" w:eastAsia="仿宋_GB2312" w:cs="仿宋_GB2312"/>
                <w:color w:val="000000" w:themeColor="text1"/>
                <w:spacing w:val="0"/>
                <w:position w:val="0"/>
                <w:sz w:val="24"/>
                <w:szCs w:val="24"/>
                <w:lang w:eastAsia="zh-CN"/>
                <w14:textOutline w14:w="3831" w14:cap="flat" w14:cmpd="sng">
                  <w14:solidFill>
                    <w14:srgbClr w14:val="FF0000"/>
                  </w14:solidFill>
                  <w14:prstDash w14:val="solid"/>
                  <w14:miter w14:val="0"/>
                </w14:textOutline>
                <w14:textFill>
                  <w14:solidFill>
                    <w14:schemeClr w14:val="tx1"/>
                  </w14:solidFill>
                </w14:textFill>
              </w:rPr>
              <w:t>所上传响应材料必须与竞标供应商名称一致，</w:t>
            </w: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FF0000"/>
                  </w14:solidFill>
                  <w14:prstDash w14:val="solid"/>
                  <w14:miter w14:val="0"/>
                </w14:textOutline>
                <w14:textFill>
                  <w14:solidFill>
                    <w14:schemeClr w14:val="tx1"/>
                  </w14:solidFill>
                </w14:textFill>
              </w:rPr>
              <w:t>所提供材料必须</w:t>
            </w:r>
            <w:r>
              <w:rPr>
                <w:rFonts w:hint="eastAsia" w:ascii="Times New Roman" w:hAnsi="Times New Roman" w:eastAsia="仿宋_GB2312" w:cs="仿宋_GB2312"/>
                <w:color w:val="000000" w:themeColor="text1"/>
                <w:spacing w:val="0"/>
                <w:position w:val="0"/>
                <w:sz w:val="24"/>
                <w:szCs w:val="24"/>
                <w:lang w:eastAsia="zh-CN"/>
                <w14:textOutline w14:w="3831" w14:cap="flat" w14:cmpd="sng">
                  <w14:solidFill>
                    <w14:srgbClr w14:val="FF0000"/>
                  </w14:solidFill>
                  <w14:prstDash w14:val="solid"/>
                  <w14:miter w14:val="0"/>
                </w14:textOutline>
                <w14:textFill>
                  <w14:solidFill>
                    <w14:schemeClr w14:val="tx1"/>
                  </w14:solidFill>
                </w14:textFill>
              </w:rPr>
              <w:t>每一页都</w:t>
            </w: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FF0000"/>
                  </w14:solidFill>
                  <w14:prstDash w14:val="solid"/>
                  <w14:miter w14:val="0"/>
                </w14:textOutline>
                <w14:textFill>
                  <w14:solidFill>
                    <w14:schemeClr w14:val="tx1"/>
                  </w14:solidFill>
                </w14:textFill>
              </w:rPr>
              <w:t>加盖供应商公章，未按要求提供的按无效响应处理：</w:t>
            </w:r>
          </w:p>
          <w:p w14:paraId="02214986">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1.营业执照</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和法定代表人身份证</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复印件</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p>
          <w:p w14:paraId="238D46A1">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2.供应商依法缴纳税收的相关材料：近半年连续</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 xml:space="preserve"> 三 </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个月的依法缴 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p>
          <w:p w14:paraId="53F57444">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3.供应商依法缴纳社会保障资金的相关材料：近半年连续</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三</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个月的依法缴纳社会保障资金的缴费凭证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p>
          <w:p w14:paraId="48329676">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4.供应商财务状况报告：</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202</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5 </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年财务状况报告复印件</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如未完成</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202</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5 </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年</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财务状况报告则提供</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202</w:t>
            </w:r>
            <w:r>
              <w:rPr>
                <w:rFonts w:hint="eastAsia" w:ascii="Times New Roman" w:hAnsi="Times New Roman" w:eastAsia="仿宋_GB2312" w:cs="仿宋_GB2312"/>
                <w:color w:val="000000" w:themeColor="text1"/>
                <w:spacing w:val="0"/>
                <w:position w:val="0"/>
                <w:sz w:val="24"/>
                <w:szCs w:val="24"/>
                <w:u w:val="single" w:color="auto"/>
                <w:lang w:val="en-US" w:eastAsia="zh-CN"/>
                <w14:textFill>
                  <w14:solidFill>
                    <w14:schemeClr w14:val="tx1"/>
                  </w14:solidFill>
                </w14:textFill>
              </w:rPr>
              <w:t xml:space="preserve">4 </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年</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的财务状况报告；</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供应商成立不满一年的应按提供首次响应文件提交截止时间上一个月的财务状况报告复印件。</w:t>
            </w:r>
          </w:p>
          <w:p w14:paraId="7DE85E6C">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5.响应报价表，表中响应技术参数必须如实填写完整，填写有缺漏的，其响应文件按无效响应处理</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(格式详见附件1)</w:t>
            </w:r>
          </w:p>
          <w:p w14:paraId="41A69AC7">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6.采购需求</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偏离</w:t>
            </w:r>
            <w:bookmarkStart w:id="21" w:name="_GoBack"/>
            <w:bookmarkEnd w:id="21"/>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表</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(格式详见附件2)</w:t>
            </w:r>
          </w:p>
          <w:p w14:paraId="60FE6FCB">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b/>
                <w:bCs/>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7.商务要求响应表</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b/>
                <w:bCs/>
                <w:color w:val="000000" w:themeColor="text1"/>
                <w:spacing w:val="0"/>
                <w:position w:val="0"/>
                <w:sz w:val="24"/>
                <w:szCs w:val="24"/>
                <w14:textFill>
                  <w14:solidFill>
                    <w14:schemeClr w14:val="tx1"/>
                  </w14:solidFill>
                </w14:textFill>
              </w:rPr>
              <w:t>(</w:t>
            </w:r>
            <w:r>
              <w:rPr>
                <w:rFonts w:hint="eastAsia" w:ascii="Times New Roman" w:hAnsi="Times New Roman" w:eastAsia="仿宋_GB2312" w:cs="仿宋_GB2312"/>
                <w:b/>
                <w:bCs/>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格式详见附件3)</w:t>
            </w:r>
          </w:p>
          <w:p w14:paraId="3974B3F6">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b/>
                <w:bCs/>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8</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.法定代表人授权书</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w:t>
            </w:r>
            <w:r>
              <w:rPr>
                <w:rFonts w:hint="eastAsia" w:ascii="Times New Roman" w:hAnsi="Times New Roman" w:eastAsia="仿宋_GB2312" w:cs="仿宋_GB2312"/>
                <w:b/>
                <w:bCs/>
                <w:color w:val="000000" w:themeColor="text1"/>
                <w:spacing w:val="0"/>
                <w:position w:val="0"/>
                <w:sz w:val="24"/>
                <w:szCs w:val="24"/>
                <w14:textFill>
                  <w14:solidFill>
                    <w14:schemeClr w14:val="tx1"/>
                  </w14:solidFill>
                </w14:textFill>
              </w:rPr>
              <w:t>(</w:t>
            </w:r>
            <w:r>
              <w:rPr>
                <w:rFonts w:hint="eastAsia" w:ascii="Times New Roman" w:hAnsi="Times New Roman" w:eastAsia="仿宋_GB2312" w:cs="仿宋_GB2312"/>
                <w:b/>
                <w:bCs/>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格式详见附件</w:t>
            </w:r>
            <w:r>
              <w:rPr>
                <w:rFonts w:hint="eastAsia" w:ascii="Times New Roman" w:hAnsi="Times New Roman" w:eastAsia="仿宋_GB2312" w:cs="仿宋_GB2312"/>
                <w:b/>
                <w:bCs/>
                <w:color w:val="000000" w:themeColor="text1"/>
                <w:spacing w:val="0"/>
                <w:position w:val="0"/>
                <w:sz w:val="24"/>
                <w:szCs w:val="24"/>
                <w:lang w:val="en-US" w:eastAsia="zh-CN"/>
                <w14:textOutline w14:w="3831" w14:cap="flat" w14:cmpd="sng">
                  <w14:solidFill>
                    <w14:srgbClr w14:val="000000"/>
                  </w14:solidFill>
                  <w14:prstDash w14:val="solid"/>
                  <w14:miter w14:val="0"/>
                </w14:textOutline>
                <w14:textFill>
                  <w14:solidFill>
                    <w14:schemeClr w14:val="tx1"/>
                  </w14:solidFill>
                </w14:textFill>
              </w:rPr>
              <w:t>4）</w:t>
            </w:r>
          </w:p>
          <w:p w14:paraId="05670872">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default" w:ascii="Times New Roman" w:hAnsi="Times New Roman" w:eastAsia="仿宋_GB2312" w:cs="仿宋_GB2312"/>
                <w:b/>
                <w:bCs/>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9.信用声明函。</w:t>
            </w:r>
            <w:r>
              <w:rPr>
                <w:rFonts w:hint="eastAsia" w:ascii="Times New Roman" w:hAnsi="Times New Roman" w:eastAsia="仿宋_GB2312" w:cs="仿宋_GB2312"/>
                <w:color w:val="000000" w:themeColor="text1"/>
                <w:spacing w:val="0"/>
                <w:position w:val="0"/>
                <w:sz w:val="24"/>
                <w:szCs w:val="24"/>
                <w:lang w:val="en-US" w:eastAsia="zh-CN"/>
                <w14:textOutline w14:w="3831" w14:cap="flat" w14:cmpd="sng">
                  <w14:solidFill>
                    <w14:srgbClr w14:val="000000"/>
                  </w14:solidFill>
                  <w14:prstDash w14:val="solid"/>
                  <w14:miter w14:val="0"/>
                </w14:textOutline>
                <w14:textFill>
                  <w14:solidFill>
                    <w14:schemeClr w14:val="tx1"/>
                  </w14:solidFill>
                </w14:textFill>
              </w:rPr>
              <w:t>（格式详见附件5）</w:t>
            </w:r>
          </w:p>
          <w:p w14:paraId="17D509B7">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10.触控一体机的原厂授权书、节能认证证书、产品3C认证证书；推拉黑板的原厂授权书。</w:t>
            </w:r>
          </w:p>
          <w:p w14:paraId="750D9F88">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lang w:val="en-US" w:eastAsia="zh-CN"/>
                <w14:textOutline w14:w="3831"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11.产品质量承诺书。</w:t>
            </w:r>
            <w:r>
              <w:rPr>
                <w:rFonts w:hint="eastAsia" w:ascii="Times New Roman" w:hAnsi="Times New Roman" w:eastAsia="仿宋_GB2312" w:cs="仿宋_GB2312"/>
                <w:color w:val="000000" w:themeColor="text1"/>
                <w:spacing w:val="0"/>
                <w:position w:val="0"/>
                <w:sz w:val="24"/>
                <w:szCs w:val="24"/>
                <w:lang w:val="en-US" w:eastAsia="zh-CN"/>
                <w14:textOutline w14:w="3831" w14:cap="flat" w14:cmpd="sng">
                  <w14:solidFill>
                    <w14:srgbClr w14:val="000000"/>
                  </w14:solidFill>
                  <w14:prstDash w14:val="solid"/>
                  <w14:miter w14:val="0"/>
                </w14:textOutline>
                <w14:textFill>
                  <w14:solidFill>
                    <w14:schemeClr w14:val="tx1"/>
                  </w14:solidFill>
                </w14:textFill>
              </w:rPr>
              <w:t>（格式自拟，承诺内容包括但不限于所供产品符合产品质量、售后服务等）</w:t>
            </w:r>
          </w:p>
        </w:tc>
      </w:tr>
      <w:tr w14:paraId="63731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574" w:type="dxa"/>
            <w:vAlign w:val="center"/>
          </w:tcPr>
          <w:p w14:paraId="3A8279E6">
            <w:pPr>
              <w:spacing w:before="68" w:line="185"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2</w:t>
            </w:r>
          </w:p>
        </w:tc>
        <w:tc>
          <w:tcPr>
            <w:tcW w:w="1241" w:type="dxa"/>
            <w:vAlign w:val="center"/>
          </w:tcPr>
          <w:p w14:paraId="1061393B">
            <w:pPr>
              <w:spacing w:before="68" w:line="221"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偏离要求</w:t>
            </w:r>
          </w:p>
        </w:tc>
        <w:tc>
          <w:tcPr>
            <w:tcW w:w="8350" w:type="dxa"/>
            <w:vAlign w:val="top"/>
          </w:tcPr>
          <w:p w14:paraId="25B5624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1</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14:textOutline w14:w="4005" w14:cap="flat" w14:cmpd="sng">
                  <w14:solidFill>
                    <w14:srgbClr w14:val="000000"/>
                  </w14:solidFill>
                  <w14:prstDash w14:val="solid"/>
                  <w14:miter w14:val="0"/>
                </w14:textOutline>
                <w14:textFill>
                  <w14:solidFill>
                    <w14:schemeClr w14:val="tx1"/>
                  </w14:solidFill>
                </w14:textFill>
              </w:rPr>
              <w:t>采购需求</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评审中允许</w:t>
            </w:r>
            <w:r>
              <w:rPr>
                <w:rFonts w:hint="eastAsia" w:ascii="Times New Roman" w:hAnsi="Times New Roman" w:eastAsia="仿宋_GB2312" w:cs="仿宋_GB2312"/>
                <w:color w:val="000000" w:themeColor="text1"/>
                <w:spacing w:val="0"/>
                <w:position w:val="0"/>
                <w:sz w:val="24"/>
                <w:szCs w:val="24"/>
                <w14:textOutline w14:w="4005" w14:cap="flat" w14:cmpd="sng">
                  <w14:solidFill>
                    <w14:srgbClr w14:val="000000"/>
                  </w14:solidFill>
                  <w14:prstDash w14:val="solid"/>
                  <w14:miter w14:val="0"/>
                </w14:textOutline>
                <w14:textFill>
                  <w14:solidFill>
                    <w14:schemeClr w14:val="tx1"/>
                  </w14:solidFill>
                </w14:textFill>
              </w:rPr>
              <w:t>“负偏离”</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的条款数为</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u w:val="single" w:color="auto"/>
                <w14:textOutline w14:w="3831" w14:cap="flat" w14:cmpd="sng">
                  <w14:solidFill>
                    <w14:srgbClr w14:val="000000"/>
                  </w14:solidFill>
                  <w14:prstDash w14:val="solid"/>
                  <w14:miter w14:val="0"/>
                </w14:textOutline>
                <w14:textFill>
                  <w14:solidFill>
                    <w14:schemeClr w14:val="tx1"/>
                  </w14:solidFill>
                </w14:textFill>
              </w:rPr>
              <w:t>0</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项</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w:t>
            </w:r>
          </w:p>
          <w:p w14:paraId="1265695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2</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14:textOutline w14:w="4005" w14:cap="flat" w14:cmpd="sng">
                  <w14:solidFill>
                    <w14:srgbClr w14:val="000000"/>
                  </w14:solidFill>
                  <w14:prstDash w14:val="solid"/>
                  <w14:miter w14:val="0"/>
                </w14:textOutline>
                <w14:textFill>
                  <w14:solidFill>
                    <w14:schemeClr w14:val="tx1"/>
                  </w14:solidFill>
                </w14:textFill>
              </w:rPr>
              <w:t>商务要求</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评审中允许</w:t>
            </w:r>
            <w:r>
              <w:rPr>
                <w:rFonts w:hint="eastAsia" w:ascii="Times New Roman" w:hAnsi="Times New Roman" w:eastAsia="仿宋_GB2312" w:cs="仿宋_GB2312"/>
                <w:color w:val="000000" w:themeColor="text1"/>
                <w:spacing w:val="0"/>
                <w:position w:val="0"/>
                <w:sz w:val="24"/>
                <w:szCs w:val="24"/>
                <w14:textOutline w14:w="4005" w14:cap="flat" w14:cmpd="sng">
                  <w14:solidFill>
                    <w14:srgbClr w14:val="000000"/>
                  </w14:solidFill>
                  <w14:prstDash w14:val="solid"/>
                  <w14:miter w14:val="0"/>
                </w14:textOutline>
                <w14:textFill>
                  <w14:solidFill>
                    <w14:schemeClr w14:val="tx1"/>
                  </w14:solidFill>
                </w14:textFill>
              </w:rPr>
              <w:t>“负偏离”</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的条款数为</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u w:val="single" w:color="auto"/>
                <w14:textOutline w14:w="3831" w14:cap="flat" w14:cmpd="sng">
                  <w14:solidFill>
                    <w14:srgbClr w14:val="000000"/>
                  </w14:solidFill>
                  <w14:prstDash w14:val="solid"/>
                  <w14:miter w14:val="0"/>
                </w14:textOutline>
                <w14:textFill>
                  <w14:solidFill>
                    <w14:schemeClr w14:val="tx1"/>
                  </w14:solidFill>
                </w14:textFill>
              </w:rPr>
              <w:t>0</w:t>
            </w:r>
            <w:r>
              <w:rPr>
                <w:rFonts w:hint="eastAsia" w:ascii="Times New Roman" w:hAnsi="Times New Roman" w:eastAsia="仿宋_GB2312" w:cs="仿宋_GB2312"/>
                <w:color w:val="000000" w:themeColor="text1"/>
                <w:spacing w:val="0"/>
                <w:position w:val="0"/>
                <w:sz w:val="24"/>
                <w:szCs w:val="24"/>
                <w:u w:val="single" w:color="auto"/>
                <w14:textFill>
                  <w14:solidFill>
                    <w14:schemeClr w14:val="tx1"/>
                  </w14:solidFill>
                </w14:textFill>
              </w:rPr>
              <w:t xml:space="preserve"> </w:t>
            </w: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项</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w:t>
            </w:r>
          </w:p>
        </w:tc>
      </w:tr>
      <w:tr w14:paraId="607E9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574" w:type="dxa"/>
            <w:vAlign w:val="center"/>
          </w:tcPr>
          <w:p w14:paraId="477286CA">
            <w:pPr>
              <w:spacing w:before="170" w:line="183"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3</w:t>
            </w:r>
          </w:p>
        </w:tc>
        <w:tc>
          <w:tcPr>
            <w:tcW w:w="1241" w:type="dxa"/>
            <w:vAlign w:val="center"/>
          </w:tcPr>
          <w:p w14:paraId="5D5D1C26">
            <w:pPr>
              <w:spacing w:before="132" w:line="221"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Outline w14:w="3831" w14:cap="flat" w14:cmpd="sng">
                  <w14:solidFill>
                    <w14:srgbClr w14:val="000000"/>
                  </w14:solidFill>
                  <w14:prstDash w14:val="solid"/>
                  <w14:miter w14:val="0"/>
                </w14:textOutline>
                <w14:textFill>
                  <w14:solidFill>
                    <w14:schemeClr w14:val="tx1"/>
                  </w14:solidFill>
                </w14:textFill>
              </w:rPr>
              <w:t>履约保证金</w:t>
            </w:r>
          </w:p>
        </w:tc>
        <w:tc>
          <w:tcPr>
            <w:tcW w:w="8350" w:type="dxa"/>
            <w:vAlign w:val="center"/>
          </w:tcPr>
          <w:p w14:paraId="29E458F4">
            <w:pPr>
              <w:spacing w:before="64" w:line="220" w:lineRule="auto"/>
              <w:ind w:firstLine="480" w:firstLineChars="200"/>
              <w:jc w:val="both"/>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本项目不收取履约保证金。</w:t>
            </w:r>
          </w:p>
        </w:tc>
      </w:tr>
      <w:tr w14:paraId="6E475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jc w:val="center"/>
        </w:trPr>
        <w:tc>
          <w:tcPr>
            <w:tcW w:w="574" w:type="dxa"/>
            <w:vAlign w:val="center"/>
          </w:tcPr>
          <w:p w14:paraId="46C8611D">
            <w:pPr>
              <w:spacing w:before="68" w:line="185"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4</w:t>
            </w:r>
          </w:p>
        </w:tc>
        <w:tc>
          <w:tcPr>
            <w:tcW w:w="1241" w:type="dxa"/>
            <w:vAlign w:val="center"/>
          </w:tcPr>
          <w:p w14:paraId="4E5CC9EC">
            <w:pPr>
              <w:spacing w:before="68" w:line="219" w:lineRule="auto"/>
              <w:jc w:val="cente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Outline w14:w="3831" w14:cap="flat" w14:cmpd="sng">
                  <w14:solidFill>
                    <w14:srgbClr w14:val="000000"/>
                  </w14:solidFill>
                  <w14:prstDash w14:val="solid"/>
                  <w14:miter w14:val="0"/>
                </w14:textOutline>
                <w14:textFill>
                  <w14:solidFill>
                    <w14:schemeClr w14:val="tx1"/>
                  </w14:solidFill>
                </w14:textFill>
              </w:rPr>
              <w:t>其他管理规定</w:t>
            </w:r>
          </w:p>
        </w:tc>
        <w:tc>
          <w:tcPr>
            <w:tcW w:w="8350" w:type="dxa"/>
            <w:vAlign w:val="top"/>
          </w:tcPr>
          <w:p w14:paraId="0E17FA45">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1.供应商应严格按照《广西壮族自治区财政厅关于印发广西壮族自治区政府采购电子卖场采购管理暂行办法的通知》（桂财规〔2020〕1号）《广西壮族自治区财政厅关于启用自治区本级政府采购电子卖场系统有关事项的通知》（桂财采〔2018〕42号）等广西政府采购云平台相关文件规定执行投标响应。</w:t>
            </w:r>
          </w:p>
          <w:p w14:paraId="46DDD10C">
            <w:pPr>
              <w:keepNext w:val="0"/>
              <w:keepLines w:val="0"/>
              <w:pageBreakBefore w:val="0"/>
              <w:widowControl w:val="0"/>
              <w:kinsoku/>
              <w:wordWrap/>
              <w:overflowPunct/>
              <w:topLinePunct w:val="0"/>
              <w:autoSpaceDE/>
              <w:autoSpaceDN/>
              <w:bidi w:val="0"/>
              <w:adjustRightInd/>
              <w:snapToGrid/>
              <w:spacing w:line="240" w:lineRule="auto"/>
              <w:ind w:right="0" w:firstLine="480" w:firstLineChars="200"/>
              <w:textAlignment w:val="auto"/>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pP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2.对不按要求报价、中标后无故放弃、不按合同履行等违约行为的</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供应商</w:t>
            </w:r>
            <w:r>
              <w:rPr>
                <w:rFonts w:hint="eastAsia" w:ascii="Times New Roman" w:hAnsi="Times New Roman" w:eastAsia="仿宋_GB2312" w:cs="仿宋_GB2312"/>
                <w:color w:val="000000" w:themeColor="text1"/>
                <w:spacing w:val="0"/>
                <w:position w:val="0"/>
                <w:sz w:val="24"/>
                <w:szCs w:val="24"/>
                <w:lang w:eastAsia="zh-CN"/>
                <w14:textFill>
                  <w14:solidFill>
                    <w14:schemeClr w14:val="tx1"/>
                  </w14:solidFill>
                </w14:textFill>
              </w:rPr>
              <w:t>，</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我方有权向平台或</w:t>
            </w:r>
            <w:r>
              <w:rPr>
                <w:rFonts w:hint="eastAsia" w:ascii="Times New Roman" w:hAnsi="Times New Roman" w:eastAsia="仿宋_GB2312" w:cs="仿宋_GB2312"/>
                <w:color w:val="000000" w:themeColor="text1"/>
                <w:spacing w:val="0"/>
                <w:position w:val="0"/>
                <w:sz w:val="24"/>
                <w:szCs w:val="24"/>
                <w14:textFill>
                  <w14:solidFill>
                    <w14:schemeClr w14:val="tx1"/>
                  </w14:solidFill>
                </w14:textFill>
              </w:rPr>
              <w:t>政府采购管理部门</w:t>
            </w:r>
            <w:r>
              <w:rPr>
                <w:rFonts w:hint="eastAsia" w:ascii="Times New Roman" w:hAnsi="Times New Roman" w:eastAsia="仿宋_GB2312" w:cs="仿宋_GB2312"/>
                <w:color w:val="000000" w:themeColor="text1"/>
                <w:spacing w:val="0"/>
                <w:position w:val="0"/>
                <w:sz w:val="24"/>
                <w:szCs w:val="24"/>
                <w:lang w:val="en-US" w:eastAsia="zh-CN"/>
                <w14:textFill>
                  <w14:solidFill>
                    <w14:schemeClr w14:val="tx1"/>
                  </w14:solidFill>
                </w14:textFill>
              </w:rPr>
              <w:t>进行举报，经相关部门确认后，对供应商实施扣减诚信分、限制报价权限等处罚。</w:t>
            </w:r>
          </w:p>
        </w:tc>
      </w:tr>
    </w:tbl>
    <w:p w14:paraId="5C719651">
      <w:pPr>
        <w:rPr>
          <w:rFonts w:hint="eastAsia"/>
        </w:rPr>
      </w:pPr>
      <w:r>
        <w:rPr>
          <w:rFonts w:hint="eastAsia"/>
        </w:rPr>
        <w:br w:type="page"/>
      </w:r>
    </w:p>
    <w:p w14:paraId="4BBF477C">
      <w:pPr>
        <w:pStyle w:val="3"/>
        <w:bidi w:val="0"/>
        <w:rPr>
          <w:rFonts w:hint="eastAsia"/>
        </w:rPr>
      </w:pPr>
      <w:bookmarkStart w:id="8" w:name="_Toc25598"/>
      <w:r>
        <w:rPr>
          <w:rFonts w:hint="eastAsia"/>
        </w:rPr>
        <w:t>第五章 反向竞价响应文件格式</w:t>
      </w:r>
      <w:bookmarkEnd w:id="8"/>
    </w:p>
    <w:p w14:paraId="24FA754F">
      <w:pPr>
        <w:spacing w:line="241" w:lineRule="auto"/>
        <w:rPr>
          <w:rFonts w:ascii="Times New Roman" w:hAnsi="Times New Roman"/>
          <w:color w:val="000000" w:themeColor="text1"/>
          <w:spacing w:val="0"/>
          <w:position w:val="0"/>
          <w:sz w:val="21"/>
          <w14:textFill>
            <w14:solidFill>
              <w14:schemeClr w14:val="tx1"/>
            </w14:solidFill>
          </w14:textFill>
        </w:rPr>
      </w:pPr>
    </w:p>
    <w:p w14:paraId="1523934B">
      <w:pPr>
        <w:spacing w:line="241" w:lineRule="auto"/>
        <w:rPr>
          <w:rFonts w:ascii="Times New Roman" w:hAnsi="Times New Roman"/>
          <w:color w:val="000000" w:themeColor="text1"/>
          <w:spacing w:val="0"/>
          <w:position w:val="0"/>
          <w:sz w:val="21"/>
          <w14:textFill>
            <w14:solidFill>
              <w14:schemeClr w14:val="tx1"/>
            </w14:solidFill>
          </w14:textFill>
        </w:rPr>
      </w:pPr>
    </w:p>
    <w:p w14:paraId="2B2AFD4F">
      <w:pPr>
        <w:spacing w:line="241" w:lineRule="auto"/>
        <w:rPr>
          <w:rFonts w:ascii="Times New Roman" w:hAnsi="Times New Roman"/>
          <w:color w:val="000000" w:themeColor="text1"/>
          <w:spacing w:val="0"/>
          <w:position w:val="0"/>
          <w:sz w:val="21"/>
          <w14:textFill>
            <w14:solidFill>
              <w14:schemeClr w14:val="tx1"/>
            </w14:solidFill>
          </w14:textFill>
        </w:rPr>
      </w:pPr>
    </w:p>
    <w:p w14:paraId="14168A0F">
      <w:pPr>
        <w:spacing w:line="242" w:lineRule="auto"/>
        <w:rPr>
          <w:rFonts w:ascii="Times New Roman" w:hAnsi="Times New Roman"/>
          <w:color w:val="000000" w:themeColor="text1"/>
          <w:spacing w:val="0"/>
          <w:position w:val="0"/>
          <w:sz w:val="21"/>
          <w14:textFill>
            <w14:solidFill>
              <w14:schemeClr w14:val="tx1"/>
            </w14:solidFill>
          </w14:textFill>
        </w:rPr>
      </w:pPr>
    </w:p>
    <w:p w14:paraId="449422FC">
      <w:pPr>
        <w:spacing w:line="242" w:lineRule="auto"/>
        <w:rPr>
          <w:rFonts w:ascii="Times New Roman" w:hAnsi="Times New Roman"/>
          <w:color w:val="000000" w:themeColor="text1"/>
          <w:spacing w:val="0"/>
          <w:position w:val="0"/>
          <w:sz w:val="21"/>
          <w14:textFill>
            <w14:solidFill>
              <w14:schemeClr w14:val="tx1"/>
            </w14:solidFill>
          </w14:textFill>
        </w:rPr>
      </w:pPr>
    </w:p>
    <w:p w14:paraId="4B1B5AF4">
      <w:pPr>
        <w:spacing w:line="242" w:lineRule="auto"/>
        <w:rPr>
          <w:rFonts w:ascii="Times New Roman" w:hAnsi="Times New Roman"/>
          <w:color w:val="000000" w:themeColor="text1"/>
          <w:spacing w:val="0"/>
          <w:position w:val="0"/>
          <w:sz w:val="21"/>
          <w14:textFill>
            <w14:solidFill>
              <w14:schemeClr w14:val="tx1"/>
            </w14:solidFill>
          </w14:textFill>
        </w:rPr>
      </w:pPr>
    </w:p>
    <w:p w14:paraId="3166F0FB">
      <w:pPr>
        <w:spacing w:line="242" w:lineRule="auto"/>
        <w:rPr>
          <w:rFonts w:ascii="Times New Roman" w:hAnsi="Times New Roman"/>
          <w:color w:val="000000" w:themeColor="text1"/>
          <w:spacing w:val="0"/>
          <w:position w:val="0"/>
          <w:sz w:val="21"/>
          <w14:textFill>
            <w14:solidFill>
              <w14:schemeClr w14:val="tx1"/>
            </w14:solidFill>
          </w14:textFill>
        </w:rPr>
      </w:pPr>
    </w:p>
    <w:p w14:paraId="46877BE5">
      <w:pPr>
        <w:spacing w:line="242" w:lineRule="auto"/>
        <w:rPr>
          <w:rFonts w:ascii="Times New Roman" w:hAnsi="Times New Roman"/>
          <w:color w:val="000000" w:themeColor="text1"/>
          <w:spacing w:val="0"/>
          <w:position w:val="0"/>
          <w:sz w:val="21"/>
          <w14:textFill>
            <w14:solidFill>
              <w14:schemeClr w14:val="tx1"/>
            </w14:solidFill>
          </w14:textFill>
        </w:rPr>
      </w:pPr>
    </w:p>
    <w:p w14:paraId="66A6A13D">
      <w:pPr>
        <w:spacing w:before="139" w:line="222" w:lineRule="auto"/>
        <w:ind w:left="1541"/>
        <w:rPr>
          <w:rFonts w:ascii="Times New Roman" w:hAnsi="Times New Roman" w:eastAsia="宋体" w:cs="宋体"/>
          <w:color w:val="000000" w:themeColor="text1"/>
          <w:spacing w:val="0"/>
          <w:position w:val="0"/>
          <w:sz w:val="43"/>
          <w:szCs w:val="43"/>
          <w14:textFill>
            <w14:solidFill>
              <w14:schemeClr w14:val="tx1"/>
            </w14:solidFill>
          </w14:textFill>
        </w:rPr>
      </w:pPr>
      <w:r>
        <w:rPr>
          <w:rFonts w:hint="eastAsia" w:ascii="Times New Roman" w:hAnsi="Times New Roman" w:eastAsia="宋体" w:cs="宋体"/>
          <w:color w:val="000000" w:themeColor="text1"/>
          <w:spacing w:val="0"/>
          <w:position w:val="0"/>
          <w:sz w:val="43"/>
          <w:szCs w:val="43"/>
          <w:lang w:eastAsia="zh-CN"/>
          <w14:textFill>
            <w14:solidFill>
              <w14:schemeClr w14:val="tx1"/>
            </w14:solidFill>
          </w14:textFill>
        </w:rPr>
        <w:t>反向竞价</w:t>
      </w:r>
      <w:r>
        <w:rPr>
          <w:rFonts w:ascii="Times New Roman" w:hAnsi="Times New Roman" w:eastAsia="宋体" w:cs="宋体"/>
          <w:color w:val="000000" w:themeColor="text1"/>
          <w:spacing w:val="0"/>
          <w:position w:val="0"/>
          <w:sz w:val="43"/>
          <w:szCs w:val="43"/>
          <w14:textFill>
            <w14:solidFill>
              <w14:schemeClr w14:val="tx1"/>
            </w14:solidFill>
          </w14:textFill>
        </w:rPr>
        <w:t>响应文件(封面)</w:t>
      </w:r>
    </w:p>
    <w:p w14:paraId="1F52C87E">
      <w:pPr>
        <w:spacing w:line="255" w:lineRule="auto"/>
        <w:rPr>
          <w:rFonts w:ascii="Times New Roman" w:hAnsi="Times New Roman"/>
          <w:color w:val="000000" w:themeColor="text1"/>
          <w:spacing w:val="0"/>
          <w:position w:val="0"/>
          <w:sz w:val="21"/>
          <w14:textFill>
            <w14:solidFill>
              <w14:schemeClr w14:val="tx1"/>
            </w14:solidFill>
          </w14:textFill>
        </w:rPr>
      </w:pPr>
    </w:p>
    <w:p w14:paraId="225B7C00">
      <w:pPr>
        <w:spacing w:line="255" w:lineRule="auto"/>
        <w:rPr>
          <w:rFonts w:ascii="Times New Roman" w:hAnsi="Times New Roman"/>
          <w:color w:val="000000" w:themeColor="text1"/>
          <w:spacing w:val="0"/>
          <w:position w:val="0"/>
          <w:sz w:val="21"/>
          <w14:textFill>
            <w14:solidFill>
              <w14:schemeClr w14:val="tx1"/>
            </w14:solidFill>
          </w14:textFill>
        </w:rPr>
      </w:pPr>
    </w:p>
    <w:p w14:paraId="4517D717">
      <w:pPr>
        <w:spacing w:line="255" w:lineRule="auto"/>
        <w:rPr>
          <w:rFonts w:ascii="Times New Roman" w:hAnsi="Times New Roman"/>
          <w:color w:val="000000" w:themeColor="text1"/>
          <w:spacing w:val="0"/>
          <w:position w:val="0"/>
          <w:sz w:val="21"/>
          <w14:textFill>
            <w14:solidFill>
              <w14:schemeClr w14:val="tx1"/>
            </w14:solidFill>
          </w14:textFill>
        </w:rPr>
      </w:pPr>
    </w:p>
    <w:p w14:paraId="000314AE">
      <w:pPr>
        <w:spacing w:line="256" w:lineRule="auto"/>
        <w:rPr>
          <w:rFonts w:ascii="Times New Roman" w:hAnsi="Times New Roman"/>
          <w:color w:val="000000" w:themeColor="text1"/>
          <w:spacing w:val="0"/>
          <w:position w:val="0"/>
          <w:sz w:val="21"/>
          <w14:textFill>
            <w14:solidFill>
              <w14:schemeClr w14:val="tx1"/>
            </w14:solidFill>
          </w14:textFill>
        </w:rPr>
      </w:pPr>
    </w:p>
    <w:p w14:paraId="5122D2E4">
      <w:pPr>
        <w:spacing w:before="91" w:line="220" w:lineRule="auto"/>
        <w:ind w:left="29"/>
        <w:rPr>
          <w:rFonts w:ascii="Times New Roman" w:hAnsi="Times New Roman" w:eastAsia="宋体" w:cs="宋体"/>
          <w:color w:val="000000" w:themeColor="text1"/>
          <w:spacing w:val="0"/>
          <w:position w:val="0"/>
          <w:sz w:val="28"/>
          <w:szCs w:val="28"/>
          <w14:textFill>
            <w14:solidFill>
              <w14:schemeClr w14:val="tx1"/>
            </w14:solidFill>
          </w14:textFill>
        </w:rPr>
      </w:pPr>
      <w:r>
        <w:rPr>
          <w:rFonts w:ascii="Times New Roman" w:hAnsi="Times New Roman" w:eastAsia="宋体" w:cs="宋体"/>
          <w:color w:val="000000" w:themeColor="text1"/>
          <w:spacing w:val="0"/>
          <w:position w:val="0"/>
          <w:sz w:val="28"/>
          <w:szCs w:val="28"/>
          <w14:textFill>
            <w14:solidFill>
              <w14:schemeClr w14:val="tx1"/>
            </w14:solidFill>
          </w14:textFill>
        </w:rPr>
        <w:t>项目名称：</w:t>
      </w:r>
    </w:p>
    <w:p w14:paraId="688EC385">
      <w:pPr>
        <w:spacing w:line="305" w:lineRule="auto"/>
        <w:rPr>
          <w:rFonts w:ascii="Times New Roman" w:hAnsi="Times New Roman"/>
          <w:color w:val="000000" w:themeColor="text1"/>
          <w:spacing w:val="0"/>
          <w:position w:val="0"/>
          <w:sz w:val="21"/>
          <w14:textFill>
            <w14:solidFill>
              <w14:schemeClr w14:val="tx1"/>
            </w14:solidFill>
          </w14:textFill>
        </w:rPr>
      </w:pPr>
    </w:p>
    <w:p w14:paraId="0B481691">
      <w:pPr>
        <w:spacing w:line="305" w:lineRule="auto"/>
        <w:rPr>
          <w:rFonts w:ascii="Times New Roman" w:hAnsi="Times New Roman"/>
          <w:color w:val="000000" w:themeColor="text1"/>
          <w:spacing w:val="0"/>
          <w:position w:val="0"/>
          <w:sz w:val="21"/>
          <w14:textFill>
            <w14:solidFill>
              <w14:schemeClr w14:val="tx1"/>
            </w14:solidFill>
          </w14:textFill>
        </w:rPr>
      </w:pPr>
    </w:p>
    <w:p w14:paraId="56364423">
      <w:pPr>
        <w:spacing w:line="251" w:lineRule="auto"/>
        <w:rPr>
          <w:rFonts w:ascii="Times New Roman" w:hAnsi="Times New Roman"/>
          <w:color w:val="000000" w:themeColor="text1"/>
          <w:spacing w:val="0"/>
          <w:position w:val="0"/>
          <w:sz w:val="21"/>
          <w14:textFill>
            <w14:solidFill>
              <w14:schemeClr w14:val="tx1"/>
            </w14:solidFill>
          </w14:textFill>
        </w:rPr>
      </w:pPr>
    </w:p>
    <w:p w14:paraId="2B1B4736">
      <w:pPr>
        <w:spacing w:line="252" w:lineRule="auto"/>
        <w:rPr>
          <w:rFonts w:ascii="Times New Roman" w:hAnsi="Times New Roman"/>
          <w:color w:val="000000" w:themeColor="text1"/>
          <w:spacing w:val="0"/>
          <w:position w:val="0"/>
          <w:sz w:val="21"/>
          <w14:textFill>
            <w14:solidFill>
              <w14:schemeClr w14:val="tx1"/>
            </w14:solidFill>
          </w14:textFill>
        </w:rPr>
      </w:pPr>
    </w:p>
    <w:p w14:paraId="083AAC4E">
      <w:pPr>
        <w:spacing w:before="92" w:line="219" w:lineRule="auto"/>
        <w:ind w:left="25"/>
        <w:rPr>
          <w:rFonts w:ascii="Times New Roman" w:hAnsi="Times New Roman" w:eastAsia="宋体" w:cs="宋体"/>
          <w:color w:val="000000" w:themeColor="text1"/>
          <w:spacing w:val="0"/>
          <w:position w:val="0"/>
          <w:sz w:val="28"/>
          <w:szCs w:val="28"/>
          <w14:textFill>
            <w14:solidFill>
              <w14:schemeClr w14:val="tx1"/>
            </w14:solidFill>
          </w14:textFill>
        </w:rPr>
      </w:pPr>
      <w:r>
        <w:rPr>
          <w:rFonts w:ascii="Times New Roman" w:hAnsi="Times New Roman" w:eastAsia="宋体" w:cs="宋体"/>
          <w:color w:val="000000" w:themeColor="text1"/>
          <w:spacing w:val="0"/>
          <w:position w:val="0"/>
          <w:sz w:val="28"/>
          <w:szCs w:val="28"/>
          <w14:textFill>
            <w14:solidFill>
              <w14:schemeClr w14:val="tx1"/>
            </w14:solidFill>
          </w14:textFill>
        </w:rPr>
        <w:t>供应商名称：</w:t>
      </w:r>
    </w:p>
    <w:p w14:paraId="4D4A136B">
      <w:pPr>
        <w:spacing w:line="265" w:lineRule="auto"/>
        <w:rPr>
          <w:rFonts w:ascii="Times New Roman" w:hAnsi="Times New Roman"/>
          <w:color w:val="000000" w:themeColor="text1"/>
          <w:spacing w:val="0"/>
          <w:position w:val="0"/>
          <w:sz w:val="21"/>
          <w14:textFill>
            <w14:solidFill>
              <w14:schemeClr w14:val="tx1"/>
            </w14:solidFill>
          </w14:textFill>
        </w:rPr>
      </w:pPr>
    </w:p>
    <w:p w14:paraId="16F6A96A">
      <w:pPr>
        <w:spacing w:line="265" w:lineRule="auto"/>
        <w:rPr>
          <w:rFonts w:ascii="Times New Roman" w:hAnsi="Times New Roman"/>
          <w:color w:val="000000" w:themeColor="text1"/>
          <w:spacing w:val="0"/>
          <w:position w:val="0"/>
          <w:sz w:val="21"/>
          <w14:textFill>
            <w14:solidFill>
              <w14:schemeClr w14:val="tx1"/>
            </w14:solidFill>
          </w14:textFill>
        </w:rPr>
      </w:pPr>
    </w:p>
    <w:p w14:paraId="033960CC">
      <w:pPr>
        <w:spacing w:line="265" w:lineRule="auto"/>
        <w:rPr>
          <w:rFonts w:ascii="Times New Roman" w:hAnsi="Times New Roman"/>
          <w:color w:val="000000" w:themeColor="text1"/>
          <w:spacing w:val="0"/>
          <w:position w:val="0"/>
          <w:sz w:val="21"/>
          <w14:textFill>
            <w14:solidFill>
              <w14:schemeClr w14:val="tx1"/>
            </w14:solidFill>
          </w14:textFill>
        </w:rPr>
      </w:pPr>
    </w:p>
    <w:p w14:paraId="13BAD798">
      <w:pPr>
        <w:spacing w:line="265" w:lineRule="auto"/>
        <w:rPr>
          <w:rFonts w:ascii="Times New Roman" w:hAnsi="Times New Roman"/>
          <w:color w:val="000000" w:themeColor="text1"/>
          <w:spacing w:val="0"/>
          <w:position w:val="0"/>
          <w:sz w:val="21"/>
          <w14:textFill>
            <w14:solidFill>
              <w14:schemeClr w14:val="tx1"/>
            </w14:solidFill>
          </w14:textFill>
        </w:rPr>
      </w:pPr>
    </w:p>
    <w:p w14:paraId="1DFB299D">
      <w:pPr>
        <w:spacing w:before="92" w:line="219" w:lineRule="auto"/>
        <w:ind w:left="25"/>
        <w:rPr>
          <w:rFonts w:hint="eastAsia" w:ascii="Times New Roman" w:hAnsi="Times New Roman" w:eastAsia="宋体" w:cs="宋体"/>
          <w:color w:val="000000" w:themeColor="text1"/>
          <w:spacing w:val="0"/>
          <w:position w:val="0"/>
          <w:sz w:val="28"/>
          <w:szCs w:val="28"/>
          <w:lang w:eastAsia="zh-CN"/>
          <w14:textFill>
            <w14:solidFill>
              <w14:schemeClr w14:val="tx1"/>
            </w14:solidFill>
          </w14:textFill>
        </w:rPr>
      </w:pPr>
      <w:r>
        <w:rPr>
          <w:rFonts w:hint="eastAsia" w:ascii="Times New Roman" w:hAnsi="Times New Roman" w:eastAsia="宋体" w:cs="宋体"/>
          <w:color w:val="000000" w:themeColor="text1"/>
          <w:spacing w:val="0"/>
          <w:position w:val="0"/>
          <w:sz w:val="28"/>
          <w:szCs w:val="28"/>
          <w:lang w:eastAsia="zh-CN"/>
          <w14:textFill>
            <w14:solidFill>
              <w14:schemeClr w14:val="tx1"/>
            </w14:solidFill>
          </w14:textFill>
        </w:rPr>
        <w:t>供应商联系电话：</w:t>
      </w:r>
    </w:p>
    <w:p w14:paraId="74B6D390">
      <w:pPr>
        <w:spacing w:line="266" w:lineRule="auto"/>
        <w:rPr>
          <w:rFonts w:ascii="Times New Roman" w:hAnsi="Times New Roman"/>
          <w:color w:val="000000" w:themeColor="text1"/>
          <w:spacing w:val="0"/>
          <w:position w:val="0"/>
          <w:sz w:val="21"/>
          <w14:textFill>
            <w14:solidFill>
              <w14:schemeClr w14:val="tx1"/>
            </w14:solidFill>
          </w14:textFill>
        </w:rPr>
      </w:pPr>
    </w:p>
    <w:p w14:paraId="505512F5">
      <w:pPr>
        <w:spacing w:line="266" w:lineRule="auto"/>
        <w:rPr>
          <w:rFonts w:ascii="Times New Roman" w:hAnsi="Times New Roman"/>
          <w:color w:val="000000" w:themeColor="text1"/>
          <w:spacing w:val="0"/>
          <w:position w:val="0"/>
          <w:sz w:val="21"/>
          <w14:textFill>
            <w14:solidFill>
              <w14:schemeClr w14:val="tx1"/>
            </w14:solidFill>
          </w14:textFill>
        </w:rPr>
      </w:pPr>
    </w:p>
    <w:p w14:paraId="5BF867E3">
      <w:pPr>
        <w:spacing w:line="266" w:lineRule="auto"/>
        <w:rPr>
          <w:rFonts w:ascii="Times New Roman" w:hAnsi="Times New Roman"/>
          <w:color w:val="000000" w:themeColor="text1"/>
          <w:spacing w:val="0"/>
          <w:position w:val="0"/>
          <w:sz w:val="21"/>
          <w14:textFill>
            <w14:solidFill>
              <w14:schemeClr w14:val="tx1"/>
            </w14:solidFill>
          </w14:textFill>
        </w:rPr>
      </w:pPr>
    </w:p>
    <w:p w14:paraId="1E43D75E">
      <w:pPr>
        <w:spacing w:line="266" w:lineRule="auto"/>
        <w:rPr>
          <w:rFonts w:ascii="Times New Roman" w:hAnsi="Times New Roman"/>
          <w:color w:val="000000" w:themeColor="text1"/>
          <w:spacing w:val="0"/>
          <w:position w:val="0"/>
          <w:sz w:val="21"/>
          <w14:textFill>
            <w14:solidFill>
              <w14:schemeClr w14:val="tx1"/>
            </w14:solidFill>
          </w14:textFill>
        </w:rPr>
      </w:pPr>
    </w:p>
    <w:p w14:paraId="64E260AF">
      <w:pPr>
        <w:spacing w:line="266" w:lineRule="auto"/>
        <w:rPr>
          <w:rFonts w:ascii="Times New Roman" w:hAnsi="Times New Roman"/>
          <w:color w:val="000000" w:themeColor="text1"/>
          <w:spacing w:val="0"/>
          <w:position w:val="0"/>
          <w:sz w:val="21"/>
          <w14:textFill>
            <w14:solidFill>
              <w14:schemeClr w14:val="tx1"/>
            </w14:solidFill>
          </w14:textFill>
        </w:rPr>
      </w:pPr>
    </w:p>
    <w:p w14:paraId="7BF42F43">
      <w:pPr>
        <w:spacing w:line="266" w:lineRule="auto"/>
        <w:rPr>
          <w:rFonts w:hint="default" w:ascii="Times New Roman" w:hAnsi="Times New Roman" w:eastAsia="宋体"/>
          <w:color w:val="000000" w:themeColor="text1"/>
          <w:spacing w:val="0"/>
          <w:position w:val="0"/>
          <w:sz w:val="21"/>
          <w:lang w:val="en-US" w:eastAsia="zh-CN"/>
          <w14:textFill>
            <w14:solidFill>
              <w14:schemeClr w14:val="tx1"/>
            </w14:solidFill>
          </w14:textFill>
        </w:rPr>
      </w:pPr>
      <w:r>
        <w:rPr>
          <w:rFonts w:hint="eastAsia" w:ascii="Times New Roman" w:hAnsi="Times New Roman" w:eastAsia="宋体"/>
          <w:color w:val="000000" w:themeColor="text1"/>
          <w:spacing w:val="0"/>
          <w:position w:val="0"/>
          <w:sz w:val="21"/>
          <w:lang w:val="en-US" w:eastAsia="zh-CN"/>
          <w14:textFill>
            <w14:solidFill>
              <w14:schemeClr w14:val="tx1"/>
            </w14:solidFill>
          </w14:textFill>
        </w:rPr>
        <w:t xml:space="preserve">                                                       </w:t>
      </w:r>
      <w:r>
        <w:rPr>
          <w:rFonts w:hint="eastAsia" w:ascii="Times New Roman" w:hAnsi="Times New Roman" w:eastAsia="宋体" w:cs="宋体"/>
          <w:color w:val="000000" w:themeColor="text1"/>
          <w:spacing w:val="0"/>
          <w:position w:val="0"/>
          <w:sz w:val="28"/>
          <w:szCs w:val="28"/>
          <w:lang w:val="en-US" w:eastAsia="zh-CN"/>
          <w14:textFill>
            <w14:solidFill>
              <w14:schemeClr w14:val="tx1"/>
            </w14:solidFill>
          </w14:textFill>
        </w:rPr>
        <w:t>（供应商公章）</w:t>
      </w:r>
    </w:p>
    <w:p w14:paraId="74BACA03">
      <w:pPr>
        <w:rPr>
          <w:rFonts w:hint="eastAsia"/>
        </w:rPr>
      </w:pPr>
    </w:p>
    <w:p w14:paraId="68DAEB72">
      <w:pPr>
        <w:rPr>
          <w:rFonts w:hint="eastAsia"/>
        </w:rPr>
      </w:pPr>
    </w:p>
    <w:p w14:paraId="18CDE2BF">
      <w:pPr>
        <w:jc w:val="center"/>
        <w:rPr>
          <w:rFonts w:hint="eastAsia"/>
          <w:sz w:val="48"/>
          <w:szCs w:val="48"/>
        </w:rPr>
      </w:pPr>
      <w:r>
        <w:rPr>
          <w:rFonts w:hint="eastAsia"/>
          <w:sz w:val="48"/>
          <w:szCs w:val="48"/>
        </w:rPr>
        <w:t>目  录</w:t>
      </w:r>
    </w:p>
    <w:p w14:paraId="7EE342D8">
      <w:pPr>
        <w:rPr>
          <w:rFonts w:hint="eastAsia"/>
        </w:rPr>
      </w:pPr>
    </w:p>
    <w:p w14:paraId="6CCA8C78">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1.营业执照和法定代表人身份证复印件</w:t>
      </w:r>
    </w:p>
    <w:p w14:paraId="515EC2AE">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2.供应商依法缴纳税收的相关材料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近半年连续</w:t>
      </w:r>
      <w:r>
        <w:rPr>
          <w:rFonts w:hint="eastAsia" w:ascii="仿宋_GB2312" w:hAnsi="仿宋_GB2312" w:eastAsia="仿宋_GB2312" w:cs="仿宋_GB2312"/>
          <w:sz w:val="32"/>
          <w:szCs w:val="32"/>
          <w:u w:val="single"/>
        </w:rPr>
        <w:t xml:space="preserve"> 三 </w:t>
      </w:r>
      <w:r>
        <w:rPr>
          <w:rFonts w:hint="eastAsia" w:ascii="仿宋_GB2312" w:hAnsi="仿宋_GB2312" w:eastAsia="仿宋_GB2312" w:cs="仿宋_GB2312"/>
          <w:sz w:val="32"/>
          <w:szCs w:val="32"/>
        </w:rPr>
        <w:t>个月的依法缴 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仿宋_GB2312" w:hAnsi="仿宋_GB2312" w:eastAsia="仿宋_GB2312" w:cs="仿宋_GB2312"/>
          <w:sz w:val="32"/>
          <w:szCs w:val="32"/>
          <w:lang w:eastAsia="zh-CN"/>
        </w:rPr>
        <w:t>）</w:t>
      </w:r>
    </w:p>
    <w:p w14:paraId="292CA793">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3.供应商依法缴纳社会保障资金的相关材料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近半年连续</w:t>
      </w:r>
      <w:r>
        <w:rPr>
          <w:rFonts w:hint="eastAsia" w:ascii="仿宋_GB2312" w:hAnsi="仿宋_GB2312" w:eastAsia="仿宋_GB2312" w:cs="仿宋_GB2312"/>
          <w:sz w:val="32"/>
          <w:szCs w:val="32"/>
          <w:u w:val="single"/>
        </w:rPr>
        <w:t xml:space="preserve"> 三 </w:t>
      </w:r>
      <w:r>
        <w:rPr>
          <w:rFonts w:hint="eastAsia" w:ascii="仿宋_GB2312" w:hAnsi="仿宋_GB2312" w:eastAsia="仿宋_GB2312" w:cs="仿宋_GB2312"/>
          <w:sz w:val="32"/>
          <w:szCs w:val="32"/>
        </w:rPr>
        <w:t>个月的依法缴纳社会保障资金的缴费凭证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仿宋_GB2312" w:hAnsi="仿宋_GB2312" w:eastAsia="仿宋_GB2312" w:cs="仿宋_GB2312"/>
          <w:sz w:val="32"/>
          <w:szCs w:val="32"/>
          <w:lang w:eastAsia="zh-CN"/>
        </w:rPr>
        <w:t>）</w:t>
      </w:r>
    </w:p>
    <w:p w14:paraId="4274669C">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4.2025年供应商财务状况报告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如未完成2025年财务状况报告则提供2024年的财务状况报告；供应商成立不满一年的应按提供首次响应文件提交截止时间上一个月的财务状况报告复印件。</w:t>
      </w:r>
      <w:r>
        <w:rPr>
          <w:rFonts w:hint="eastAsia" w:ascii="仿宋_GB2312" w:hAnsi="仿宋_GB2312" w:eastAsia="仿宋_GB2312" w:cs="仿宋_GB2312"/>
          <w:sz w:val="32"/>
          <w:szCs w:val="32"/>
          <w:lang w:eastAsia="zh-CN"/>
        </w:rPr>
        <w:t>）</w:t>
      </w:r>
    </w:p>
    <w:p w14:paraId="2F3D3C79">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5.响应报价表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表中响应技术参数必须如实填写完整，填写有缺漏的，其响应文件按无效响应处理。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格式详见附件1</w:t>
      </w:r>
      <w:r>
        <w:rPr>
          <w:rFonts w:hint="eastAsia" w:ascii="仿宋_GB2312" w:hAnsi="仿宋_GB2312" w:eastAsia="仿宋_GB2312" w:cs="仿宋_GB2312"/>
          <w:sz w:val="32"/>
          <w:szCs w:val="32"/>
          <w:lang w:eastAsia="zh-CN"/>
        </w:rPr>
        <w:t>））</w:t>
      </w:r>
    </w:p>
    <w:p w14:paraId="3431DD74">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6.采购需求</w:t>
      </w:r>
      <w:r>
        <w:rPr>
          <w:rFonts w:hint="eastAsia" w:ascii="仿宋_GB2312" w:hAnsi="仿宋_GB2312" w:eastAsia="仿宋_GB2312" w:cs="仿宋_GB2312"/>
          <w:sz w:val="32"/>
          <w:szCs w:val="32"/>
          <w:lang w:val="en-US" w:eastAsia="zh-CN"/>
        </w:rPr>
        <w:t>偏离</w:t>
      </w: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格式详见附件2</w:t>
      </w:r>
      <w:r>
        <w:rPr>
          <w:rFonts w:hint="eastAsia" w:ascii="仿宋_GB2312" w:hAnsi="仿宋_GB2312" w:eastAsia="仿宋_GB2312" w:cs="仿宋_GB2312"/>
          <w:sz w:val="32"/>
          <w:szCs w:val="32"/>
          <w:lang w:eastAsia="zh-CN"/>
        </w:rPr>
        <w:t>）</w:t>
      </w:r>
    </w:p>
    <w:p w14:paraId="31DE40A3">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7.商务要求响应表。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格式详见附件3</w:t>
      </w:r>
      <w:r>
        <w:rPr>
          <w:rFonts w:hint="eastAsia" w:ascii="仿宋_GB2312" w:hAnsi="仿宋_GB2312" w:eastAsia="仿宋_GB2312" w:cs="仿宋_GB2312"/>
          <w:sz w:val="32"/>
          <w:szCs w:val="32"/>
          <w:lang w:eastAsia="zh-CN"/>
        </w:rPr>
        <w:t>）</w:t>
      </w:r>
    </w:p>
    <w:p w14:paraId="53ECEC2D">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8.法定代表人授权书。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格式详见附件4</w:t>
      </w:r>
      <w:r>
        <w:rPr>
          <w:rFonts w:hint="eastAsia" w:ascii="仿宋_GB2312" w:hAnsi="仿宋_GB2312" w:eastAsia="仿宋_GB2312" w:cs="仿宋_GB2312"/>
          <w:sz w:val="32"/>
          <w:szCs w:val="32"/>
          <w:lang w:eastAsia="zh-CN"/>
        </w:rPr>
        <w:t>）</w:t>
      </w:r>
    </w:p>
    <w:p w14:paraId="670B750C">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9.信用声明函。（格式详见附件5）</w:t>
      </w:r>
    </w:p>
    <w:p w14:paraId="21EC00E4">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10.触控一体机的原厂授权书、节能认证证书、产品3C认证证书；推拉黑板的原厂授权书。</w:t>
      </w:r>
    </w:p>
    <w:p w14:paraId="13AAC099">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rPr>
      </w:pPr>
      <w:r>
        <w:rPr>
          <w:rFonts w:hint="eastAsia" w:ascii="仿宋_GB2312" w:hAnsi="仿宋_GB2312" w:eastAsia="仿宋_GB2312" w:cs="仿宋_GB2312"/>
          <w:sz w:val="32"/>
          <w:szCs w:val="32"/>
        </w:rPr>
        <w:t>11.产品质量承诺书。（格式自拟，承诺内容包括但不限于所供产品符合产品质量、售后服务等）</w:t>
      </w:r>
      <w:r>
        <w:rPr>
          <w:rFonts w:hint="eastAsia"/>
        </w:rPr>
        <w:br w:type="page"/>
      </w:r>
    </w:p>
    <w:p w14:paraId="24C74C92">
      <w:pPr>
        <w:pStyle w:val="5"/>
        <w:bidi w:val="0"/>
        <w:outlineLvl w:val="0"/>
        <w:rPr>
          <w:rFonts w:hint="eastAsia" w:ascii="仿宋_GB2312" w:hAnsi="仿宋_GB2312" w:eastAsia="仿宋_GB2312" w:cs="仿宋_GB2312"/>
          <w:b w:val="0"/>
          <w:bCs/>
        </w:rPr>
      </w:pPr>
      <w:bookmarkStart w:id="9" w:name="_Toc14361"/>
      <w:bookmarkStart w:id="10" w:name="_Toc15743"/>
      <w:r>
        <w:rPr>
          <w:rFonts w:hint="eastAsia" w:ascii="仿宋_GB2312" w:hAnsi="仿宋_GB2312" w:eastAsia="仿宋_GB2312" w:cs="仿宋_GB2312"/>
          <w:b w:val="0"/>
          <w:bCs/>
        </w:rPr>
        <w:t>附件1</w:t>
      </w:r>
      <w:bookmarkEnd w:id="9"/>
      <w:bookmarkEnd w:id="10"/>
    </w:p>
    <w:p w14:paraId="3B71865C">
      <w:pPr>
        <w:spacing w:before="139" w:line="222" w:lineRule="auto"/>
        <w:ind w:left="3844"/>
        <w:rPr>
          <w:rFonts w:ascii="Times New Roman" w:hAnsi="Times New Roman" w:eastAsia="宋体" w:cs="宋体"/>
          <w:color w:val="000000" w:themeColor="text1"/>
          <w:spacing w:val="0"/>
          <w:position w:val="0"/>
          <w:sz w:val="43"/>
          <w:szCs w:val="43"/>
          <w14:textFill>
            <w14:solidFill>
              <w14:schemeClr w14:val="tx1"/>
            </w14:solidFill>
          </w14:textFill>
        </w:rPr>
      </w:pPr>
      <w:r>
        <w:rPr>
          <w:rFonts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t>响应报价表</w:t>
      </w:r>
    </w:p>
    <w:p w14:paraId="259B5670">
      <w:pPr>
        <w:spacing w:line="360" w:lineRule="exact"/>
        <w:rPr>
          <w:rStyle w:val="13"/>
          <w:rFonts w:hint="eastAsia" w:ascii="Times New Roman" w:hAnsi="Times New Roman" w:eastAsia="宋体" w:cs="宋体"/>
          <w:color w:val="000000" w:themeColor="text1"/>
          <w:spacing w:val="0"/>
          <w:position w:val="0"/>
          <w:sz w:val="24"/>
          <w:szCs w:val="24"/>
          <w:highlight w:val="none"/>
          <w14:textFill>
            <w14:solidFill>
              <w14:schemeClr w14:val="tx1"/>
            </w14:solidFill>
          </w14:textFill>
        </w:rPr>
      </w:pPr>
      <w:bookmarkStart w:id="11" w:name="_bookmark7"/>
      <w:bookmarkEnd w:id="11"/>
    </w:p>
    <w:p w14:paraId="6DA9BC9A">
      <w:pPr>
        <w:spacing w:line="360" w:lineRule="exact"/>
        <w:rPr>
          <w:rFonts w:ascii="Times New Roman" w:hAnsi="Times New Roman"/>
          <w:color w:val="000000" w:themeColor="text1"/>
          <w:spacing w:val="0"/>
          <w:position w:val="0"/>
          <w14:textFill>
            <w14:solidFill>
              <w14:schemeClr w14:val="tx1"/>
            </w14:solidFill>
          </w14:textFill>
        </w:rPr>
      </w:pPr>
      <w:r>
        <w:rPr>
          <w:rStyle w:val="13"/>
          <w:rFonts w:hint="eastAsia" w:ascii="Times New Roman" w:hAnsi="Times New Roman" w:eastAsia="宋体" w:cs="宋体"/>
          <w:color w:val="000000" w:themeColor="text1"/>
          <w:spacing w:val="0"/>
          <w:position w:val="0"/>
          <w:sz w:val="24"/>
          <w:szCs w:val="24"/>
          <w:highlight w:val="none"/>
          <w14:textFill>
            <w14:solidFill>
              <w14:schemeClr w14:val="tx1"/>
            </w14:solidFill>
          </w14:textFill>
        </w:rPr>
        <w:t>采购项目名称：</w:t>
      </w:r>
      <w:r>
        <w:rPr>
          <w:rStyle w:val="13"/>
          <w:rFonts w:hint="eastAsia" w:ascii="Times New Roman" w:hAnsi="Times New Roman" w:eastAsia="宋体" w:cs="宋体"/>
          <w:color w:val="000000" w:themeColor="text1"/>
          <w:spacing w:val="0"/>
          <w:position w:val="0"/>
          <w:sz w:val="24"/>
          <w:szCs w:val="24"/>
          <w:highlight w:val="none"/>
          <w:lang w:val="en-US" w:eastAsia="zh-CN"/>
          <w14:textFill>
            <w14:solidFill>
              <w14:schemeClr w14:val="tx1"/>
            </w14:solidFill>
          </w14:textFill>
        </w:rPr>
        <w:t xml:space="preserve">_________                              </w:t>
      </w:r>
      <w:r>
        <w:rPr>
          <w:rStyle w:val="13"/>
          <w:rFonts w:hint="eastAsia" w:ascii="Times New Roman" w:hAnsi="Times New Roman" w:eastAsia="宋体" w:cs="宋体"/>
          <w:color w:val="000000" w:themeColor="text1"/>
          <w:spacing w:val="0"/>
          <w:position w:val="0"/>
          <w:sz w:val="24"/>
          <w:szCs w:val="24"/>
          <w:highlight w:val="none"/>
          <w14:textFill>
            <w14:solidFill>
              <w14:schemeClr w14:val="tx1"/>
            </w14:solidFill>
          </w14:textFill>
        </w:rPr>
        <w:t xml:space="preserve">金额单位：人民币（元）  </w:t>
      </w:r>
    </w:p>
    <w:tbl>
      <w:tblPr>
        <w:tblStyle w:val="8"/>
        <w:tblW w:w="11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286"/>
        <w:gridCol w:w="1955"/>
        <w:gridCol w:w="1842"/>
        <w:gridCol w:w="1633"/>
        <w:gridCol w:w="1269"/>
        <w:gridCol w:w="1528"/>
        <w:gridCol w:w="815"/>
      </w:tblGrid>
      <w:tr w14:paraId="43D8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35E0177F">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序号</w:t>
            </w:r>
          </w:p>
        </w:tc>
        <w:tc>
          <w:tcPr>
            <w:tcW w:w="1286" w:type="dxa"/>
            <w:tcBorders>
              <w:top w:val="single" w:color="auto" w:sz="4" w:space="0"/>
              <w:left w:val="single" w:color="auto" w:sz="4" w:space="0"/>
              <w:bottom w:val="single" w:color="auto" w:sz="4" w:space="0"/>
              <w:right w:val="single" w:color="auto" w:sz="4" w:space="0"/>
            </w:tcBorders>
            <w:vAlign w:val="center"/>
          </w:tcPr>
          <w:p w14:paraId="31CE4D34">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货物</w:t>
            </w:r>
            <w:r>
              <w:rPr>
                <w:rFonts w:hint="eastAsia" w:ascii="Times New Roman" w:hAnsi="Times New Roman" w:eastAsia="宋体" w:cs="宋体"/>
                <w:color w:val="000000" w:themeColor="text1"/>
                <w:spacing w:val="0"/>
                <w:position w:val="0"/>
                <w:sz w:val="24"/>
                <w:szCs w:val="24"/>
                <w14:textFill>
                  <w14:solidFill>
                    <w14:schemeClr w14:val="tx1"/>
                  </w14:solidFill>
                </w14:textFill>
              </w:rPr>
              <w:t>名称</w:t>
            </w:r>
          </w:p>
        </w:tc>
        <w:tc>
          <w:tcPr>
            <w:tcW w:w="1955" w:type="dxa"/>
            <w:tcBorders>
              <w:top w:val="single" w:color="auto" w:sz="4" w:space="0"/>
              <w:left w:val="single" w:color="auto" w:sz="4" w:space="0"/>
              <w:bottom w:val="single" w:color="auto" w:sz="4" w:space="0"/>
              <w:right w:val="single" w:color="auto" w:sz="4" w:space="0"/>
            </w:tcBorders>
            <w:vAlign w:val="center"/>
          </w:tcPr>
          <w:p w14:paraId="058C4E4E">
            <w:pPr>
              <w:jc w:val="cente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技术参数及性能(配置)要求</w:t>
            </w:r>
          </w:p>
        </w:tc>
        <w:tc>
          <w:tcPr>
            <w:tcW w:w="1842" w:type="dxa"/>
            <w:tcBorders>
              <w:top w:val="single" w:color="auto" w:sz="4" w:space="0"/>
              <w:left w:val="single" w:color="auto" w:sz="4" w:space="0"/>
              <w:bottom w:val="single" w:color="auto" w:sz="4" w:space="0"/>
              <w:right w:val="single" w:color="auto" w:sz="4" w:space="0"/>
            </w:tcBorders>
            <w:vAlign w:val="center"/>
          </w:tcPr>
          <w:p w14:paraId="32DAF4F2">
            <w:pPr>
              <w:jc w:val="cente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品牌</w:t>
            </w:r>
          </w:p>
        </w:tc>
        <w:tc>
          <w:tcPr>
            <w:tcW w:w="1633" w:type="dxa"/>
            <w:tcBorders>
              <w:top w:val="single" w:color="auto" w:sz="4" w:space="0"/>
              <w:left w:val="single" w:color="auto" w:sz="4" w:space="0"/>
              <w:bottom w:val="single" w:color="auto" w:sz="4" w:space="0"/>
              <w:right w:val="single" w:color="auto" w:sz="4" w:space="0"/>
            </w:tcBorders>
            <w:vAlign w:val="center"/>
          </w:tcPr>
          <w:p w14:paraId="1715BE11">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数量①</w:t>
            </w:r>
          </w:p>
        </w:tc>
        <w:tc>
          <w:tcPr>
            <w:tcW w:w="1269" w:type="dxa"/>
            <w:tcBorders>
              <w:top w:val="single" w:color="auto" w:sz="4" w:space="0"/>
              <w:left w:val="single" w:color="auto" w:sz="4" w:space="0"/>
              <w:bottom w:val="single" w:color="auto" w:sz="4" w:space="0"/>
              <w:right w:val="single" w:color="auto" w:sz="4" w:space="0"/>
            </w:tcBorders>
            <w:vAlign w:val="center"/>
          </w:tcPr>
          <w:p w14:paraId="563FCB80">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单价②</w:t>
            </w:r>
          </w:p>
        </w:tc>
        <w:tc>
          <w:tcPr>
            <w:tcW w:w="1528" w:type="dxa"/>
            <w:tcBorders>
              <w:top w:val="single" w:color="auto" w:sz="4" w:space="0"/>
              <w:left w:val="single" w:color="auto" w:sz="4" w:space="0"/>
              <w:bottom w:val="single" w:color="auto" w:sz="4" w:space="0"/>
              <w:right w:val="single" w:color="auto" w:sz="4" w:space="0"/>
            </w:tcBorders>
            <w:vAlign w:val="center"/>
          </w:tcPr>
          <w:p w14:paraId="09CAB0A1">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单项</w:t>
            </w: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合计</w:t>
            </w:r>
          </w:p>
          <w:p w14:paraId="36ABBF6E">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③＝①×②</w:t>
            </w:r>
          </w:p>
        </w:tc>
        <w:tc>
          <w:tcPr>
            <w:tcW w:w="815" w:type="dxa"/>
            <w:tcBorders>
              <w:top w:val="single" w:color="auto" w:sz="4" w:space="0"/>
              <w:left w:val="single" w:color="auto" w:sz="4" w:space="0"/>
              <w:bottom w:val="single" w:color="auto" w:sz="4" w:space="0"/>
              <w:right w:val="single" w:color="auto" w:sz="4" w:space="0"/>
            </w:tcBorders>
            <w:vAlign w:val="center"/>
          </w:tcPr>
          <w:p w14:paraId="65730A1A">
            <w:pPr>
              <w:jc w:val="cente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备注</w:t>
            </w:r>
          </w:p>
        </w:tc>
      </w:tr>
      <w:tr w14:paraId="0868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39F23CC5">
            <w:pP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1</w:t>
            </w:r>
          </w:p>
        </w:tc>
        <w:tc>
          <w:tcPr>
            <w:tcW w:w="1286" w:type="dxa"/>
            <w:tcBorders>
              <w:top w:val="single" w:color="auto" w:sz="4" w:space="0"/>
              <w:left w:val="single" w:color="auto" w:sz="4" w:space="0"/>
              <w:bottom w:val="single" w:color="auto" w:sz="4" w:space="0"/>
              <w:right w:val="single" w:color="auto" w:sz="4" w:space="0"/>
            </w:tcBorders>
            <w:vAlign w:val="center"/>
          </w:tcPr>
          <w:p w14:paraId="7BEDA241">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955" w:type="dxa"/>
            <w:tcBorders>
              <w:top w:val="single" w:color="auto" w:sz="4" w:space="0"/>
              <w:left w:val="single" w:color="auto" w:sz="4" w:space="0"/>
              <w:bottom w:val="single" w:color="auto" w:sz="4" w:space="0"/>
              <w:right w:val="single" w:color="auto" w:sz="4" w:space="0"/>
            </w:tcBorders>
            <w:vAlign w:val="center"/>
          </w:tcPr>
          <w:p w14:paraId="3A283DE0">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vAlign w:val="center"/>
          </w:tcPr>
          <w:p w14:paraId="49052805">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633" w:type="dxa"/>
            <w:tcBorders>
              <w:top w:val="single" w:color="auto" w:sz="4" w:space="0"/>
              <w:left w:val="single" w:color="auto" w:sz="4" w:space="0"/>
              <w:bottom w:val="single" w:color="auto" w:sz="4" w:space="0"/>
              <w:right w:val="single" w:color="auto" w:sz="4" w:space="0"/>
            </w:tcBorders>
            <w:vAlign w:val="center"/>
          </w:tcPr>
          <w:p w14:paraId="59B18286">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269" w:type="dxa"/>
            <w:tcBorders>
              <w:top w:val="single" w:color="auto" w:sz="4" w:space="0"/>
              <w:left w:val="single" w:color="auto" w:sz="4" w:space="0"/>
              <w:bottom w:val="single" w:color="auto" w:sz="4" w:space="0"/>
              <w:right w:val="single" w:color="auto" w:sz="4" w:space="0"/>
            </w:tcBorders>
            <w:vAlign w:val="center"/>
          </w:tcPr>
          <w:p w14:paraId="39CC3046">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528" w:type="dxa"/>
            <w:tcBorders>
              <w:top w:val="single" w:color="auto" w:sz="4" w:space="0"/>
              <w:left w:val="single" w:color="auto" w:sz="4" w:space="0"/>
              <w:bottom w:val="single" w:color="auto" w:sz="4" w:space="0"/>
              <w:right w:val="single" w:color="auto" w:sz="4" w:space="0"/>
            </w:tcBorders>
            <w:vAlign w:val="center"/>
          </w:tcPr>
          <w:p w14:paraId="7D684DF5">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815" w:type="dxa"/>
            <w:tcBorders>
              <w:top w:val="single" w:color="auto" w:sz="4" w:space="0"/>
              <w:left w:val="single" w:color="auto" w:sz="4" w:space="0"/>
              <w:bottom w:val="single" w:color="auto" w:sz="4" w:space="0"/>
              <w:right w:val="single" w:color="auto" w:sz="4" w:space="0"/>
            </w:tcBorders>
            <w:vAlign w:val="center"/>
          </w:tcPr>
          <w:p w14:paraId="5259977D">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r>
      <w:tr w14:paraId="7C7A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73957117">
            <w:pP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2</w:t>
            </w:r>
          </w:p>
        </w:tc>
        <w:tc>
          <w:tcPr>
            <w:tcW w:w="1286" w:type="dxa"/>
            <w:tcBorders>
              <w:top w:val="single" w:color="auto" w:sz="4" w:space="0"/>
              <w:left w:val="single" w:color="auto" w:sz="4" w:space="0"/>
              <w:bottom w:val="single" w:color="auto" w:sz="4" w:space="0"/>
              <w:right w:val="single" w:color="auto" w:sz="4" w:space="0"/>
            </w:tcBorders>
            <w:vAlign w:val="center"/>
          </w:tcPr>
          <w:p w14:paraId="2E92FBF0">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955" w:type="dxa"/>
            <w:tcBorders>
              <w:top w:val="single" w:color="auto" w:sz="4" w:space="0"/>
              <w:left w:val="single" w:color="auto" w:sz="4" w:space="0"/>
              <w:bottom w:val="single" w:color="auto" w:sz="4" w:space="0"/>
              <w:right w:val="single" w:color="auto" w:sz="4" w:space="0"/>
            </w:tcBorders>
            <w:vAlign w:val="center"/>
          </w:tcPr>
          <w:p w14:paraId="48260815">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vAlign w:val="center"/>
          </w:tcPr>
          <w:p w14:paraId="02DDD104">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633" w:type="dxa"/>
            <w:tcBorders>
              <w:top w:val="single" w:color="auto" w:sz="4" w:space="0"/>
              <w:left w:val="single" w:color="auto" w:sz="4" w:space="0"/>
              <w:bottom w:val="single" w:color="auto" w:sz="4" w:space="0"/>
              <w:right w:val="single" w:color="auto" w:sz="4" w:space="0"/>
            </w:tcBorders>
            <w:vAlign w:val="center"/>
          </w:tcPr>
          <w:p w14:paraId="252DF017">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269" w:type="dxa"/>
            <w:tcBorders>
              <w:top w:val="single" w:color="auto" w:sz="4" w:space="0"/>
              <w:left w:val="single" w:color="auto" w:sz="4" w:space="0"/>
              <w:bottom w:val="single" w:color="auto" w:sz="4" w:space="0"/>
              <w:right w:val="single" w:color="auto" w:sz="4" w:space="0"/>
            </w:tcBorders>
            <w:vAlign w:val="center"/>
          </w:tcPr>
          <w:p w14:paraId="1089EB79">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528" w:type="dxa"/>
            <w:tcBorders>
              <w:top w:val="single" w:color="auto" w:sz="4" w:space="0"/>
              <w:left w:val="single" w:color="auto" w:sz="4" w:space="0"/>
              <w:bottom w:val="single" w:color="auto" w:sz="4" w:space="0"/>
              <w:right w:val="single" w:color="auto" w:sz="4" w:space="0"/>
            </w:tcBorders>
            <w:vAlign w:val="center"/>
          </w:tcPr>
          <w:p w14:paraId="084D2B27">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815" w:type="dxa"/>
            <w:tcBorders>
              <w:top w:val="single" w:color="auto" w:sz="4" w:space="0"/>
              <w:left w:val="single" w:color="auto" w:sz="4" w:space="0"/>
              <w:bottom w:val="single" w:color="auto" w:sz="4" w:space="0"/>
              <w:right w:val="single" w:color="auto" w:sz="4" w:space="0"/>
            </w:tcBorders>
            <w:vAlign w:val="center"/>
          </w:tcPr>
          <w:p w14:paraId="025EA921">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r>
      <w:tr w14:paraId="1405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0C0887BD">
            <w:pP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w:t>
            </w:r>
          </w:p>
        </w:tc>
        <w:tc>
          <w:tcPr>
            <w:tcW w:w="1286" w:type="dxa"/>
            <w:tcBorders>
              <w:top w:val="single" w:color="auto" w:sz="4" w:space="0"/>
              <w:left w:val="single" w:color="auto" w:sz="4" w:space="0"/>
              <w:bottom w:val="single" w:color="auto" w:sz="4" w:space="0"/>
              <w:right w:val="single" w:color="auto" w:sz="4" w:space="0"/>
            </w:tcBorders>
            <w:vAlign w:val="center"/>
          </w:tcPr>
          <w:p w14:paraId="14E1D645">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955" w:type="dxa"/>
            <w:tcBorders>
              <w:top w:val="single" w:color="auto" w:sz="4" w:space="0"/>
              <w:left w:val="single" w:color="auto" w:sz="4" w:space="0"/>
              <w:bottom w:val="single" w:color="auto" w:sz="4" w:space="0"/>
              <w:right w:val="single" w:color="auto" w:sz="4" w:space="0"/>
            </w:tcBorders>
            <w:vAlign w:val="center"/>
          </w:tcPr>
          <w:p w14:paraId="01B6EDC2">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vAlign w:val="center"/>
          </w:tcPr>
          <w:p w14:paraId="470EA096">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633" w:type="dxa"/>
            <w:tcBorders>
              <w:top w:val="single" w:color="auto" w:sz="4" w:space="0"/>
              <w:left w:val="single" w:color="auto" w:sz="4" w:space="0"/>
              <w:bottom w:val="single" w:color="auto" w:sz="4" w:space="0"/>
              <w:right w:val="single" w:color="auto" w:sz="4" w:space="0"/>
            </w:tcBorders>
            <w:vAlign w:val="center"/>
          </w:tcPr>
          <w:p w14:paraId="5373407A">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269" w:type="dxa"/>
            <w:tcBorders>
              <w:top w:val="single" w:color="auto" w:sz="4" w:space="0"/>
              <w:left w:val="single" w:color="auto" w:sz="4" w:space="0"/>
              <w:bottom w:val="single" w:color="auto" w:sz="4" w:space="0"/>
              <w:right w:val="single" w:color="auto" w:sz="4" w:space="0"/>
            </w:tcBorders>
            <w:vAlign w:val="center"/>
          </w:tcPr>
          <w:p w14:paraId="2FCAD7A0">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1528" w:type="dxa"/>
            <w:tcBorders>
              <w:top w:val="single" w:color="auto" w:sz="4" w:space="0"/>
              <w:left w:val="single" w:color="auto" w:sz="4" w:space="0"/>
              <w:bottom w:val="single" w:color="auto" w:sz="4" w:space="0"/>
              <w:right w:val="single" w:color="auto" w:sz="4" w:space="0"/>
            </w:tcBorders>
            <w:vAlign w:val="center"/>
          </w:tcPr>
          <w:p w14:paraId="793BDC6F">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c>
          <w:tcPr>
            <w:tcW w:w="815" w:type="dxa"/>
            <w:tcBorders>
              <w:top w:val="single" w:color="auto" w:sz="4" w:space="0"/>
              <w:left w:val="single" w:color="auto" w:sz="4" w:space="0"/>
              <w:bottom w:val="single" w:color="auto" w:sz="4" w:space="0"/>
              <w:right w:val="single" w:color="auto" w:sz="4" w:space="0"/>
            </w:tcBorders>
            <w:vAlign w:val="center"/>
          </w:tcPr>
          <w:p w14:paraId="66639117">
            <w:pPr>
              <w:rPr>
                <w:rFonts w:hint="eastAsia" w:ascii="Times New Roman" w:hAnsi="Times New Roman" w:eastAsia="宋体" w:cs="宋体"/>
                <w:color w:val="000000" w:themeColor="text1"/>
                <w:spacing w:val="0"/>
                <w:position w:val="0"/>
                <w:sz w:val="24"/>
                <w:szCs w:val="24"/>
                <w14:textFill>
                  <w14:solidFill>
                    <w14:schemeClr w14:val="tx1"/>
                  </w14:solidFill>
                </w14:textFill>
              </w:rPr>
            </w:pPr>
          </w:p>
        </w:tc>
      </w:tr>
      <w:tr w14:paraId="6FD6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11270" w:type="dxa"/>
            <w:gridSpan w:val="8"/>
            <w:tcBorders>
              <w:top w:val="single" w:color="auto" w:sz="4" w:space="0"/>
              <w:left w:val="single" w:color="auto" w:sz="4" w:space="0"/>
              <w:bottom w:val="single" w:color="auto" w:sz="4" w:space="0"/>
              <w:right w:val="single" w:color="auto" w:sz="4" w:space="0"/>
            </w:tcBorders>
            <w:vAlign w:val="center"/>
          </w:tcPr>
          <w:p w14:paraId="534ACA8A">
            <w:pPr>
              <w:jc w:val="left"/>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报价合计（包含税费等所有费用）：（大写）人民币            （￥          元）</w:t>
            </w:r>
          </w:p>
        </w:tc>
      </w:tr>
      <w:tr w14:paraId="2CA4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11270" w:type="dxa"/>
            <w:gridSpan w:val="8"/>
            <w:tcBorders>
              <w:top w:val="single" w:color="auto" w:sz="4" w:space="0"/>
              <w:left w:val="single" w:color="auto" w:sz="4" w:space="0"/>
              <w:bottom w:val="single" w:color="auto" w:sz="4" w:space="0"/>
              <w:right w:val="single" w:color="auto" w:sz="4" w:space="0"/>
            </w:tcBorders>
            <w:vAlign w:val="center"/>
          </w:tcPr>
          <w:p w14:paraId="601BC96A">
            <w:pP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投</w:t>
            </w:r>
            <w:r>
              <w:rPr>
                <w:rFonts w:hint="eastAsia" w:ascii="Times New Roman" w:hAnsi="Times New Roman" w:eastAsia="宋体" w:cs="宋体"/>
                <w:color w:val="000000" w:themeColor="text1"/>
                <w:spacing w:val="0"/>
                <w:position w:val="0"/>
                <w:sz w:val="24"/>
                <w:szCs w:val="24"/>
                <w14:textFill>
                  <w14:solidFill>
                    <w14:schemeClr w14:val="tx1"/>
                  </w14:solidFill>
                </w14:textFill>
              </w:rPr>
              <w:t>标人（盖单位公章）：</w:t>
            </w:r>
          </w:p>
        </w:tc>
      </w:tr>
      <w:tr w14:paraId="5745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11270" w:type="dxa"/>
            <w:gridSpan w:val="8"/>
            <w:tcBorders>
              <w:top w:val="single" w:color="auto" w:sz="4" w:space="0"/>
              <w:left w:val="single" w:color="auto" w:sz="4" w:space="0"/>
              <w:bottom w:val="single" w:color="auto" w:sz="4" w:space="0"/>
              <w:right w:val="single" w:color="auto" w:sz="4" w:space="0"/>
            </w:tcBorders>
            <w:vAlign w:val="center"/>
          </w:tcPr>
          <w:p w14:paraId="059654B0">
            <w:pPr>
              <w:rPr>
                <w:rFonts w:hint="eastAsia" w:ascii="Times New Roman" w:hAnsi="Times New Roman" w:eastAsia="宋体" w:cs="宋体"/>
                <w:color w:val="000000" w:themeColor="text1"/>
                <w:spacing w:val="0"/>
                <w:position w:val="0"/>
                <w:sz w:val="24"/>
                <w:szCs w:val="24"/>
                <w14:textFill>
                  <w14:solidFill>
                    <w14:schemeClr w14:val="tx1"/>
                  </w14:solidFill>
                </w14:textFill>
              </w:rPr>
            </w:pPr>
            <w:r>
              <w:rPr>
                <w:rFonts w:hint="eastAsia" w:ascii="Times New Roman" w:hAnsi="Times New Roman" w:eastAsia="宋体" w:cs="宋体"/>
                <w:color w:val="000000" w:themeColor="text1"/>
                <w:spacing w:val="0"/>
                <w:position w:val="0"/>
                <w:sz w:val="24"/>
                <w:szCs w:val="24"/>
                <w14:textFill>
                  <w14:solidFill>
                    <w14:schemeClr w14:val="tx1"/>
                  </w14:solidFill>
                </w14:textFill>
              </w:rPr>
              <w:t>法定代表人（签字）：</w:t>
            </w:r>
          </w:p>
        </w:tc>
      </w:tr>
      <w:tr w14:paraId="2272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jc w:val="center"/>
        </w:trPr>
        <w:tc>
          <w:tcPr>
            <w:tcW w:w="11270" w:type="dxa"/>
            <w:gridSpan w:val="8"/>
            <w:tcBorders>
              <w:top w:val="single" w:color="auto" w:sz="4" w:space="0"/>
              <w:left w:val="single" w:color="auto" w:sz="4" w:space="0"/>
              <w:bottom w:val="single" w:color="auto" w:sz="4" w:space="0"/>
              <w:right w:val="single" w:color="auto" w:sz="4" w:space="0"/>
            </w:tcBorders>
            <w:vAlign w:val="center"/>
          </w:tcPr>
          <w:p w14:paraId="14A6994B">
            <w:pP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备注：</w:t>
            </w:r>
            <w:r>
              <w:rPr>
                <w:rFonts w:hint="eastAsia" w:ascii="Times New Roman" w:hAnsi="Times New Roman" w:eastAsia="宋体" w:cs="宋体"/>
                <w:color w:val="000000" w:themeColor="text1"/>
                <w:spacing w:val="0"/>
                <w:position w:val="0"/>
                <w:sz w:val="24"/>
                <w:szCs w:val="24"/>
                <w:lang w:val="en-US" w:eastAsia="zh-CN"/>
                <w14:textFill>
                  <w14:solidFill>
                    <w14:schemeClr w14:val="tx1"/>
                  </w14:solidFill>
                </w14:textFill>
              </w:rPr>
              <w:t>1.</w:t>
            </w: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报价不能超过采购上控价，分项报价，不能直接报总价，否则投标无效。</w:t>
            </w:r>
          </w:p>
          <w:p w14:paraId="32702F0A">
            <w:pPr>
              <w:ind w:firstLine="720" w:firstLineChars="300"/>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val="en-US" w:eastAsia="zh-CN"/>
                <w14:textFill>
                  <w14:solidFill>
                    <w14:schemeClr w14:val="tx1"/>
                  </w14:solidFill>
                </w14:textFill>
              </w:rPr>
              <w:t>2.如</w:t>
            </w:r>
            <w:r>
              <w:rPr>
                <w:rFonts w:hint="eastAsia" w:ascii="Times New Roman" w:hAnsi="Times New Roman" w:eastAsia="宋体" w:cs="宋体"/>
                <w:color w:val="000000" w:themeColor="text1"/>
                <w:spacing w:val="0"/>
                <w:position w:val="0"/>
                <w:sz w:val="24"/>
                <w:szCs w:val="24"/>
                <w14:textFill>
                  <w14:solidFill>
                    <w14:schemeClr w14:val="tx1"/>
                  </w14:solidFill>
                </w14:textFill>
              </w:rPr>
              <w:t>总报价</w:t>
            </w: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存在</w:t>
            </w:r>
            <w:r>
              <w:rPr>
                <w:rFonts w:hint="eastAsia" w:ascii="Times New Roman" w:hAnsi="Times New Roman" w:eastAsia="宋体" w:cs="宋体"/>
                <w:color w:val="000000" w:themeColor="text1"/>
                <w:spacing w:val="0"/>
                <w:position w:val="0"/>
                <w:sz w:val="24"/>
                <w:szCs w:val="24"/>
                <w14:textFill>
                  <w14:solidFill>
                    <w14:schemeClr w14:val="tx1"/>
                  </w14:solidFill>
                </w14:textFill>
              </w:rPr>
              <w:t>小</w:t>
            </w: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数点的，</w:t>
            </w:r>
            <w:r>
              <w:rPr>
                <w:rFonts w:hint="eastAsia" w:ascii="Times New Roman" w:hAnsi="Times New Roman" w:eastAsia="宋体" w:cs="宋体"/>
                <w:color w:val="000000" w:themeColor="text1"/>
                <w:spacing w:val="0"/>
                <w:position w:val="0"/>
                <w:sz w:val="24"/>
                <w:szCs w:val="24"/>
                <w14:textFill>
                  <w14:solidFill>
                    <w14:schemeClr w14:val="tx1"/>
                  </w14:solidFill>
                </w14:textFill>
              </w:rPr>
              <w:t>请保留至小数点后两位</w:t>
            </w:r>
            <w:r>
              <w:rPr>
                <w:rFonts w:hint="eastAsia" w:ascii="Times New Roman" w:hAnsi="Times New Roman" w:eastAsia="宋体" w:cs="宋体"/>
                <w:color w:val="000000" w:themeColor="text1"/>
                <w:spacing w:val="0"/>
                <w:position w:val="0"/>
                <w:sz w:val="24"/>
                <w:szCs w:val="24"/>
                <w:lang w:eastAsia="zh-CN"/>
                <w14:textFill>
                  <w14:solidFill>
                    <w14:schemeClr w14:val="tx1"/>
                  </w14:solidFill>
                </w14:textFill>
              </w:rPr>
              <w:t>。</w:t>
            </w:r>
          </w:p>
          <w:p w14:paraId="61E1C7F0">
            <w:pPr>
              <w:numPr>
                <w:ilvl w:val="0"/>
                <w:numId w:val="0"/>
              </w:numPr>
              <w:ind w:firstLine="720" w:firstLineChars="300"/>
              <w:rPr>
                <w:rFonts w:hint="eastAsia" w:ascii="Times New Roman" w:hAnsi="Times New Roman" w:eastAsia="宋体" w:cs="宋体"/>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val="en-US" w:eastAsia="zh-CN"/>
                <w14:textFill>
                  <w14:solidFill>
                    <w14:schemeClr w14:val="tx1"/>
                  </w14:solidFill>
                </w14:textFill>
              </w:rPr>
              <w:t>3.表中响应项目技术参数必须认真比对，必须列明品牌，如实填写完整，填写有缺漏的，其响应文件按无效响应处理。</w:t>
            </w:r>
          </w:p>
          <w:p w14:paraId="7B4FD887">
            <w:pPr>
              <w:numPr>
                <w:ilvl w:val="0"/>
                <w:numId w:val="0"/>
              </w:numPr>
              <w:ind w:firstLine="720" w:firstLineChars="300"/>
              <w:rPr>
                <w:rFonts w:hint="default" w:ascii="Times New Roman" w:hAnsi="Times New Roman" w:eastAsia="宋体" w:cs="宋体"/>
                <w:color w:val="000000" w:themeColor="text1"/>
                <w:spacing w:val="0"/>
                <w:position w:val="0"/>
                <w:sz w:val="24"/>
                <w:szCs w:val="24"/>
                <w:lang w:val="en-US" w:eastAsia="zh-CN"/>
                <w14:textFill>
                  <w14:solidFill>
                    <w14:schemeClr w14:val="tx1"/>
                  </w14:solidFill>
                </w14:textFill>
              </w:rPr>
            </w:pPr>
            <w:r>
              <w:rPr>
                <w:rFonts w:hint="eastAsia" w:ascii="Times New Roman" w:hAnsi="Times New Roman" w:eastAsia="宋体" w:cs="宋体"/>
                <w:color w:val="000000" w:themeColor="text1"/>
                <w:spacing w:val="0"/>
                <w:position w:val="0"/>
                <w:sz w:val="24"/>
                <w:szCs w:val="24"/>
                <w:lang w:val="en-US" w:eastAsia="zh-CN"/>
                <w14:textFill>
                  <w14:solidFill>
                    <w14:schemeClr w14:val="tx1"/>
                  </w14:solidFill>
                </w14:textFill>
              </w:rPr>
              <w:t>4.投标人的报价明显低于其他通过符合性审查投标人的报价，有可能影响产品质量或者不能诚信履约的，附带提供书面说明，必要时提交相关证明材料；供应商不能证明其报价合理性的，将其作为投标无效处理。</w:t>
            </w:r>
          </w:p>
        </w:tc>
      </w:tr>
    </w:tbl>
    <w:p w14:paraId="323E9600">
      <w:pPr>
        <w:rPr>
          <w:rFonts w:hint="eastAsia"/>
        </w:rPr>
      </w:pPr>
      <w:r>
        <w:rPr>
          <w:rFonts w:hint="eastAsia"/>
        </w:rPr>
        <w:br w:type="page"/>
      </w:r>
    </w:p>
    <w:p w14:paraId="14A961BA">
      <w:pPr>
        <w:rPr>
          <w:rFonts w:hint="eastAsia"/>
        </w:rPr>
      </w:pPr>
    </w:p>
    <w:p w14:paraId="7708BFF9">
      <w:pPr>
        <w:pStyle w:val="5"/>
        <w:bidi w:val="0"/>
        <w:outlineLvl w:val="0"/>
        <w:rPr>
          <w:rFonts w:hint="eastAsia" w:ascii="仿宋_GB2312" w:hAnsi="仿宋_GB2312" w:eastAsia="仿宋_GB2312" w:cs="仿宋_GB2312"/>
          <w:b w:val="0"/>
          <w:bCs/>
        </w:rPr>
      </w:pPr>
      <w:bookmarkStart w:id="12" w:name="_Toc9333"/>
      <w:bookmarkStart w:id="13" w:name="_Toc7798"/>
      <w:r>
        <w:rPr>
          <w:rFonts w:hint="eastAsia" w:ascii="仿宋_GB2312" w:hAnsi="仿宋_GB2312" w:eastAsia="仿宋_GB2312" w:cs="仿宋_GB2312"/>
          <w:b w:val="0"/>
          <w:bCs/>
        </w:rPr>
        <w:t>附件2</w:t>
      </w:r>
      <w:bookmarkEnd w:id="12"/>
      <w:bookmarkEnd w:id="13"/>
    </w:p>
    <w:p w14:paraId="54310560">
      <w:pPr>
        <w:spacing w:before="140" w:line="223" w:lineRule="auto"/>
        <w:jc w:val="center"/>
        <w:rPr>
          <w:rFonts w:ascii="Times New Roman" w:hAnsi="Times New Roman" w:eastAsia="宋体" w:cs="宋体"/>
          <w:color w:val="000000" w:themeColor="text1"/>
          <w:spacing w:val="0"/>
          <w:position w:val="0"/>
          <w:sz w:val="43"/>
          <w:szCs w:val="43"/>
          <w14:textFill>
            <w14:solidFill>
              <w14:schemeClr w14:val="tx1"/>
            </w14:solidFill>
          </w14:textFill>
        </w:rPr>
      </w:pPr>
      <w:r>
        <w:rPr>
          <w:rFonts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t>采购需求</w:t>
      </w:r>
      <w:r>
        <w:rPr>
          <w:rFonts w:hint="eastAsia" w:ascii="Times New Roman" w:hAnsi="Times New Roman" w:eastAsia="宋体" w:cs="宋体"/>
          <w:color w:val="000000" w:themeColor="text1"/>
          <w:spacing w:val="0"/>
          <w:position w:val="0"/>
          <w:sz w:val="43"/>
          <w:szCs w:val="43"/>
          <w:lang w:val="en-US" w:eastAsia="zh-CN"/>
          <w14:textOutline w14:w="7968" w14:cap="flat" w14:cmpd="sng">
            <w14:solidFill>
              <w14:srgbClr w14:val="000000"/>
            </w14:solidFill>
            <w14:prstDash w14:val="solid"/>
            <w14:miter w14:val="0"/>
          </w14:textOutline>
          <w14:textFill>
            <w14:solidFill>
              <w14:schemeClr w14:val="tx1"/>
            </w14:solidFill>
          </w14:textFill>
        </w:rPr>
        <w:t>偏离</w:t>
      </w:r>
      <w:r>
        <w:rPr>
          <w:rFonts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t>表</w:t>
      </w:r>
    </w:p>
    <w:p w14:paraId="6FC50FCD">
      <w:pPr>
        <w:rPr>
          <w:rFonts w:ascii="Times New Roman" w:hAnsi="Times New Roman"/>
          <w:color w:val="000000" w:themeColor="text1"/>
          <w:spacing w:val="0"/>
          <w:position w:val="0"/>
          <w14:textFill>
            <w14:solidFill>
              <w14:schemeClr w14:val="tx1"/>
            </w14:solidFill>
          </w14:textFill>
        </w:rPr>
      </w:pPr>
    </w:p>
    <w:p w14:paraId="7BC57060">
      <w:pPr>
        <w:spacing w:line="82" w:lineRule="exact"/>
        <w:rPr>
          <w:rFonts w:ascii="Times New Roman" w:hAnsi="Times New Roman"/>
          <w:color w:val="000000" w:themeColor="text1"/>
          <w:spacing w:val="0"/>
          <w:position w:val="0"/>
          <w14:textFill>
            <w14:solidFill>
              <w14:schemeClr w14:val="tx1"/>
            </w14:solidFill>
          </w14:textFill>
        </w:rPr>
      </w:pPr>
    </w:p>
    <w:tbl>
      <w:tblPr>
        <w:tblStyle w:val="12"/>
        <w:tblW w:w="91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1139"/>
        <w:gridCol w:w="868"/>
        <w:gridCol w:w="2011"/>
        <w:gridCol w:w="1094"/>
        <w:gridCol w:w="789"/>
        <w:gridCol w:w="1720"/>
        <w:gridCol w:w="1087"/>
      </w:tblGrid>
      <w:tr w14:paraId="5A347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468" w:type="dxa"/>
            <w:vMerge w:val="restart"/>
            <w:tcBorders>
              <w:bottom w:val="nil"/>
            </w:tcBorders>
            <w:textDirection w:val="tbRlV"/>
            <w:vAlign w:val="top"/>
          </w:tcPr>
          <w:p w14:paraId="53A62D63">
            <w:pPr>
              <w:spacing w:before="143" w:line="206" w:lineRule="auto"/>
              <w:ind w:left="264"/>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项 号</w:t>
            </w:r>
          </w:p>
        </w:tc>
        <w:tc>
          <w:tcPr>
            <w:tcW w:w="4018" w:type="dxa"/>
            <w:gridSpan w:val="3"/>
            <w:vAlign w:val="top"/>
          </w:tcPr>
          <w:p w14:paraId="38FC9F54">
            <w:pPr>
              <w:spacing w:before="103" w:line="220" w:lineRule="auto"/>
              <w:ind w:left="1382"/>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采购文件需求</w:t>
            </w:r>
          </w:p>
        </w:tc>
        <w:tc>
          <w:tcPr>
            <w:tcW w:w="3603" w:type="dxa"/>
            <w:gridSpan w:val="3"/>
            <w:vAlign w:val="top"/>
          </w:tcPr>
          <w:p w14:paraId="21F48917">
            <w:pPr>
              <w:spacing w:before="103" w:line="221" w:lineRule="auto"/>
              <w:ind w:left="1190"/>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响应文件承诺</w:t>
            </w:r>
          </w:p>
        </w:tc>
        <w:tc>
          <w:tcPr>
            <w:tcW w:w="1087" w:type="dxa"/>
            <w:vMerge w:val="restart"/>
            <w:tcBorders>
              <w:bottom w:val="nil"/>
            </w:tcBorders>
            <w:vAlign w:val="top"/>
          </w:tcPr>
          <w:p w14:paraId="5B533697">
            <w:pPr>
              <w:spacing w:line="349" w:lineRule="auto"/>
              <w:rPr>
                <w:rFonts w:ascii="Times New Roman" w:hAnsi="Times New Roman"/>
                <w:color w:val="000000" w:themeColor="text1"/>
                <w:spacing w:val="0"/>
                <w:position w:val="0"/>
                <w:sz w:val="21"/>
                <w14:textFill>
                  <w14:solidFill>
                    <w14:schemeClr w14:val="tx1"/>
                  </w14:solidFill>
                </w14:textFill>
              </w:rPr>
            </w:pPr>
          </w:p>
          <w:p w14:paraId="7D30C175">
            <w:pPr>
              <w:spacing w:before="69" w:line="221" w:lineRule="auto"/>
              <w:ind w:left="116"/>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偏离说明</w:t>
            </w:r>
          </w:p>
        </w:tc>
      </w:tr>
      <w:tr w14:paraId="6BB59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68" w:type="dxa"/>
            <w:vMerge w:val="continue"/>
            <w:tcBorders>
              <w:top w:val="nil"/>
            </w:tcBorders>
            <w:textDirection w:val="tbRlV"/>
            <w:vAlign w:val="top"/>
          </w:tcPr>
          <w:p w14:paraId="58DB6246">
            <w:pPr>
              <w:rPr>
                <w:rFonts w:ascii="Times New Roman" w:hAnsi="Times New Roman"/>
                <w:color w:val="000000" w:themeColor="text1"/>
                <w:spacing w:val="0"/>
                <w:position w:val="0"/>
                <w:sz w:val="21"/>
                <w14:textFill>
                  <w14:solidFill>
                    <w14:schemeClr w14:val="tx1"/>
                  </w14:solidFill>
                </w14:textFill>
              </w:rPr>
            </w:pPr>
          </w:p>
        </w:tc>
        <w:tc>
          <w:tcPr>
            <w:tcW w:w="1139" w:type="dxa"/>
            <w:vAlign w:val="top"/>
          </w:tcPr>
          <w:p w14:paraId="0A317875">
            <w:pPr>
              <w:spacing w:before="207" w:line="220" w:lineRule="auto"/>
              <w:ind w:left="110"/>
              <w:rPr>
                <w:rFonts w:ascii="Times New Roman" w:hAnsi="Times New Roman" w:eastAsia="宋体" w:cs="宋体"/>
                <w:color w:val="000000" w:themeColor="text1"/>
                <w:spacing w:val="0"/>
                <w:position w:val="0"/>
                <w:sz w:val="21"/>
                <w:szCs w:val="21"/>
                <w14:textFill>
                  <w14:solidFill>
                    <w14:schemeClr w14:val="tx1"/>
                  </w14:solidFill>
                </w14:textFill>
              </w:rPr>
            </w:pPr>
            <w:r>
              <w:rPr>
                <w:rFonts w:hint="eastAsia" w:ascii="Times New Roman" w:hAnsi="Times New Roman" w:eastAsia="宋体" w:cs="宋体"/>
                <w:color w:val="000000" w:themeColor="text1"/>
                <w:spacing w:val="0"/>
                <w:position w:val="0"/>
                <w:sz w:val="21"/>
                <w:szCs w:val="21"/>
                <w:lang w:eastAsia="zh-CN"/>
                <w14:textFill>
                  <w14:solidFill>
                    <w14:schemeClr w14:val="tx1"/>
                  </w14:solidFill>
                </w14:textFill>
              </w:rPr>
              <w:t>采购</w:t>
            </w:r>
            <w:r>
              <w:rPr>
                <w:rFonts w:ascii="Times New Roman" w:hAnsi="Times New Roman" w:eastAsia="宋体" w:cs="宋体"/>
                <w:color w:val="000000" w:themeColor="text1"/>
                <w:spacing w:val="0"/>
                <w:position w:val="0"/>
                <w:sz w:val="21"/>
                <w:szCs w:val="21"/>
                <w14:textFill>
                  <w14:solidFill>
                    <w14:schemeClr w14:val="tx1"/>
                  </w14:solidFill>
                </w14:textFill>
              </w:rPr>
              <w:t>名称</w:t>
            </w:r>
          </w:p>
        </w:tc>
        <w:tc>
          <w:tcPr>
            <w:tcW w:w="868" w:type="dxa"/>
            <w:vAlign w:val="top"/>
          </w:tcPr>
          <w:p w14:paraId="06CA983A">
            <w:pPr>
              <w:spacing w:before="50" w:line="249" w:lineRule="auto"/>
              <w:ind w:left="117" w:right="103" w:hanging="4"/>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 xml:space="preserve">数  量 </w:t>
            </w:r>
          </w:p>
        </w:tc>
        <w:tc>
          <w:tcPr>
            <w:tcW w:w="2011" w:type="dxa"/>
            <w:vAlign w:val="top"/>
          </w:tcPr>
          <w:p w14:paraId="38A6608C">
            <w:pPr>
              <w:spacing w:before="51" w:line="248" w:lineRule="auto"/>
              <w:ind w:left="111" w:right="103" w:firstLine="2"/>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技术参数及性能(配 置)要求</w:t>
            </w:r>
          </w:p>
        </w:tc>
        <w:tc>
          <w:tcPr>
            <w:tcW w:w="1094" w:type="dxa"/>
            <w:vAlign w:val="top"/>
          </w:tcPr>
          <w:p w14:paraId="7677C1B4">
            <w:pPr>
              <w:spacing w:before="207" w:line="220" w:lineRule="auto"/>
              <w:ind w:left="112"/>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采购名称</w:t>
            </w:r>
          </w:p>
        </w:tc>
        <w:tc>
          <w:tcPr>
            <w:tcW w:w="789" w:type="dxa"/>
            <w:vAlign w:val="top"/>
          </w:tcPr>
          <w:p w14:paraId="417B417C">
            <w:pPr>
              <w:spacing w:before="50" w:line="249" w:lineRule="auto"/>
              <w:ind w:left="120" w:right="60" w:hanging="4"/>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 xml:space="preserve">数 量 </w:t>
            </w:r>
          </w:p>
        </w:tc>
        <w:tc>
          <w:tcPr>
            <w:tcW w:w="1720" w:type="dxa"/>
            <w:vAlign w:val="top"/>
          </w:tcPr>
          <w:p w14:paraId="3C9F0631">
            <w:pPr>
              <w:spacing w:before="50" w:line="249" w:lineRule="auto"/>
              <w:ind w:left="118" w:right="101" w:hanging="5"/>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技术参数及性能 (配置)响应</w:t>
            </w:r>
          </w:p>
        </w:tc>
        <w:tc>
          <w:tcPr>
            <w:tcW w:w="1087" w:type="dxa"/>
            <w:vMerge w:val="continue"/>
            <w:tcBorders>
              <w:top w:val="nil"/>
            </w:tcBorders>
            <w:vAlign w:val="top"/>
          </w:tcPr>
          <w:p w14:paraId="0DCD42A1">
            <w:pPr>
              <w:rPr>
                <w:rFonts w:ascii="Times New Roman" w:hAnsi="Times New Roman"/>
                <w:color w:val="000000" w:themeColor="text1"/>
                <w:spacing w:val="0"/>
                <w:position w:val="0"/>
                <w:sz w:val="21"/>
                <w14:textFill>
                  <w14:solidFill>
                    <w14:schemeClr w14:val="tx1"/>
                  </w14:solidFill>
                </w14:textFill>
              </w:rPr>
            </w:pPr>
          </w:p>
        </w:tc>
      </w:tr>
      <w:tr w14:paraId="53680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468" w:type="dxa"/>
            <w:vAlign w:val="center"/>
          </w:tcPr>
          <w:p w14:paraId="0BB53E12">
            <w:pPr>
              <w:spacing w:before="68" w:line="186" w:lineRule="auto"/>
              <w:jc w:val="center"/>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1</w:t>
            </w:r>
          </w:p>
        </w:tc>
        <w:tc>
          <w:tcPr>
            <w:tcW w:w="1139" w:type="dxa"/>
            <w:vAlign w:val="top"/>
          </w:tcPr>
          <w:p w14:paraId="00CB4BF0">
            <w:pPr>
              <w:spacing w:line="478" w:lineRule="auto"/>
              <w:rPr>
                <w:rFonts w:ascii="Times New Roman" w:hAnsi="Times New Roman"/>
                <w:color w:val="000000" w:themeColor="text1"/>
                <w:spacing w:val="0"/>
                <w:position w:val="0"/>
                <w:sz w:val="21"/>
                <w14:textFill>
                  <w14:solidFill>
                    <w14:schemeClr w14:val="tx1"/>
                  </w14:solidFill>
                </w14:textFill>
              </w:rPr>
            </w:pPr>
          </w:p>
          <w:p w14:paraId="22DFF5A9">
            <w:pPr>
              <w:spacing w:before="69" w:line="330" w:lineRule="exact"/>
              <w:ind w:left="124"/>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w:t>
            </w:r>
          </w:p>
        </w:tc>
        <w:tc>
          <w:tcPr>
            <w:tcW w:w="868" w:type="dxa"/>
            <w:vAlign w:val="top"/>
          </w:tcPr>
          <w:p w14:paraId="06DE7918">
            <w:pPr>
              <w:spacing w:line="478" w:lineRule="auto"/>
              <w:rPr>
                <w:rFonts w:ascii="Times New Roman" w:hAnsi="Times New Roman"/>
                <w:color w:val="000000" w:themeColor="text1"/>
                <w:spacing w:val="0"/>
                <w:position w:val="0"/>
                <w:sz w:val="21"/>
                <w14:textFill>
                  <w14:solidFill>
                    <w14:schemeClr w14:val="tx1"/>
                  </w14:solidFill>
                </w14:textFill>
              </w:rPr>
            </w:pPr>
          </w:p>
          <w:p w14:paraId="18119890">
            <w:pPr>
              <w:spacing w:before="69" w:line="330" w:lineRule="exact"/>
              <w:ind w:left="125"/>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w:t>
            </w:r>
          </w:p>
        </w:tc>
        <w:tc>
          <w:tcPr>
            <w:tcW w:w="2011" w:type="dxa"/>
            <w:vAlign w:val="top"/>
          </w:tcPr>
          <w:p w14:paraId="34843DEC">
            <w:pPr>
              <w:spacing w:before="82" w:line="242" w:lineRule="auto"/>
              <w:ind w:left="128"/>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1  ……</w:t>
            </w:r>
          </w:p>
          <w:p w14:paraId="1EE5DE55">
            <w:pPr>
              <w:spacing w:before="36" w:line="242" w:lineRule="auto"/>
              <w:ind w:left="115"/>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2  ……</w:t>
            </w:r>
          </w:p>
          <w:p w14:paraId="5CBA0D03">
            <w:pPr>
              <w:spacing w:before="36" w:line="241" w:lineRule="auto"/>
              <w:ind w:left="117"/>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3  ……</w:t>
            </w:r>
          </w:p>
          <w:p w14:paraId="02D2F05E">
            <w:pPr>
              <w:spacing w:before="38" w:line="292" w:lineRule="exact"/>
              <w:ind w:left="126"/>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w:t>
            </w:r>
          </w:p>
        </w:tc>
        <w:tc>
          <w:tcPr>
            <w:tcW w:w="1094" w:type="dxa"/>
            <w:vAlign w:val="top"/>
          </w:tcPr>
          <w:p w14:paraId="765B2567">
            <w:pPr>
              <w:spacing w:line="478" w:lineRule="auto"/>
              <w:rPr>
                <w:rFonts w:ascii="Times New Roman" w:hAnsi="Times New Roman"/>
                <w:color w:val="000000" w:themeColor="text1"/>
                <w:spacing w:val="0"/>
                <w:position w:val="0"/>
                <w:sz w:val="21"/>
                <w14:textFill>
                  <w14:solidFill>
                    <w14:schemeClr w14:val="tx1"/>
                  </w14:solidFill>
                </w14:textFill>
              </w:rPr>
            </w:pPr>
          </w:p>
          <w:p w14:paraId="5F419288">
            <w:pPr>
              <w:spacing w:before="69" w:line="330" w:lineRule="exact"/>
              <w:ind w:left="127"/>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w:t>
            </w:r>
          </w:p>
        </w:tc>
        <w:tc>
          <w:tcPr>
            <w:tcW w:w="789" w:type="dxa"/>
            <w:vAlign w:val="top"/>
          </w:tcPr>
          <w:p w14:paraId="509ECAD0">
            <w:pPr>
              <w:spacing w:line="478" w:lineRule="auto"/>
              <w:rPr>
                <w:rFonts w:ascii="Times New Roman" w:hAnsi="Times New Roman"/>
                <w:color w:val="000000" w:themeColor="text1"/>
                <w:spacing w:val="0"/>
                <w:position w:val="0"/>
                <w:sz w:val="21"/>
                <w14:textFill>
                  <w14:solidFill>
                    <w14:schemeClr w14:val="tx1"/>
                  </w14:solidFill>
                </w14:textFill>
              </w:rPr>
            </w:pPr>
          </w:p>
          <w:p w14:paraId="712B5B79">
            <w:pPr>
              <w:spacing w:before="69" w:line="330" w:lineRule="exact"/>
              <w:ind w:left="127"/>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w:t>
            </w:r>
          </w:p>
        </w:tc>
        <w:tc>
          <w:tcPr>
            <w:tcW w:w="1720" w:type="dxa"/>
            <w:vAlign w:val="top"/>
          </w:tcPr>
          <w:p w14:paraId="53A8B7A2">
            <w:pPr>
              <w:spacing w:before="82" w:line="242" w:lineRule="auto"/>
              <w:ind w:left="128"/>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1  ……</w:t>
            </w:r>
          </w:p>
          <w:p w14:paraId="5216CE3E">
            <w:pPr>
              <w:spacing w:before="36" w:line="242" w:lineRule="auto"/>
              <w:ind w:left="115"/>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2  ……</w:t>
            </w:r>
          </w:p>
          <w:p w14:paraId="170D0E60">
            <w:pPr>
              <w:spacing w:before="36" w:line="241" w:lineRule="auto"/>
              <w:ind w:left="116"/>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3  ……</w:t>
            </w:r>
          </w:p>
          <w:p w14:paraId="554778C8">
            <w:pPr>
              <w:spacing w:before="38" w:line="292" w:lineRule="exact"/>
              <w:ind w:left="126"/>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w:t>
            </w:r>
          </w:p>
        </w:tc>
        <w:tc>
          <w:tcPr>
            <w:tcW w:w="1087" w:type="dxa"/>
            <w:vAlign w:val="top"/>
          </w:tcPr>
          <w:p w14:paraId="40E2B0E3">
            <w:pPr>
              <w:rPr>
                <w:rFonts w:ascii="Times New Roman" w:hAnsi="Times New Roman"/>
                <w:color w:val="000000" w:themeColor="text1"/>
                <w:spacing w:val="0"/>
                <w:position w:val="0"/>
                <w:sz w:val="21"/>
                <w14:textFill>
                  <w14:solidFill>
                    <w14:schemeClr w14:val="tx1"/>
                  </w14:solidFill>
                </w14:textFill>
              </w:rPr>
            </w:pPr>
          </w:p>
        </w:tc>
      </w:tr>
      <w:tr w14:paraId="1834C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468" w:type="dxa"/>
            <w:vAlign w:val="center"/>
          </w:tcPr>
          <w:p w14:paraId="7F972E9D">
            <w:pPr>
              <w:spacing w:before="68" w:line="186" w:lineRule="auto"/>
              <w:jc w:val="center"/>
              <w:rPr>
                <w:rFonts w:hint="eastAsia" w:ascii="Times New Roman" w:hAnsi="Times New Roman" w:eastAsia="宋体" w:cs="宋体"/>
                <w:color w:val="000000" w:themeColor="text1"/>
                <w:spacing w:val="0"/>
                <w:position w:val="0"/>
                <w:sz w:val="21"/>
                <w:szCs w:val="21"/>
                <w:lang w:val="en-US" w:eastAsia="zh-CN"/>
                <w14:textFill>
                  <w14:solidFill>
                    <w14:schemeClr w14:val="tx1"/>
                  </w14:solidFill>
                </w14:textFill>
              </w:rPr>
            </w:pPr>
            <w:r>
              <w:rPr>
                <w:rFonts w:hint="eastAsia" w:ascii="Times New Roman" w:hAnsi="Times New Roman" w:eastAsia="宋体" w:cs="宋体"/>
                <w:color w:val="000000" w:themeColor="text1"/>
                <w:spacing w:val="0"/>
                <w:position w:val="0"/>
                <w:sz w:val="21"/>
                <w:szCs w:val="21"/>
                <w:lang w:val="en-US" w:eastAsia="zh-CN"/>
                <w14:textFill>
                  <w14:solidFill>
                    <w14:schemeClr w14:val="tx1"/>
                  </w14:solidFill>
                </w14:textFill>
              </w:rPr>
              <w:t>2</w:t>
            </w:r>
          </w:p>
        </w:tc>
        <w:tc>
          <w:tcPr>
            <w:tcW w:w="1139" w:type="dxa"/>
            <w:vAlign w:val="top"/>
          </w:tcPr>
          <w:p w14:paraId="6C675A32">
            <w:pPr>
              <w:spacing w:before="69" w:line="330" w:lineRule="exact"/>
              <w:ind w:left="124"/>
              <w:rPr>
                <w:rFonts w:ascii="Times New Roman" w:hAnsi="Times New Roman" w:eastAsia="宋体" w:cs="宋体"/>
                <w:color w:val="000000" w:themeColor="text1"/>
                <w:spacing w:val="0"/>
                <w:position w:val="0"/>
                <w:sz w:val="21"/>
                <w:szCs w:val="21"/>
                <w14:textFill>
                  <w14:solidFill>
                    <w14:schemeClr w14:val="tx1"/>
                  </w14:solidFill>
                </w14:textFill>
              </w:rPr>
            </w:pPr>
          </w:p>
        </w:tc>
        <w:tc>
          <w:tcPr>
            <w:tcW w:w="868" w:type="dxa"/>
            <w:vAlign w:val="top"/>
          </w:tcPr>
          <w:p w14:paraId="133B8897">
            <w:pPr>
              <w:spacing w:before="69" w:line="330" w:lineRule="exact"/>
              <w:ind w:left="125"/>
              <w:rPr>
                <w:rFonts w:ascii="Times New Roman" w:hAnsi="Times New Roman" w:eastAsia="宋体" w:cs="宋体"/>
                <w:color w:val="000000" w:themeColor="text1"/>
                <w:spacing w:val="0"/>
                <w:position w:val="0"/>
                <w:sz w:val="21"/>
                <w:szCs w:val="21"/>
                <w14:textFill>
                  <w14:solidFill>
                    <w14:schemeClr w14:val="tx1"/>
                  </w14:solidFill>
                </w14:textFill>
              </w:rPr>
            </w:pPr>
          </w:p>
        </w:tc>
        <w:tc>
          <w:tcPr>
            <w:tcW w:w="2011" w:type="dxa"/>
            <w:vAlign w:val="top"/>
          </w:tcPr>
          <w:p w14:paraId="467367A8">
            <w:pPr>
              <w:spacing w:before="38" w:line="292" w:lineRule="exact"/>
              <w:ind w:left="126"/>
              <w:rPr>
                <w:rFonts w:ascii="Times New Roman" w:hAnsi="Times New Roman" w:eastAsia="宋体" w:cs="宋体"/>
                <w:color w:val="000000" w:themeColor="text1"/>
                <w:spacing w:val="0"/>
                <w:position w:val="0"/>
                <w:sz w:val="21"/>
                <w:szCs w:val="21"/>
                <w14:textFill>
                  <w14:solidFill>
                    <w14:schemeClr w14:val="tx1"/>
                  </w14:solidFill>
                </w14:textFill>
              </w:rPr>
            </w:pPr>
          </w:p>
        </w:tc>
        <w:tc>
          <w:tcPr>
            <w:tcW w:w="1094" w:type="dxa"/>
            <w:vAlign w:val="top"/>
          </w:tcPr>
          <w:p w14:paraId="2413DEF3">
            <w:pPr>
              <w:spacing w:before="69" w:line="330" w:lineRule="exact"/>
              <w:ind w:left="127"/>
              <w:rPr>
                <w:rFonts w:ascii="Times New Roman" w:hAnsi="Times New Roman" w:eastAsia="宋体" w:cs="宋体"/>
                <w:color w:val="000000" w:themeColor="text1"/>
                <w:spacing w:val="0"/>
                <w:position w:val="0"/>
                <w:sz w:val="21"/>
                <w:szCs w:val="21"/>
                <w14:textFill>
                  <w14:solidFill>
                    <w14:schemeClr w14:val="tx1"/>
                  </w14:solidFill>
                </w14:textFill>
              </w:rPr>
            </w:pPr>
          </w:p>
        </w:tc>
        <w:tc>
          <w:tcPr>
            <w:tcW w:w="789" w:type="dxa"/>
            <w:vAlign w:val="top"/>
          </w:tcPr>
          <w:p w14:paraId="0E153BC6">
            <w:pPr>
              <w:spacing w:before="69" w:line="330" w:lineRule="exact"/>
              <w:ind w:left="127"/>
              <w:rPr>
                <w:rFonts w:ascii="Times New Roman" w:hAnsi="Times New Roman" w:eastAsia="宋体" w:cs="宋体"/>
                <w:color w:val="000000" w:themeColor="text1"/>
                <w:spacing w:val="0"/>
                <w:position w:val="0"/>
                <w:sz w:val="21"/>
                <w:szCs w:val="21"/>
                <w14:textFill>
                  <w14:solidFill>
                    <w14:schemeClr w14:val="tx1"/>
                  </w14:solidFill>
                </w14:textFill>
              </w:rPr>
            </w:pPr>
          </w:p>
        </w:tc>
        <w:tc>
          <w:tcPr>
            <w:tcW w:w="1720" w:type="dxa"/>
            <w:vAlign w:val="top"/>
          </w:tcPr>
          <w:p w14:paraId="13E90033">
            <w:pPr>
              <w:spacing w:before="38" w:line="292" w:lineRule="exact"/>
              <w:ind w:left="126"/>
              <w:rPr>
                <w:rFonts w:ascii="Times New Roman" w:hAnsi="Times New Roman" w:eastAsia="宋体" w:cs="宋体"/>
                <w:color w:val="000000" w:themeColor="text1"/>
                <w:spacing w:val="0"/>
                <w:position w:val="0"/>
                <w:sz w:val="21"/>
                <w:szCs w:val="21"/>
                <w14:textFill>
                  <w14:solidFill>
                    <w14:schemeClr w14:val="tx1"/>
                  </w14:solidFill>
                </w14:textFill>
              </w:rPr>
            </w:pPr>
          </w:p>
        </w:tc>
        <w:tc>
          <w:tcPr>
            <w:tcW w:w="1087" w:type="dxa"/>
            <w:vAlign w:val="top"/>
          </w:tcPr>
          <w:p w14:paraId="386F43C7">
            <w:pPr>
              <w:rPr>
                <w:rFonts w:ascii="Times New Roman" w:hAnsi="Times New Roman"/>
                <w:color w:val="000000" w:themeColor="text1"/>
                <w:spacing w:val="0"/>
                <w:position w:val="0"/>
                <w:sz w:val="21"/>
                <w14:textFill>
                  <w14:solidFill>
                    <w14:schemeClr w14:val="tx1"/>
                  </w14:solidFill>
                </w14:textFill>
              </w:rPr>
            </w:pPr>
          </w:p>
        </w:tc>
      </w:tr>
    </w:tbl>
    <w:p w14:paraId="35AFCBDE">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1.说明：应对照采购文件“第二章”中“采购需求表”的采购项目及技术参数作出明确响应，并作出偏离说明且</w:t>
      </w:r>
      <w:r>
        <w:rPr>
          <w:rFonts w:hint="eastAsia" w:ascii="Times New Roman" w:hAnsi="Times New Roman" w:eastAsia="宋体" w:cs="宋体"/>
          <w:color w:val="000000" w:themeColor="text1"/>
          <w:spacing w:val="0"/>
          <w:position w:val="0"/>
          <w:sz w:val="22"/>
          <w:szCs w:val="22"/>
          <w:lang w:eastAsia="zh-CN"/>
          <w14:textOutline w14:w="4005" w14:cap="flat" w14:cmpd="sng">
            <w14:solidFill>
              <w14:srgbClr w14:val="000000"/>
            </w14:solidFill>
            <w14:prstDash w14:val="solid"/>
            <w14:miter w14:val="0"/>
          </w14:textOutline>
          <w14:textFill>
            <w14:solidFill>
              <w14:schemeClr w14:val="tx1"/>
            </w14:solidFill>
          </w14:textFill>
        </w:rPr>
        <w:t>不</w:t>
      </w:r>
      <w:r>
        <w:rPr>
          <w:rFonts w:ascii="Times New Roman" w:hAnsi="Times New Roman" w:eastAsia="宋体" w:cs="宋体"/>
          <w:color w:val="000000" w:themeColor="text1"/>
          <w:spacing w:val="0"/>
          <w:position w:val="0"/>
          <w:sz w:val="22"/>
          <w:szCs w:val="22"/>
          <w14:textOutline w14:w="4005" w14:cap="flat" w14:cmpd="sng">
            <w14:solidFill>
              <w14:srgbClr w14:val="000000"/>
            </w14:solidFill>
            <w14:prstDash w14:val="solid"/>
            <w14:miter w14:val="0"/>
          </w14:textOutline>
          <w14:textFill>
            <w14:solidFill>
              <w14:schemeClr w14:val="tx1"/>
            </w14:solidFill>
          </w14:textFill>
        </w:rPr>
        <w:t>允许“</w:t>
      </w:r>
      <w:r>
        <w:rPr>
          <w:rFonts w:hint="eastAsia" w:ascii="Times New Roman" w:hAnsi="Times New Roman" w:eastAsia="宋体" w:cs="宋体"/>
          <w:color w:val="000000" w:themeColor="text1"/>
          <w:spacing w:val="0"/>
          <w:position w:val="0"/>
          <w:sz w:val="22"/>
          <w:szCs w:val="22"/>
          <w:lang w:eastAsia="zh-CN"/>
          <w14:textOutline w14:w="4005" w14:cap="flat" w14:cmpd="sng">
            <w14:solidFill>
              <w14:srgbClr w14:val="000000"/>
            </w14:solidFill>
            <w14:prstDash w14:val="solid"/>
            <w14:miter w14:val="0"/>
          </w14:textOutline>
          <w14:textFill>
            <w14:solidFill>
              <w14:schemeClr w14:val="tx1"/>
            </w14:solidFill>
          </w14:textFill>
        </w:rPr>
        <w:t>负</w:t>
      </w:r>
      <w:r>
        <w:rPr>
          <w:rFonts w:ascii="Times New Roman" w:hAnsi="Times New Roman" w:eastAsia="宋体" w:cs="宋体"/>
          <w:color w:val="000000" w:themeColor="text1"/>
          <w:spacing w:val="0"/>
          <w:position w:val="0"/>
          <w:sz w:val="22"/>
          <w:szCs w:val="22"/>
          <w14:textOutline w14:w="4005" w14:cap="flat" w14:cmpd="sng">
            <w14:solidFill>
              <w14:srgbClr w14:val="000000"/>
            </w14:solidFill>
            <w14:prstDash w14:val="solid"/>
            <w14:miter w14:val="0"/>
          </w14:textOutline>
          <w14:textFill>
            <w14:solidFill>
              <w14:schemeClr w14:val="tx1"/>
            </w14:solidFill>
          </w14:textFill>
        </w:rPr>
        <w:t>偏离”</w:t>
      </w:r>
      <w:r>
        <w:rPr>
          <w:rFonts w:ascii="Times New Roman" w:hAnsi="Times New Roman" w:eastAsia="宋体" w:cs="宋体"/>
          <w:color w:val="000000" w:themeColor="text1"/>
          <w:spacing w:val="0"/>
          <w:position w:val="0"/>
          <w:sz w:val="21"/>
          <w:szCs w:val="21"/>
          <w14:textFill>
            <w14:solidFill>
              <w14:schemeClr w14:val="tx1"/>
            </w14:solidFill>
          </w14:textFill>
        </w:rPr>
        <w:t>。</w:t>
      </w:r>
    </w:p>
    <w:p w14:paraId="13BACE47">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2.供应商应根据自身的承诺，对照采购文件要求，在“偏离说明”中注明“正偏离”、“负偏离”或者“无偏离”。既不属于“正偏离”也不属于“负偏离”即为“无偏离”。当响应文件的技术内容低于采购需求表要求时，竞标人应当如实写明“负偏离”，否则视为虚假应标。</w:t>
      </w:r>
    </w:p>
    <w:p w14:paraId="705FBE0C">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3.表格内容均需按要求填写并盖章，不得留空，否则按竞标无效处理。</w:t>
      </w:r>
    </w:p>
    <w:p w14:paraId="750F3729">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4.如果采购需求为小于、小于等于、大于或大于等于某个数值标准时，响应文件承诺不得直接复制采购需求，响应文件承诺内容应当写明竞标货物具体技术参数及性能(配置)，否则按竞标无效处理。</w:t>
      </w:r>
    </w:p>
    <w:p w14:paraId="2E765FE9">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5.如采购需求偏离表中的竞标响应与佐证材料不一致的，以佐证材料为准。</w:t>
      </w:r>
    </w:p>
    <w:p w14:paraId="1783520B">
      <w:pPr>
        <w:spacing w:line="277" w:lineRule="auto"/>
        <w:rPr>
          <w:rFonts w:ascii="Times New Roman" w:hAnsi="Times New Roman"/>
          <w:color w:val="000000" w:themeColor="text1"/>
          <w:spacing w:val="0"/>
          <w:position w:val="0"/>
          <w:sz w:val="21"/>
          <w14:textFill>
            <w14:solidFill>
              <w14:schemeClr w14:val="tx1"/>
            </w14:solidFill>
          </w14:textFill>
        </w:rPr>
      </w:pPr>
    </w:p>
    <w:p w14:paraId="2F52C170">
      <w:pPr>
        <w:spacing w:line="277" w:lineRule="auto"/>
        <w:rPr>
          <w:rFonts w:ascii="Times New Roman" w:hAnsi="Times New Roman"/>
          <w:color w:val="000000" w:themeColor="text1"/>
          <w:spacing w:val="0"/>
          <w:position w:val="0"/>
          <w:sz w:val="21"/>
          <w14:textFill>
            <w14:solidFill>
              <w14:schemeClr w14:val="tx1"/>
            </w14:solidFill>
          </w14:textFill>
        </w:rPr>
      </w:pPr>
    </w:p>
    <w:p w14:paraId="3F4B2669">
      <w:pPr>
        <w:spacing w:line="277" w:lineRule="auto"/>
        <w:rPr>
          <w:rFonts w:ascii="Times New Roman" w:hAnsi="Times New Roman"/>
          <w:color w:val="000000" w:themeColor="text1"/>
          <w:spacing w:val="0"/>
          <w:position w:val="0"/>
          <w:sz w:val="21"/>
          <w14:textFill>
            <w14:solidFill>
              <w14:schemeClr w14:val="tx1"/>
            </w14:solidFill>
          </w14:textFill>
        </w:rPr>
      </w:pPr>
    </w:p>
    <w:p w14:paraId="792CC7D9">
      <w:pPr>
        <w:spacing w:before="69" w:line="220" w:lineRule="auto"/>
        <w:ind w:left="4832"/>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供应商名称：</w:t>
      </w:r>
    </w:p>
    <w:p w14:paraId="3F604895">
      <w:pPr>
        <w:ind w:firstLine="4830" w:firstLineChars="2300"/>
        <w:rPr>
          <w:rFonts w:hint="eastAsia"/>
        </w:rPr>
      </w:pPr>
      <w:bookmarkStart w:id="14" w:name="_bookmark8"/>
      <w:bookmarkEnd w:id="14"/>
      <w:r>
        <w:rPr>
          <w:rFonts w:ascii="Times New Roman" w:hAnsi="Times New Roman" w:eastAsia="宋体" w:cs="宋体"/>
          <w:color w:val="000000" w:themeColor="text1"/>
          <w:spacing w:val="0"/>
          <w:position w:val="0"/>
          <w:sz w:val="21"/>
          <w:szCs w:val="21"/>
          <w14:textFill>
            <w14:solidFill>
              <w14:schemeClr w14:val="tx1"/>
            </w14:solidFill>
          </w14:textFill>
        </w:rPr>
        <w:t>日期：   年  月   日</w:t>
      </w:r>
    </w:p>
    <w:p w14:paraId="1BFC0553">
      <w:pPr>
        <w:rPr>
          <w:rFonts w:hint="eastAsia"/>
        </w:rPr>
      </w:pPr>
      <w:r>
        <w:rPr>
          <w:rFonts w:hint="eastAsia"/>
        </w:rPr>
        <w:br w:type="page"/>
      </w:r>
    </w:p>
    <w:p w14:paraId="3CBEDF90">
      <w:pPr>
        <w:pStyle w:val="5"/>
        <w:bidi w:val="0"/>
        <w:outlineLvl w:val="0"/>
        <w:rPr>
          <w:rFonts w:hint="eastAsia"/>
        </w:rPr>
      </w:pPr>
      <w:bookmarkStart w:id="15" w:name="_Toc13051"/>
      <w:bookmarkStart w:id="16" w:name="_Toc26567"/>
      <w:r>
        <w:rPr>
          <w:rFonts w:hint="eastAsia" w:ascii="仿宋_GB2312" w:hAnsi="仿宋_GB2312" w:eastAsia="仿宋_GB2312" w:cs="仿宋_GB2312"/>
          <w:b w:val="0"/>
          <w:bCs/>
        </w:rPr>
        <w:t>附件3</w:t>
      </w:r>
      <w:bookmarkEnd w:id="15"/>
      <w:bookmarkEnd w:id="16"/>
    </w:p>
    <w:p w14:paraId="6DD0F523">
      <w:pPr>
        <w:spacing w:before="140" w:line="223" w:lineRule="auto"/>
        <w:jc w:val="center"/>
        <w:rPr>
          <w:rFonts w:ascii="Times New Roman" w:hAnsi="Times New Roman" w:eastAsia="宋体" w:cs="宋体"/>
          <w:color w:val="000000" w:themeColor="text1"/>
          <w:spacing w:val="0"/>
          <w:position w:val="0"/>
          <w:sz w:val="43"/>
          <w:szCs w:val="43"/>
          <w14:textFill>
            <w14:solidFill>
              <w14:schemeClr w14:val="tx1"/>
            </w14:solidFill>
          </w14:textFill>
        </w:rPr>
      </w:pPr>
      <w:r>
        <w:rPr>
          <w:rFonts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t>商务要求响应表</w:t>
      </w:r>
    </w:p>
    <w:p w14:paraId="5BE464EE">
      <w:pPr>
        <w:rPr>
          <w:rFonts w:ascii="Times New Roman" w:hAnsi="Times New Roman"/>
          <w:color w:val="000000" w:themeColor="text1"/>
          <w:spacing w:val="0"/>
          <w:position w:val="0"/>
          <w14:textFill>
            <w14:solidFill>
              <w14:schemeClr w14:val="tx1"/>
            </w14:solidFill>
          </w14:textFill>
        </w:rPr>
      </w:pPr>
    </w:p>
    <w:p w14:paraId="0281FCB1">
      <w:pPr>
        <w:spacing w:line="78" w:lineRule="exact"/>
        <w:rPr>
          <w:rFonts w:ascii="Times New Roman" w:hAnsi="Times New Roman"/>
          <w:color w:val="000000" w:themeColor="text1"/>
          <w:spacing w:val="0"/>
          <w:position w:val="0"/>
          <w14:textFill>
            <w14:solidFill>
              <w14:schemeClr w14:val="tx1"/>
            </w14:solidFill>
          </w14:textFill>
        </w:rPr>
      </w:pPr>
    </w:p>
    <w:tbl>
      <w:tblPr>
        <w:tblStyle w:val="12"/>
        <w:tblW w:w="976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1"/>
        <w:gridCol w:w="3090"/>
        <w:gridCol w:w="3587"/>
        <w:gridCol w:w="1279"/>
      </w:tblGrid>
      <w:tr w14:paraId="0A921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811" w:type="dxa"/>
            <w:vAlign w:val="top"/>
          </w:tcPr>
          <w:p w14:paraId="33B5F91B">
            <w:pPr>
              <w:spacing w:before="33" w:line="221" w:lineRule="auto"/>
              <w:ind w:left="495"/>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商务项目</w:t>
            </w:r>
          </w:p>
        </w:tc>
        <w:tc>
          <w:tcPr>
            <w:tcW w:w="3090" w:type="dxa"/>
            <w:vAlign w:val="top"/>
          </w:tcPr>
          <w:p w14:paraId="3BE0ABFB">
            <w:pPr>
              <w:spacing w:before="34" w:line="220" w:lineRule="auto"/>
              <w:ind w:left="603"/>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采购文件的商务要求</w:t>
            </w:r>
          </w:p>
        </w:tc>
        <w:tc>
          <w:tcPr>
            <w:tcW w:w="3587" w:type="dxa"/>
            <w:vAlign w:val="top"/>
          </w:tcPr>
          <w:p w14:paraId="277E78CA">
            <w:pPr>
              <w:spacing w:before="33" w:line="221" w:lineRule="auto"/>
              <w:ind w:left="653"/>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响应文件承诺的商务条款</w:t>
            </w:r>
          </w:p>
        </w:tc>
        <w:tc>
          <w:tcPr>
            <w:tcW w:w="1279" w:type="dxa"/>
            <w:vAlign w:val="top"/>
          </w:tcPr>
          <w:p w14:paraId="0D031745">
            <w:pPr>
              <w:spacing w:before="33" w:line="221" w:lineRule="auto"/>
              <w:ind w:left="224"/>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偏离说明</w:t>
            </w:r>
          </w:p>
        </w:tc>
      </w:tr>
      <w:tr w14:paraId="753D0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1811" w:type="dxa"/>
            <w:vAlign w:val="top"/>
          </w:tcPr>
          <w:p w14:paraId="7477D16F">
            <w:pPr>
              <w:rPr>
                <w:rFonts w:ascii="Times New Roman" w:hAnsi="Times New Roman"/>
                <w:color w:val="000000" w:themeColor="text1"/>
                <w:spacing w:val="0"/>
                <w:position w:val="0"/>
                <w:sz w:val="21"/>
                <w14:textFill>
                  <w14:solidFill>
                    <w14:schemeClr w14:val="tx1"/>
                  </w14:solidFill>
                </w14:textFill>
              </w:rPr>
            </w:pPr>
          </w:p>
        </w:tc>
        <w:tc>
          <w:tcPr>
            <w:tcW w:w="3090" w:type="dxa"/>
            <w:vAlign w:val="top"/>
          </w:tcPr>
          <w:p w14:paraId="096FF6EC">
            <w:pPr>
              <w:rPr>
                <w:rFonts w:ascii="Times New Roman" w:hAnsi="Times New Roman"/>
                <w:color w:val="000000" w:themeColor="text1"/>
                <w:spacing w:val="0"/>
                <w:position w:val="0"/>
                <w:sz w:val="21"/>
                <w14:textFill>
                  <w14:solidFill>
                    <w14:schemeClr w14:val="tx1"/>
                  </w14:solidFill>
                </w14:textFill>
              </w:rPr>
            </w:pPr>
          </w:p>
        </w:tc>
        <w:tc>
          <w:tcPr>
            <w:tcW w:w="3587" w:type="dxa"/>
            <w:vAlign w:val="top"/>
          </w:tcPr>
          <w:p w14:paraId="339221CA">
            <w:pPr>
              <w:rPr>
                <w:rFonts w:ascii="Times New Roman" w:hAnsi="Times New Roman"/>
                <w:color w:val="000000" w:themeColor="text1"/>
                <w:spacing w:val="0"/>
                <w:position w:val="0"/>
                <w:sz w:val="21"/>
                <w14:textFill>
                  <w14:solidFill>
                    <w14:schemeClr w14:val="tx1"/>
                  </w14:solidFill>
                </w14:textFill>
              </w:rPr>
            </w:pPr>
          </w:p>
        </w:tc>
        <w:tc>
          <w:tcPr>
            <w:tcW w:w="1279" w:type="dxa"/>
            <w:vAlign w:val="top"/>
          </w:tcPr>
          <w:p w14:paraId="3779B8E0">
            <w:pPr>
              <w:rPr>
                <w:rFonts w:ascii="Times New Roman" w:hAnsi="Times New Roman"/>
                <w:color w:val="000000" w:themeColor="text1"/>
                <w:spacing w:val="0"/>
                <w:position w:val="0"/>
                <w:sz w:val="21"/>
                <w14:textFill>
                  <w14:solidFill>
                    <w14:schemeClr w14:val="tx1"/>
                  </w14:solidFill>
                </w14:textFill>
              </w:rPr>
            </w:pPr>
          </w:p>
        </w:tc>
      </w:tr>
      <w:tr w14:paraId="0BCA9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1811" w:type="dxa"/>
            <w:vAlign w:val="top"/>
          </w:tcPr>
          <w:p w14:paraId="2C7B9158">
            <w:pPr>
              <w:rPr>
                <w:rFonts w:ascii="Times New Roman" w:hAnsi="Times New Roman"/>
                <w:color w:val="000000" w:themeColor="text1"/>
                <w:spacing w:val="0"/>
                <w:position w:val="0"/>
                <w:sz w:val="21"/>
                <w14:textFill>
                  <w14:solidFill>
                    <w14:schemeClr w14:val="tx1"/>
                  </w14:solidFill>
                </w14:textFill>
              </w:rPr>
            </w:pPr>
          </w:p>
        </w:tc>
        <w:tc>
          <w:tcPr>
            <w:tcW w:w="3090" w:type="dxa"/>
            <w:vAlign w:val="top"/>
          </w:tcPr>
          <w:p w14:paraId="0BE7BD19">
            <w:pPr>
              <w:rPr>
                <w:rFonts w:ascii="Times New Roman" w:hAnsi="Times New Roman"/>
                <w:color w:val="000000" w:themeColor="text1"/>
                <w:spacing w:val="0"/>
                <w:position w:val="0"/>
                <w:sz w:val="21"/>
                <w14:textFill>
                  <w14:solidFill>
                    <w14:schemeClr w14:val="tx1"/>
                  </w14:solidFill>
                </w14:textFill>
              </w:rPr>
            </w:pPr>
          </w:p>
        </w:tc>
        <w:tc>
          <w:tcPr>
            <w:tcW w:w="3587" w:type="dxa"/>
            <w:vAlign w:val="top"/>
          </w:tcPr>
          <w:p w14:paraId="59C7C798">
            <w:pPr>
              <w:rPr>
                <w:rFonts w:ascii="Times New Roman" w:hAnsi="Times New Roman"/>
                <w:color w:val="000000" w:themeColor="text1"/>
                <w:spacing w:val="0"/>
                <w:position w:val="0"/>
                <w:sz w:val="21"/>
                <w14:textFill>
                  <w14:solidFill>
                    <w14:schemeClr w14:val="tx1"/>
                  </w14:solidFill>
                </w14:textFill>
              </w:rPr>
            </w:pPr>
          </w:p>
        </w:tc>
        <w:tc>
          <w:tcPr>
            <w:tcW w:w="1279" w:type="dxa"/>
            <w:vAlign w:val="top"/>
          </w:tcPr>
          <w:p w14:paraId="3B65E836">
            <w:pPr>
              <w:rPr>
                <w:rFonts w:ascii="Times New Roman" w:hAnsi="Times New Roman"/>
                <w:color w:val="000000" w:themeColor="text1"/>
                <w:spacing w:val="0"/>
                <w:position w:val="0"/>
                <w:sz w:val="21"/>
                <w14:textFill>
                  <w14:solidFill>
                    <w14:schemeClr w14:val="tx1"/>
                  </w14:solidFill>
                </w14:textFill>
              </w:rPr>
            </w:pPr>
          </w:p>
        </w:tc>
      </w:tr>
      <w:tr w14:paraId="28481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jc w:val="center"/>
        </w:trPr>
        <w:tc>
          <w:tcPr>
            <w:tcW w:w="1811" w:type="dxa"/>
            <w:vAlign w:val="top"/>
          </w:tcPr>
          <w:p w14:paraId="01C4EC4A">
            <w:pPr>
              <w:rPr>
                <w:rFonts w:ascii="Times New Roman" w:hAnsi="Times New Roman"/>
                <w:color w:val="000000" w:themeColor="text1"/>
                <w:spacing w:val="0"/>
                <w:position w:val="0"/>
                <w:sz w:val="21"/>
                <w14:textFill>
                  <w14:solidFill>
                    <w14:schemeClr w14:val="tx1"/>
                  </w14:solidFill>
                </w14:textFill>
              </w:rPr>
            </w:pPr>
          </w:p>
        </w:tc>
        <w:tc>
          <w:tcPr>
            <w:tcW w:w="3090" w:type="dxa"/>
            <w:vAlign w:val="top"/>
          </w:tcPr>
          <w:p w14:paraId="2CEC0253">
            <w:pPr>
              <w:rPr>
                <w:rFonts w:ascii="Times New Roman" w:hAnsi="Times New Roman"/>
                <w:color w:val="000000" w:themeColor="text1"/>
                <w:spacing w:val="0"/>
                <w:position w:val="0"/>
                <w:sz w:val="21"/>
                <w14:textFill>
                  <w14:solidFill>
                    <w14:schemeClr w14:val="tx1"/>
                  </w14:solidFill>
                </w14:textFill>
              </w:rPr>
            </w:pPr>
          </w:p>
        </w:tc>
        <w:tc>
          <w:tcPr>
            <w:tcW w:w="3587" w:type="dxa"/>
            <w:vAlign w:val="top"/>
          </w:tcPr>
          <w:p w14:paraId="11431F07">
            <w:pPr>
              <w:rPr>
                <w:rFonts w:ascii="Times New Roman" w:hAnsi="Times New Roman"/>
                <w:color w:val="000000" w:themeColor="text1"/>
                <w:spacing w:val="0"/>
                <w:position w:val="0"/>
                <w:sz w:val="21"/>
                <w14:textFill>
                  <w14:solidFill>
                    <w14:schemeClr w14:val="tx1"/>
                  </w14:solidFill>
                </w14:textFill>
              </w:rPr>
            </w:pPr>
          </w:p>
        </w:tc>
        <w:tc>
          <w:tcPr>
            <w:tcW w:w="1279" w:type="dxa"/>
            <w:vAlign w:val="top"/>
          </w:tcPr>
          <w:p w14:paraId="7CC8C80D">
            <w:pPr>
              <w:rPr>
                <w:rFonts w:ascii="Times New Roman" w:hAnsi="Times New Roman"/>
                <w:color w:val="000000" w:themeColor="text1"/>
                <w:spacing w:val="0"/>
                <w:position w:val="0"/>
                <w:sz w:val="21"/>
                <w14:textFill>
                  <w14:solidFill>
                    <w14:schemeClr w14:val="tx1"/>
                  </w14:solidFill>
                </w14:textFill>
              </w:rPr>
            </w:pPr>
          </w:p>
        </w:tc>
      </w:tr>
      <w:tr w14:paraId="71712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1811" w:type="dxa"/>
            <w:vAlign w:val="top"/>
          </w:tcPr>
          <w:p w14:paraId="6BEAAE9C">
            <w:pPr>
              <w:rPr>
                <w:rFonts w:ascii="Times New Roman" w:hAnsi="Times New Roman"/>
                <w:color w:val="000000" w:themeColor="text1"/>
                <w:spacing w:val="0"/>
                <w:position w:val="0"/>
                <w:sz w:val="21"/>
                <w14:textFill>
                  <w14:solidFill>
                    <w14:schemeClr w14:val="tx1"/>
                  </w14:solidFill>
                </w14:textFill>
              </w:rPr>
            </w:pPr>
          </w:p>
        </w:tc>
        <w:tc>
          <w:tcPr>
            <w:tcW w:w="3090" w:type="dxa"/>
            <w:vAlign w:val="top"/>
          </w:tcPr>
          <w:p w14:paraId="44521A83">
            <w:pPr>
              <w:rPr>
                <w:rFonts w:ascii="Times New Roman" w:hAnsi="Times New Roman"/>
                <w:color w:val="000000" w:themeColor="text1"/>
                <w:spacing w:val="0"/>
                <w:position w:val="0"/>
                <w:sz w:val="21"/>
                <w14:textFill>
                  <w14:solidFill>
                    <w14:schemeClr w14:val="tx1"/>
                  </w14:solidFill>
                </w14:textFill>
              </w:rPr>
            </w:pPr>
          </w:p>
        </w:tc>
        <w:tc>
          <w:tcPr>
            <w:tcW w:w="3587" w:type="dxa"/>
            <w:vAlign w:val="top"/>
          </w:tcPr>
          <w:p w14:paraId="081572CF">
            <w:pPr>
              <w:rPr>
                <w:rFonts w:ascii="Times New Roman" w:hAnsi="Times New Roman"/>
                <w:color w:val="000000" w:themeColor="text1"/>
                <w:spacing w:val="0"/>
                <w:position w:val="0"/>
                <w:sz w:val="21"/>
                <w14:textFill>
                  <w14:solidFill>
                    <w14:schemeClr w14:val="tx1"/>
                  </w14:solidFill>
                </w14:textFill>
              </w:rPr>
            </w:pPr>
          </w:p>
        </w:tc>
        <w:tc>
          <w:tcPr>
            <w:tcW w:w="1279" w:type="dxa"/>
            <w:vAlign w:val="top"/>
          </w:tcPr>
          <w:p w14:paraId="5A153507">
            <w:pPr>
              <w:rPr>
                <w:rFonts w:ascii="Times New Roman" w:hAnsi="Times New Roman"/>
                <w:color w:val="000000" w:themeColor="text1"/>
                <w:spacing w:val="0"/>
                <w:position w:val="0"/>
                <w:sz w:val="21"/>
                <w14:textFill>
                  <w14:solidFill>
                    <w14:schemeClr w14:val="tx1"/>
                  </w14:solidFill>
                </w14:textFill>
              </w:rPr>
            </w:pPr>
          </w:p>
        </w:tc>
      </w:tr>
      <w:tr w14:paraId="4000D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1811" w:type="dxa"/>
            <w:vAlign w:val="top"/>
          </w:tcPr>
          <w:p w14:paraId="19B867C1">
            <w:pPr>
              <w:rPr>
                <w:rFonts w:ascii="Times New Roman" w:hAnsi="Times New Roman"/>
                <w:color w:val="000000" w:themeColor="text1"/>
                <w:spacing w:val="0"/>
                <w:position w:val="0"/>
                <w:sz w:val="21"/>
                <w14:textFill>
                  <w14:solidFill>
                    <w14:schemeClr w14:val="tx1"/>
                  </w14:solidFill>
                </w14:textFill>
              </w:rPr>
            </w:pPr>
          </w:p>
        </w:tc>
        <w:tc>
          <w:tcPr>
            <w:tcW w:w="3090" w:type="dxa"/>
            <w:vAlign w:val="top"/>
          </w:tcPr>
          <w:p w14:paraId="3B4EA820">
            <w:pPr>
              <w:rPr>
                <w:rFonts w:ascii="Times New Roman" w:hAnsi="Times New Roman"/>
                <w:color w:val="000000" w:themeColor="text1"/>
                <w:spacing w:val="0"/>
                <w:position w:val="0"/>
                <w:sz w:val="21"/>
                <w14:textFill>
                  <w14:solidFill>
                    <w14:schemeClr w14:val="tx1"/>
                  </w14:solidFill>
                </w14:textFill>
              </w:rPr>
            </w:pPr>
          </w:p>
        </w:tc>
        <w:tc>
          <w:tcPr>
            <w:tcW w:w="3587" w:type="dxa"/>
            <w:vAlign w:val="top"/>
          </w:tcPr>
          <w:p w14:paraId="53EA6B4E">
            <w:pPr>
              <w:rPr>
                <w:rFonts w:ascii="Times New Roman" w:hAnsi="Times New Roman"/>
                <w:color w:val="000000" w:themeColor="text1"/>
                <w:spacing w:val="0"/>
                <w:position w:val="0"/>
                <w:sz w:val="21"/>
                <w14:textFill>
                  <w14:solidFill>
                    <w14:schemeClr w14:val="tx1"/>
                  </w14:solidFill>
                </w14:textFill>
              </w:rPr>
            </w:pPr>
          </w:p>
        </w:tc>
        <w:tc>
          <w:tcPr>
            <w:tcW w:w="1279" w:type="dxa"/>
            <w:vAlign w:val="top"/>
          </w:tcPr>
          <w:p w14:paraId="0CB02FB5">
            <w:pPr>
              <w:rPr>
                <w:rFonts w:ascii="Times New Roman" w:hAnsi="Times New Roman"/>
                <w:color w:val="000000" w:themeColor="text1"/>
                <w:spacing w:val="0"/>
                <w:position w:val="0"/>
                <w:sz w:val="21"/>
                <w14:textFill>
                  <w14:solidFill>
                    <w14:schemeClr w14:val="tx1"/>
                  </w14:solidFill>
                </w14:textFill>
              </w:rPr>
            </w:pPr>
          </w:p>
        </w:tc>
      </w:tr>
      <w:tr w14:paraId="583A6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811" w:type="dxa"/>
            <w:vAlign w:val="top"/>
          </w:tcPr>
          <w:p w14:paraId="725DEE62">
            <w:pPr>
              <w:rPr>
                <w:rFonts w:ascii="Times New Roman" w:hAnsi="Times New Roman"/>
                <w:color w:val="000000" w:themeColor="text1"/>
                <w:spacing w:val="0"/>
                <w:position w:val="0"/>
                <w:sz w:val="21"/>
                <w14:textFill>
                  <w14:solidFill>
                    <w14:schemeClr w14:val="tx1"/>
                  </w14:solidFill>
                </w14:textFill>
              </w:rPr>
            </w:pPr>
          </w:p>
        </w:tc>
        <w:tc>
          <w:tcPr>
            <w:tcW w:w="3090" w:type="dxa"/>
            <w:vAlign w:val="top"/>
          </w:tcPr>
          <w:p w14:paraId="1EB860C0">
            <w:pPr>
              <w:rPr>
                <w:rFonts w:ascii="Times New Roman" w:hAnsi="Times New Roman"/>
                <w:color w:val="000000" w:themeColor="text1"/>
                <w:spacing w:val="0"/>
                <w:position w:val="0"/>
                <w:sz w:val="21"/>
                <w14:textFill>
                  <w14:solidFill>
                    <w14:schemeClr w14:val="tx1"/>
                  </w14:solidFill>
                </w14:textFill>
              </w:rPr>
            </w:pPr>
          </w:p>
        </w:tc>
        <w:tc>
          <w:tcPr>
            <w:tcW w:w="3587" w:type="dxa"/>
            <w:vAlign w:val="top"/>
          </w:tcPr>
          <w:p w14:paraId="4F39C504">
            <w:pPr>
              <w:rPr>
                <w:rFonts w:ascii="Times New Roman" w:hAnsi="Times New Roman"/>
                <w:color w:val="000000" w:themeColor="text1"/>
                <w:spacing w:val="0"/>
                <w:position w:val="0"/>
                <w:sz w:val="21"/>
                <w14:textFill>
                  <w14:solidFill>
                    <w14:schemeClr w14:val="tx1"/>
                  </w14:solidFill>
                </w14:textFill>
              </w:rPr>
            </w:pPr>
          </w:p>
        </w:tc>
        <w:tc>
          <w:tcPr>
            <w:tcW w:w="1279" w:type="dxa"/>
            <w:vAlign w:val="top"/>
          </w:tcPr>
          <w:p w14:paraId="438F370D">
            <w:pPr>
              <w:rPr>
                <w:rFonts w:ascii="Times New Roman" w:hAnsi="Times New Roman"/>
                <w:color w:val="000000" w:themeColor="text1"/>
                <w:spacing w:val="0"/>
                <w:position w:val="0"/>
                <w:sz w:val="21"/>
                <w14:textFill>
                  <w14:solidFill>
                    <w14:schemeClr w14:val="tx1"/>
                  </w14:solidFill>
                </w14:textFill>
              </w:rPr>
            </w:pPr>
          </w:p>
        </w:tc>
      </w:tr>
    </w:tbl>
    <w:p w14:paraId="722C9B1A">
      <w:pPr>
        <w:keepNext w:val="0"/>
        <w:keepLines w:val="0"/>
        <w:pageBreakBefore w:val="0"/>
        <w:widowControl w:val="0"/>
        <w:kinsoku/>
        <w:wordWrap/>
        <w:overflowPunct/>
        <w:topLinePunct w:val="0"/>
        <w:autoSpaceDE/>
        <w:autoSpaceDN/>
        <w:bidi w:val="0"/>
        <w:adjustRightInd/>
        <w:snapToGrid/>
        <w:spacing w:line="480" w:lineRule="exact"/>
        <w:ind w:right="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注：</w:t>
      </w:r>
    </w:p>
    <w:p w14:paraId="254D9FB4">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1.说明：应对照采购文件“第三章商务要求”中的商务条款逐条作出明确响应，并作出偏离说明且</w:t>
      </w:r>
      <w:r>
        <w:rPr>
          <w:rFonts w:hint="eastAsia" w:ascii="Times New Roman" w:hAnsi="Times New Roman" w:eastAsia="宋体" w:cs="宋体"/>
          <w:b/>
          <w:bCs/>
          <w:color w:val="000000" w:themeColor="text1"/>
          <w:spacing w:val="0"/>
          <w:position w:val="0"/>
          <w:sz w:val="21"/>
          <w:szCs w:val="21"/>
          <w:lang w:eastAsia="zh-CN"/>
          <w14:textFill>
            <w14:solidFill>
              <w14:schemeClr w14:val="tx1"/>
            </w14:solidFill>
          </w14:textFill>
        </w:rPr>
        <w:t>不</w:t>
      </w:r>
      <w:r>
        <w:rPr>
          <w:rFonts w:ascii="Times New Roman" w:hAnsi="Times New Roman" w:eastAsia="宋体" w:cs="宋体"/>
          <w:b/>
          <w:bCs/>
          <w:color w:val="000000" w:themeColor="text1"/>
          <w:spacing w:val="0"/>
          <w:position w:val="0"/>
          <w:sz w:val="21"/>
          <w:szCs w:val="21"/>
          <w14:textFill>
            <w14:solidFill>
              <w14:schemeClr w14:val="tx1"/>
            </w14:solidFill>
          </w14:textFill>
        </w:rPr>
        <w:t>允许“</w:t>
      </w:r>
      <w:r>
        <w:rPr>
          <w:rFonts w:hint="eastAsia" w:ascii="Times New Roman" w:hAnsi="Times New Roman" w:eastAsia="宋体" w:cs="宋体"/>
          <w:b/>
          <w:bCs/>
          <w:color w:val="000000" w:themeColor="text1"/>
          <w:spacing w:val="0"/>
          <w:position w:val="0"/>
          <w:sz w:val="21"/>
          <w:szCs w:val="21"/>
          <w:lang w:eastAsia="zh-CN"/>
          <w14:textFill>
            <w14:solidFill>
              <w14:schemeClr w14:val="tx1"/>
            </w14:solidFill>
          </w14:textFill>
        </w:rPr>
        <w:t>负</w:t>
      </w:r>
      <w:r>
        <w:rPr>
          <w:rFonts w:ascii="Times New Roman" w:hAnsi="Times New Roman" w:eastAsia="宋体" w:cs="宋体"/>
          <w:b/>
          <w:bCs/>
          <w:color w:val="000000" w:themeColor="text1"/>
          <w:spacing w:val="0"/>
          <w:position w:val="0"/>
          <w:sz w:val="21"/>
          <w:szCs w:val="21"/>
          <w14:textFill>
            <w14:solidFill>
              <w14:schemeClr w14:val="tx1"/>
            </w14:solidFill>
          </w14:textFill>
        </w:rPr>
        <w:t>偏离”</w:t>
      </w:r>
      <w:r>
        <w:rPr>
          <w:rFonts w:ascii="Times New Roman" w:hAnsi="Times New Roman" w:eastAsia="宋体" w:cs="宋体"/>
          <w:color w:val="000000" w:themeColor="text1"/>
          <w:spacing w:val="0"/>
          <w:position w:val="0"/>
          <w:sz w:val="21"/>
          <w:szCs w:val="21"/>
          <w14:textFill>
            <w14:solidFill>
              <w14:schemeClr w14:val="tx1"/>
            </w14:solidFill>
          </w14:textFill>
        </w:rPr>
        <w:t>。</w:t>
      </w:r>
    </w:p>
    <w:p w14:paraId="511C7ED8">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2.供应商应根据自身的承诺，对照商务要求，在“偏离说明”中注明“正偏离”、“负偏离”或者“无偏离”。既不属于“正偏离”也不属于“负偏离”即为“无偏离”。当响应文件的商务内容低于采购文件要求时，竞标人应当如实写明“负偏离”，否则视为虚假应标。</w:t>
      </w:r>
    </w:p>
    <w:p w14:paraId="2CB54BBC">
      <w:pPr>
        <w:keepNext w:val="0"/>
        <w:keepLines w:val="0"/>
        <w:pageBreakBefore w:val="0"/>
        <w:widowControl w:val="0"/>
        <w:kinsoku/>
        <w:wordWrap/>
        <w:overflowPunct/>
        <w:topLinePunct w:val="0"/>
        <w:autoSpaceDE/>
        <w:autoSpaceDN/>
        <w:bidi w:val="0"/>
        <w:adjustRightInd/>
        <w:snapToGrid/>
        <w:spacing w:line="480" w:lineRule="exact"/>
        <w:ind w:left="0" w:right="0" w:firstLine="420" w:firstLineChars="200"/>
        <w:textAlignment w:val="auto"/>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3.表格内容均需按要求填写并盖章，不得留空，否则按竞标无效处理。</w:t>
      </w:r>
    </w:p>
    <w:p w14:paraId="3E641A25">
      <w:pPr>
        <w:spacing w:line="371" w:lineRule="auto"/>
        <w:rPr>
          <w:rFonts w:ascii="Times New Roman" w:hAnsi="Times New Roman"/>
          <w:color w:val="000000" w:themeColor="text1"/>
          <w:spacing w:val="0"/>
          <w:position w:val="0"/>
          <w:sz w:val="21"/>
          <w14:textFill>
            <w14:solidFill>
              <w14:schemeClr w14:val="tx1"/>
            </w14:solidFill>
          </w14:textFill>
        </w:rPr>
      </w:pPr>
    </w:p>
    <w:p w14:paraId="1C0DBE63">
      <w:pPr>
        <w:spacing w:line="371" w:lineRule="auto"/>
        <w:rPr>
          <w:rFonts w:ascii="Times New Roman" w:hAnsi="Times New Roman"/>
          <w:color w:val="000000" w:themeColor="text1"/>
          <w:spacing w:val="0"/>
          <w:position w:val="0"/>
          <w:sz w:val="21"/>
          <w14:textFill>
            <w14:solidFill>
              <w14:schemeClr w14:val="tx1"/>
            </w14:solidFill>
          </w14:textFill>
        </w:rPr>
      </w:pPr>
    </w:p>
    <w:p w14:paraId="3FA16558">
      <w:pPr>
        <w:spacing w:line="371" w:lineRule="auto"/>
        <w:rPr>
          <w:rFonts w:ascii="Times New Roman" w:hAnsi="Times New Roman"/>
          <w:color w:val="000000" w:themeColor="text1"/>
          <w:spacing w:val="0"/>
          <w:position w:val="0"/>
          <w:sz w:val="21"/>
          <w14:textFill>
            <w14:solidFill>
              <w14:schemeClr w14:val="tx1"/>
            </w14:solidFill>
          </w14:textFill>
        </w:rPr>
      </w:pPr>
    </w:p>
    <w:p w14:paraId="39EB9E6A">
      <w:pPr>
        <w:spacing w:before="68" w:line="220" w:lineRule="auto"/>
        <w:ind w:left="4996"/>
        <w:rPr>
          <w:rFonts w:ascii="Times New Roman" w:hAnsi="Times New Roman" w:eastAsia="宋体" w:cs="宋体"/>
          <w:color w:val="000000" w:themeColor="text1"/>
          <w:spacing w:val="0"/>
          <w:position w:val="0"/>
          <w:sz w:val="21"/>
          <w:szCs w:val="21"/>
          <w14:textFill>
            <w14:solidFill>
              <w14:schemeClr w14:val="tx1"/>
            </w14:solidFill>
          </w14:textFill>
        </w:rPr>
      </w:pPr>
      <w:r>
        <w:rPr>
          <w:rFonts w:ascii="Times New Roman" w:hAnsi="Times New Roman" w:eastAsia="宋体" w:cs="宋体"/>
          <w:color w:val="000000" w:themeColor="text1"/>
          <w:spacing w:val="0"/>
          <w:position w:val="0"/>
          <w:sz w:val="21"/>
          <w:szCs w:val="21"/>
          <w14:textFill>
            <w14:solidFill>
              <w14:schemeClr w14:val="tx1"/>
            </w14:solidFill>
          </w14:textFill>
        </w:rPr>
        <w:t>供应商名称：</w:t>
      </w:r>
    </w:p>
    <w:p w14:paraId="63294C34">
      <w:pPr>
        <w:spacing w:before="217" w:line="221" w:lineRule="auto"/>
        <w:ind w:left="5032"/>
        <w:rPr>
          <w:rFonts w:hint="eastAsia"/>
        </w:rPr>
      </w:pPr>
      <w:r>
        <w:rPr>
          <w:rFonts w:ascii="Times New Roman" w:hAnsi="Times New Roman" w:eastAsia="宋体" w:cs="宋体"/>
          <w:color w:val="000000" w:themeColor="text1"/>
          <w:spacing w:val="0"/>
          <w:position w:val="0"/>
          <w:sz w:val="21"/>
          <w:szCs w:val="21"/>
          <w14:textFill>
            <w14:solidFill>
              <w14:schemeClr w14:val="tx1"/>
            </w14:solidFill>
          </w14:textFill>
        </w:rPr>
        <w:t>日期：   年  月   日</w:t>
      </w:r>
      <w:r>
        <w:rPr>
          <w:rFonts w:hint="eastAsia"/>
        </w:rPr>
        <w:br w:type="page"/>
      </w:r>
    </w:p>
    <w:p w14:paraId="0E38CDC8">
      <w:pPr>
        <w:pStyle w:val="5"/>
        <w:bidi w:val="0"/>
        <w:outlineLvl w:val="0"/>
        <w:rPr>
          <w:rFonts w:hint="eastAsia" w:ascii="仿宋_GB2312" w:hAnsi="仿宋_GB2312" w:eastAsia="仿宋_GB2312" w:cs="仿宋_GB2312"/>
          <w:b w:val="0"/>
          <w:bCs/>
        </w:rPr>
      </w:pPr>
      <w:bookmarkStart w:id="17" w:name="_Toc10404"/>
      <w:bookmarkStart w:id="18" w:name="_Toc32078"/>
      <w:r>
        <w:rPr>
          <w:rFonts w:hint="eastAsia" w:ascii="仿宋_GB2312" w:hAnsi="仿宋_GB2312" w:eastAsia="仿宋_GB2312" w:cs="仿宋_GB2312"/>
          <w:b w:val="0"/>
          <w:bCs/>
        </w:rPr>
        <w:t>附件4</w:t>
      </w:r>
      <w:bookmarkEnd w:id="17"/>
      <w:bookmarkEnd w:id="18"/>
    </w:p>
    <w:p w14:paraId="2D9F5953">
      <w:pPr>
        <w:spacing w:before="140" w:line="223" w:lineRule="auto"/>
        <w:jc w:val="center"/>
        <w:rPr>
          <w:rFonts w:hint="eastAsia"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t>法定代表人授权书</w:t>
      </w:r>
    </w:p>
    <w:p w14:paraId="1F6F5871">
      <w:pPr>
        <w:snapToGrid w:val="0"/>
        <w:spacing w:line="520" w:lineRule="exact"/>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p>
    <w:p w14:paraId="2F0C8BA9">
      <w:pPr>
        <w:spacing w:line="520" w:lineRule="exact"/>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u w:val="single" w:color="000000"/>
          <w14:textFill>
            <w14:solidFill>
              <w14:schemeClr w14:val="tx1"/>
            </w14:solidFill>
          </w14:textFill>
        </w:rPr>
        <w:t>广西壮族自治区体育局江南训练基地</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w:t>
      </w:r>
    </w:p>
    <w:p w14:paraId="36AA4675">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兹授权</w:t>
      </w:r>
      <w:r>
        <w:rPr>
          <w:rStyle w:val="13"/>
          <w:rFonts w:hint="eastAsia" w:ascii="Times New Roman" w:hAnsi="Times New Roman" w:eastAsia="宋体" w:cs="宋体"/>
          <w:color w:val="000000" w:themeColor="text1"/>
          <w:spacing w:val="0"/>
          <w:position w:val="0"/>
          <w:sz w:val="24"/>
          <w:highlight w:val="none"/>
          <w:u w:val="singl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同志为我公司参加贵单位组织的</w:t>
      </w:r>
      <w:r>
        <w:rPr>
          <w:rStyle w:val="13"/>
          <w:rFonts w:hint="eastAsia" w:ascii="Times New Roman" w:hAnsi="Times New Roman" w:eastAsia="宋体" w:cs="宋体"/>
          <w:color w:val="000000" w:themeColor="text1"/>
          <w:spacing w:val="0"/>
          <w:position w:val="0"/>
          <w:sz w:val="24"/>
          <w:highlight w:val="none"/>
          <w:u w:val="single" w:color="000000"/>
          <w14:textFill>
            <w14:solidFill>
              <w14:schemeClr w14:val="tx1"/>
            </w14:solidFill>
          </w14:textFill>
        </w:rPr>
        <w:t>（项目名称）</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采购活动的</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投</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标代表人，全权代表我公司处理在该项目活动中的一切事宜。</w:t>
      </w:r>
    </w:p>
    <w:p w14:paraId="74351517">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代理期限从</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年</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月</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日起至</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年</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月</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日止。</w:t>
      </w:r>
    </w:p>
    <w:p w14:paraId="6F82F16D">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授权单位（</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盖章</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w:t>
      </w:r>
    </w:p>
    <w:p w14:paraId="3870229B">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法定代表人（签字）：</w:t>
      </w:r>
    </w:p>
    <w:p w14:paraId="571F550B">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签发日期：年</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月</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 xml:space="preserve">  </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日</w:t>
      </w:r>
    </w:p>
    <w:p w14:paraId="67AA369A">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附：</w:t>
      </w:r>
    </w:p>
    <w:p w14:paraId="5768A31C">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代理人工作单位：</w:t>
      </w:r>
    </w:p>
    <w:p w14:paraId="35A3085D">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性别：      职务：</w:t>
      </w:r>
    </w:p>
    <w:p w14:paraId="485FA379">
      <w:pPr>
        <w:snapToGrid w:val="0"/>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u w:val="single" w:color="000000"/>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身份证号码：</w:t>
      </w:r>
    </w:p>
    <w:p w14:paraId="63AF0573">
      <w:pPr>
        <w:snapToGrid w:val="0"/>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u w:val="none" w:color="auto"/>
          <w:lang w:eastAsia="zh-CN"/>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u w:val="none" w:color="auto"/>
          <w:lang w:eastAsia="zh-CN"/>
          <w14:textFill>
            <w14:solidFill>
              <w14:schemeClr w14:val="tx1"/>
            </w14:solidFill>
          </w14:textFill>
        </w:rPr>
        <w:t>代理人联系电话：</w:t>
      </w:r>
    </w:p>
    <w:tbl>
      <w:tblPr>
        <w:tblStyle w:val="8"/>
        <w:tblW w:w="8650" w:type="dxa"/>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50"/>
      </w:tblGrid>
      <w:tr w14:paraId="200EE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1" w:hRule="atLeast"/>
        </w:trPr>
        <w:tc>
          <w:tcPr>
            <w:tcW w:w="8650" w:type="dxa"/>
            <w:tcBorders>
              <w:top w:val="single" w:color="000000" w:sz="4" w:space="0"/>
              <w:left w:val="single" w:color="000000" w:sz="4" w:space="0"/>
              <w:bottom w:val="single" w:color="000000" w:sz="4" w:space="0"/>
              <w:right w:val="single" w:color="000000" w:sz="4" w:space="0"/>
            </w:tcBorders>
          </w:tcPr>
          <w:p w14:paraId="303505DF">
            <w:pPr>
              <w:spacing w:line="300" w:lineRule="auto"/>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被授权人身份证</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正反面</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（复印件）粘贴处</w:t>
            </w:r>
          </w:p>
        </w:tc>
      </w:tr>
    </w:tbl>
    <w:p w14:paraId="0521D8A9">
      <w:pPr>
        <w:rPr>
          <w:rFonts w:hint="eastAsia"/>
        </w:rPr>
      </w:pPr>
      <w:r>
        <w:rPr>
          <w:rFonts w:hint="eastAsia"/>
        </w:rPr>
        <w:br w:type="page"/>
      </w:r>
    </w:p>
    <w:p w14:paraId="69FF74E3">
      <w:pPr>
        <w:pStyle w:val="5"/>
        <w:bidi w:val="0"/>
        <w:outlineLvl w:val="0"/>
        <w:rPr>
          <w:rFonts w:hint="eastAsia" w:ascii="仿宋_GB2312" w:hAnsi="仿宋_GB2312" w:eastAsia="仿宋_GB2312" w:cs="仿宋_GB2312"/>
          <w:b w:val="0"/>
          <w:bCs/>
        </w:rPr>
      </w:pPr>
      <w:bookmarkStart w:id="19" w:name="_Toc29747"/>
      <w:bookmarkStart w:id="20" w:name="_Toc25005"/>
      <w:r>
        <w:rPr>
          <w:rFonts w:hint="eastAsia" w:ascii="仿宋_GB2312" w:hAnsi="仿宋_GB2312" w:eastAsia="仿宋_GB2312" w:cs="仿宋_GB2312"/>
          <w:b w:val="0"/>
          <w:bCs/>
        </w:rPr>
        <w:t>附件5</w:t>
      </w:r>
      <w:bookmarkEnd w:id="19"/>
      <w:bookmarkEnd w:id="20"/>
    </w:p>
    <w:p w14:paraId="7B5067A1">
      <w:pPr>
        <w:spacing w:before="140" w:line="223" w:lineRule="auto"/>
        <w:jc w:val="center"/>
        <w:rPr>
          <w:rFonts w:hint="eastAsia"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pPr>
      <w:r>
        <w:rPr>
          <w:rFonts w:hint="eastAsia" w:ascii="Times New Roman" w:hAnsi="Times New Roman" w:eastAsia="宋体" w:cs="宋体"/>
          <w:color w:val="000000" w:themeColor="text1"/>
          <w:spacing w:val="0"/>
          <w:position w:val="0"/>
          <w:sz w:val="43"/>
          <w:szCs w:val="43"/>
          <w14:textOutline w14:w="7968" w14:cap="flat" w14:cmpd="sng">
            <w14:solidFill>
              <w14:srgbClr w14:val="000000"/>
            </w14:solidFill>
            <w14:prstDash w14:val="solid"/>
            <w14:miter w14:val="0"/>
          </w14:textOutline>
          <w14:textFill>
            <w14:solidFill>
              <w14:schemeClr w14:val="tx1"/>
            </w14:solidFill>
          </w14:textFill>
        </w:rPr>
        <w:t>信用声明函</w:t>
      </w:r>
    </w:p>
    <w:p w14:paraId="2686A394">
      <w:pPr>
        <w:jc w:val="center"/>
        <w:rPr>
          <w:rStyle w:val="13"/>
          <w:rFonts w:hint="eastAsia" w:ascii="Times New Roman" w:hAnsi="Times New Roman" w:eastAsia="宋体" w:cs="宋体"/>
          <w:b/>
          <w:color w:val="000000" w:themeColor="text1"/>
          <w:spacing w:val="0"/>
          <w:position w:val="0"/>
          <w:sz w:val="30"/>
          <w:szCs w:val="30"/>
          <w:highlight w:val="none"/>
          <w14:textFill>
            <w14:solidFill>
              <w14:schemeClr w14:val="tx1"/>
            </w14:solidFill>
          </w14:textFill>
        </w:rPr>
      </w:pPr>
    </w:p>
    <w:p w14:paraId="35B8CF55">
      <w:pPr>
        <w:spacing w:line="520" w:lineRule="exact"/>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致：广西壮族自治区体育局江南训练基地</w:t>
      </w:r>
    </w:p>
    <w:p w14:paraId="695D4A91">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我方愿意参加贵方组织的</w:t>
      </w:r>
      <w:r>
        <w:rPr>
          <w:rStyle w:val="13"/>
          <w:rFonts w:hint="eastAsia" w:ascii="Times New Roman" w:hAnsi="Times New Roman" w:eastAsia="宋体" w:cs="宋体"/>
          <w:color w:val="000000" w:themeColor="text1"/>
          <w:spacing w:val="0"/>
          <w:position w:val="0"/>
          <w:sz w:val="24"/>
          <w:highlight w:val="none"/>
          <w:u w:val="single"/>
          <w:lang w:eastAsia="zh-CN"/>
          <w14:textFill>
            <w14:solidFill>
              <w14:schemeClr w14:val="tx1"/>
            </w14:solidFill>
          </w14:textFill>
        </w:rPr>
        <w:t>（</w:t>
      </w:r>
      <w:r>
        <w:rPr>
          <w:rStyle w:val="13"/>
          <w:rFonts w:hint="eastAsia" w:ascii="Times New Roman" w:hAnsi="Times New Roman" w:eastAsia="宋体" w:cs="宋体"/>
          <w:color w:val="000000" w:themeColor="text1"/>
          <w:spacing w:val="0"/>
          <w:position w:val="0"/>
          <w:sz w:val="24"/>
          <w:highlight w:val="none"/>
          <w:u w:val="single"/>
          <w14:textFill>
            <w14:solidFill>
              <w14:schemeClr w14:val="tx1"/>
            </w14:solidFill>
          </w14:textFill>
        </w:rPr>
        <w:t>项目名称</w:t>
      </w:r>
      <w:r>
        <w:rPr>
          <w:rStyle w:val="13"/>
          <w:rFonts w:hint="eastAsia" w:ascii="Times New Roman" w:hAnsi="Times New Roman" w:eastAsia="宋体" w:cs="宋体"/>
          <w:color w:val="000000" w:themeColor="text1"/>
          <w:spacing w:val="0"/>
          <w:position w:val="0"/>
          <w:sz w:val="24"/>
          <w:highlight w:val="none"/>
          <w:u w:val="single"/>
          <w:lang w:eastAsia="zh-CN"/>
          <w14:textFill>
            <w14:solidFill>
              <w14:schemeClr w14:val="tx1"/>
            </w14:solidFill>
          </w14:textFill>
        </w:rPr>
        <w:t>）</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项目的</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竞标</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，为便于贵方公正、择优地确定成交人及其</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投标</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货物</w:t>
      </w:r>
      <w:r>
        <w:rPr>
          <w:rStyle w:val="13"/>
          <w:rFonts w:hint="eastAsia" w:ascii="Times New Roman" w:hAnsi="Times New Roman" w:eastAsia="宋体" w:cs="宋体"/>
          <w:color w:val="000000" w:themeColor="text1"/>
          <w:spacing w:val="0"/>
          <w:position w:val="0"/>
          <w:sz w:val="24"/>
          <w:highlight w:val="none"/>
          <w:lang w:val="en-US" w:eastAsia="zh-CN"/>
          <w14:textFill>
            <w14:solidFill>
              <w14:schemeClr w14:val="tx1"/>
            </w14:solidFill>
          </w14:textFill>
        </w:rPr>
        <w:t>/</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服务，我方就本次</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投</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标有关事项郑重声明如下：</w:t>
      </w:r>
    </w:p>
    <w:p w14:paraId="6B9E7230">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1</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经查询，在“信用中国”和“中国政府采购网”网站我方未被列入失信被执行人、重大税收违法案件当事人名单、政府采购严重违法失信行为记录名单。</w:t>
      </w:r>
    </w:p>
    <w:p w14:paraId="460E348B">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2</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我公司参加政府采购活动前3年内在经营活动中没有重大违法记录。</w:t>
      </w:r>
    </w:p>
    <w:p w14:paraId="4D84AB84">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3</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以上事项如有虚假或隐瞒，我方愿意承担一切后果，并不再寻求任何旨在减轻或免除法律责任的辩解。</w:t>
      </w:r>
    </w:p>
    <w:p w14:paraId="7A56AA0F">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p>
    <w:p w14:paraId="59E3611A">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p>
    <w:p w14:paraId="67740F65">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法定代表人签字：</w:t>
      </w:r>
    </w:p>
    <w:p w14:paraId="10B05F77">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供应商（盖章）：</w:t>
      </w:r>
    </w:p>
    <w:p w14:paraId="0D6C3207">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 xml:space="preserve">                                               年    月    日</w:t>
      </w:r>
    </w:p>
    <w:p w14:paraId="61F9BEA3">
      <w:pPr>
        <w:spacing w:line="520" w:lineRule="exact"/>
        <w:ind w:firstLine="480" w:firstLineChars="200"/>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pPr>
    </w:p>
    <w:p w14:paraId="033D11B1">
      <w:pPr>
        <w:spacing w:line="520" w:lineRule="exact"/>
        <w:ind w:firstLine="480" w:firstLineChars="200"/>
      </w:pP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说明：由</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投标人</w:t>
      </w:r>
      <w:r>
        <w:rPr>
          <w:rStyle w:val="13"/>
          <w:rFonts w:hint="eastAsia" w:ascii="Times New Roman" w:hAnsi="Times New Roman" w:eastAsia="宋体" w:cs="宋体"/>
          <w:color w:val="000000" w:themeColor="text1"/>
          <w:spacing w:val="0"/>
          <w:position w:val="0"/>
          <w:sz w:val="24"/>
          <w:highlight w:val="none"/>
          <w14:textFill>
            <w14:solidFill>
              <w14:schemeClr w14:val="tx1"/>
            </w14:solidFill>
          </w14:textFill>
        </w:rPr>
        <w:t>通过“信用中国”网站(www.creditchina.gov.cn)、中国政府采购网(www.ccgp.gov.cn)网站进行信用查询，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拒绝参与本次政府采购活动</w:t>
      </w:r>
      <w:r>
        <w:rPr>
          <w:rStyle w:val="13"/>
          <w:rFonts w:hint="eastAsia" w:ascii="Times New Roman" w:hAnsi="Times New Roman" w:eastAsia="宋体" w:cs="宋体"/>
          <w:color w:val="000000" w:themeColor="text1"/>
          <w:spacing w:val="0"/>
          <w:position w:val="0"/>
          <w:sz w:val="24"/>
          <w:highlight w:val="none"/>
          <w:lang w:eastAsia="zh-CN"/>
          <w14:textFill>
            <w14:solidFill>
              <w14:schemeClr w14:val="tx1"/>
            </w14:solidFill>
          </w14:textFill>
        </w:rPr>
        <w:t>。</w:t>
      </w:r>
    </w:p>
    <w:sectPr>
      <w:headerReference r:id="rId10" w:type="default"/>
      <w:footerReference r:id="rId12" w:type="default"/>
      <w:headerReference r:id="rId11" w:type="even"/>
      <w:footerReference r:id="rId13" w:type="even"/>
      <w:pgSz w:w="11906" w:h="16838"/>
      <w:pgMar w:top="2098" w:right="1474" w:bottom="153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方正魏碑_GBK">
    <w:panose1 w:val="02000000000000000000"/>
    <w:charset w:val="86"/>
    <w:family w:val="auto"/>
    <w:pitch w:val="default"/>
    <w:sig w:usb0="A00002BF" w:usb1="38CF7CFA" w:usb2="00082016" w:usb3="00000000" w:csb0="00040001" w:csb1="00000000"/>
  </w:font>
  <w:font w:name="Malgun Gothic">
    <w:panose1 w:val="020B0503020000020004"/>
    <w:charset w:val="81"/>
    <w:family w:val="auto"/>
    <w:pitch w:val="default"/>
    <w:sig w:usb0="9000002F" w:usb1="29D77CFB" w:usb2="00000012" w:usb3="00000000" w:csb0="00080001" w:csb1="00000000"/>
  </w:font>
  <w:font w:name="Microsoft YaHei UI Light">
    <w:panose1 w:val="020B0502040204020203"/>
    <w:charset w:val="86"/>
    <w:family w:val="auto"/>
    <w:pitch w:val="default"/>
    <w:sig w:usb0="80000287" w:usb1="2ACF0010" w:usb2="00000016" w:usb3="00000000" w:csb0="0004001F" w:csb1="00000000"/>
  </w:font>
  <w:font w:name="MS UI Gothic">
    <w:panose1 w:val="020B0600070205080204"/>
    <w:charset w:val="80"/>
    <w:family w:val="auto"/>
    <w:pitch w:val="default"/>
    <w:sig w:usb0="E00002FF" w:usb1="6AC7FDFB" w:usb2="08000012" w:usb3="00000000" w:csb0="4002009F" w:csb1="DFD70000"/>
  </w:font>
  <w:font w:name="Noto Sans SC Thin">
    <w:panose1 w:val="020B0200000000000000"/>
    <w:charset w:val="86"/>
    <w:family w:val="auto"/>
    <w:pitch w:val="default"/>
    <w:sig w:usb0="20000083" w:usb1="2ADF3C10" w:usb2="00000016" w:usb3="00000000" w:csb0="60060107" w:csb1="00000000"/>
  </w:font>
  <w:font w:name="Bahnschrift Condensed">
    <w:panose1 w:val="020B0502040204020203"/>
    <w:charset w:val="00"/>
    <w:family w:val="auto"/>
    <w:pitch w:val="default"/>
    <w:sig w:usb0="A00002C7" w:usb1="00000002" w:usb2="00000000" w:usb3="00000000" w:csb0="2000019F" w:csb1="00000000"/>
  </w:font>
  <w:font w:name="Bahnschrift SemiLight SemiCondensed">
    <w:panose1 w:val="020B0502040204020203"/>
    <w:charset w:val="00"/>
    <w:family w:val="auto"/>
    <w:pitch w:val="default"/>
    <w:sig w:usb0="A00002C7" w:usb1="00000002" w:usb2="00000000" w:usb3="00000000" w:csb0="2000019F" w:csb1="00000000"/>
  </w:font>
  <w:font w:name="Corbel Light">
    <w:panose1 w:val="020B0303020204020204"/>
    <w:charset w:val="00"/>
    <w:family w:val="auto"/>
    <w:pitch w:val="default"/>
    <w:sig w:usb0="A00002EF" w:usb1="4000A44B" w:usb2="00000000" w:usb3="00000000" w:csb0="2000019F" w:csb1="00000000"/>
  </w:font>
  <w:font w:name="Leelawadee UI">
    <w:panose1 w:val="020B0502040204020203"/>
    <w:charset w:val="00"/>
    <w:family w:val="auto"/>
    <w:pitch w:val="default"/>
    <w:sig w:usb0="83000003" w:usb1="00000000" w:usb2="00010000" w:usb3="00000001" w:csb0="00010101" w:csb1="00000000"/>
  </w:font>
  <w:font w:name="Microsoft PhagsPa">
    <w:panose1 w:val="020B0502040204020203"/>
    <w:charset w:val="00"/>
    <w:family w:val="auto"/>
    <w:pitch w:val="default"/>
    <w:sig w:usb0="00000003" w:usb1="002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C1F1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5FDC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2350A">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A2350A">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C645E">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18615">
    <w:pPr>
      <w:pStyle w:val="6"/>
    </w:pPr>
    <w:r>
      <w:rPr>
        <w:sz w:val="18"/>
      </w:rPr>
      <mc:AlternateContent>
        <mc:Choice Requires="wps">
          <w:drawing>
            <wp:anchor distT="0" distB="0" distL="114300" distR="114300" simplePos="0" relativeHeight="251662336" behindDoc="0" locked="0" layoutInCell="1" allowOverlap="1">
              <wp:simplePos x="0" y="0"/>
              <wp:positionH relativeFrom="margin">
                <wp:posOffset>-588645</wp:posOffset>
              </wp:positionH>
              <wp:positionV relativeFrom="paragraph">
                <wp:posOffset>-71120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89E7D5">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6.35pt;margin-top:-5.6pt;height:144pt;width:144pt;mso-position-horizontal-relative:margin;mso-wrap-style:none;rotation:5898240f;z-index:251662336;mso-width-relative:page;mso-height-relative:page;" filled="f" stroked="f" coordsize="21600,21600" o:gfxdata="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IHnWM/ZAAAADAEAAA8AAAAAAAAAAQAgAAAAIgAAAGRycy9kb3du&#10;cmV2LnhtbFBLAQIUABQAAAAIAIdO4kBXY3Bf4gIAADQGAAAOAAAAAAAAAAEAIAAAACgBAABkcnMv&#10;ZTJvRG9jLnhtbFBLBQYAAAAABgAGAFkBAAB8BgAAAAA=&#10;">
              <v:fill on="f" focussize="0,0"/>
              <v:stroke on="f" weight="0.5pt"/>
              <v:imagedata o:title=""/>
              <o:lock v:ext="edit" aspectratio="f"/>
              <v:textbox inset="0mm,0mm,0mm,0mm" style="mso-fit-shape-to-text:t;">
                <w:txbxContent>
                  <w:p w14:paraId="1B89E7D5">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FA288">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3D535">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C33D535">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698A1">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919155E">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6919155E">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62893">
    <w:pPr>
      <w:pStyle w:val="7"/>
    </w:pPr>
    <w:r>
      <w:rPr>
        <w:sz w:val="18"/>
      </w:rPr>
      <mc:AlternateContent>
        <mc:Choice Requires="wps">
          <w:drawing>
            <wp:anchor distT="0" distB="0" distL="114300" distR="114300" simplePos="0" relativeHeight="251661312" behindDoc="0" locked="0" layoutInCell="1" allowOverlap="1">
              <wp:simplePos x="0" y="0"/>
              <wp:positionH relativeFrom="column">
                <wp:posOffset>-1129665</wp:posOffset>
              </wp:positionH>
              <wp:positionV relativeFrom="paragraph">
                <wp:posOffset>-328295</wp:posOffset>
              </wp:positionV>
              <wp:extent cx="914400" cy="914400"/>
              <wp:effectExtent l="0" t="0" r="0" b="0"/>
              <wp:wrapNone/>
              <wp:docPr id="7" name="文本框 7"/>
              <wp:cNvGraphicFramePr/>
              <a:graphic xmlns:a="http://schemas.openxmlformats.org/drawingml/2006/main">
                <a:graphicData uri="http://schemas.microsoft.com/office/word/2010/wordprocessingShape">
                  <wps:wsp>
                    <wps:cNvSpPr txBox="1"/>
                    <wps:spPr>
                      <a:xfrm>
                        <a:off x="293370" y="1540510"/>
                        <a:ext cx="914400" cy="9144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5353DA5">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- 4 -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95pt;margin-top:-25.85pt;height:72pt;width:72pt;z-index:251661312;mso-width-relative:page;mso-height-relative:page;" fillcolor="#FFFFFF [3201]" filled="t" stroked="f" coordsize="21600,21600" o:gfxdata="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uy48X2AAA&#10;AAsBAAAPAAAAAAAAAAEAIAAAACIAAABkcnMvZG93bnJldi54bWxQSwECFAAUAAAACACHTuJAX7vZ&#10;sVcCAACbBAAADgAAAAAAAAABACAAAAAnAQAAZHJzL2Uyb0RvYy54bWxQSwUGAAAAAAYABgBZAQAA&#10;8AUAAAAA&#10;">
              <v:fill on="t" focussize="0,0"/>
              <v:stroke on="f" weight="0.5pt"/>
              <v:imagedata o:title=""/>
              <o:lock v:ext="edit" aspectratio="f"/>
              <v:textbox style="layout-flow:vertical-ideographic;">
                <w:txbxContent>
                  <w:p w14:paraId="35353DA5">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- 4 -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FC72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581C7">
    <w:pPr>
      <w:pStyle w:val="7"/>
    </w:pPr>
    <w:r>
      <w:rPr>
        <w:sz w:val="18"/>
      </w:rPr>
      <mc:AlternateContent>
        <mc:Choice Requires="wps">
          <w:drawing>
            <wp:anchor distT="0" distB="0" distL="114300" distR="114300" simplePos="0" relativeHeight="251663360" behindDoc="0" locked="0" layoutInCell="1" allowOverlap="1">
              <wp:simplePos x="0" y="0"/>
              <wp:positionH relativeFrom="margin">
                <wp:posOffset>-598805</wp:posOffset>
              </wp:positionH>
              <wp:positionV relativeFrom="paragraph">
                <wp:posOffset>-327025</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rot="5400000">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FBE0CFF">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7.15pt;margin-top:-25.75pt;height:144pt;width:144pt;mso-position-horizontal-relative:margin;mso-wrap-style:none;rotation:5898240f;z-index:251663360;mso-width-relative:page;mso-height-relative:page;" filled="f" stroked="f" coordsize="21600,21600" o:gfxdata="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BxrwMhzwAAAAUBAAAPAAAAAAAAAAEAIAAAACIAAABkcnMvZG93bnJldi54bWxQ&#10;SwECFAAUAAAACACHTuJAsNx6TuQCAAA0BgAADgAAAAAAAAABACAAAAAeAQAAZHJzL2Uyb0RvYy54&#10;bWxQSwUGAAAAAAYABgBZAQAAdAYAAAAA&#10;">
              <v:fill on="f" focussize="0,0"/>
              <v:stroke on="f" weight="0.5pt"/>
              <v:imagedata o:title=""/>
              <o:lock v:ext="edit" aspectratio="f"/>
              <v:textbox inset="0mm,0mm,0mm,0mm" style="mso-fit-shape-to-text:t;">
                <w:txbxContent>
                  <w:p w14:paraId="0FBE0CFF">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5DDE">
    <w:pPr>
      <w:pStyle w:val="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7474E">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33242C"/>
    <w:rsid w:val="00CA0524"/>
    <w:rsid w:val="05A5110B"/>
    <w:rsid w:val="0C5D2AAF"/>
    <w:rsid w:val="0F0F061E"/>
    <w:rsid w:val="11B02915"/>
    <w:rsid w:val="13106AA7"/>
    <w:rsid w:val="16B41417"/>
    <w:rsid w:val="1B7D3018"/>
    <w:rsid w:val="35221B5F"/>
    <w:rsid w:val="43EE4C72"/>
    <w:rsid w:val="4533242C"/>
    <w:rsid w:val="4AFE7058"/>
    <w:rsid w:val="4B184437"/>
    <w:rsid w:val="7012067E"/>
    <w:rsid w:val="7E9F5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4"/>
    <w:next w:val="1"/>
    <w:qFormat/>
    <w:uiPriority w:val="0"/>
    <w:pPr>
      <w:spacing w:line="560" w:lineRule="exact"/>
      <w:ind w:firstLine="0" w:firstLineChars="0"/>
      <w:jc w:val="center"/>
      <w:outlineLvl w:val="0"/>
    </w:pPr>
    <w:rPr>
      <w:rFonts w:ascii="Arial" w:hAnsi="Arial" w:eastAsia="方正小标宋_GBK"/>
      <w:sz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4"/>
    <w:basedOn w:val="1"/>
    <w:next w:val="1"/>
    <w:qFormat/>
    <w:uiPriority w:val="0"/>
    <w:pPr>
      <w:keepNext/>
      <w:keepLines/>
      <w:widowControl/>
      <w:spacing w:before="120" w:beforeLines="0" w:after="120" w:afterLines="0" w:line="360" w:lineRule="auto"/>
      <w:jc w:val="center"/>
      <w:outlineLvl w:val="3"/>
    </w:pPr>
    <w:rPr>
      <w:rFonts w:ascii="Arial" w:hAnsi="Arial" w:eastAsia="黑体"/>
      <w:kern w:val="0"/>
      <w:sz w:val="28"/>
      <w:szCs w:val="2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NormalCharacter"/>
    <w:qFormat/>
    <w:uiPriority w:val="0"/>
    <w:rPr>
      <w:rFonts w:ascii="Calibri" w:hAnsi="Calibri"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60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2026-04-02T02:54:00Z</dcterms:created>
  <dc:creator>Administrator</dc:creator>
  <cp:lastModifiedBy>Administrator</cp:lastModifiedBy>
  <cp:lastPrinted>2026-04-09T01:29:44Z</cp:lastPrinted>
  <dcterms:modified xsi:type="dcterms:W3CDTF">2026-04-09T03:39:04Z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9555DDCB21EB45EA8D947A70980E1E97_13</vt:lpwstr>
  </property>
</Properties>
</file>