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A39BC">
      <w:pPr>
        <w:pStyle w:val="15"/>
        <w:spacing w:before="0" w:after="0" w:line="400" w:lineRule="exact"/>
        <w:jc w:val="both"/>
        <w:rPr>
          <w:rFonts w:cs="宋体"/>
          <w:color w:val="000000"/>
          <w:szCs w:val="21"/>
        </w:rPr>
      </w:pPr>
      <w:bookmarkStart w:id="0" w:name="_GoBack"/>
      <w:bookmarkEnd w:id="0"/>
      <w:r>
        <w:rPr>
          <w:rFonts w:hint="eastAsia" w:cs="宋体"/>
          <w:color w:val="000000"/>
          <w:szCs w:val="21"/>
        </w:rPr>
        <w:t>附件1：</w:t>
      </w:r>
    </w:p>
    <w:p w14:paraId="5285D19D">
      <w:pPr>
        <w:ind w:firstLine="1265" w:firstLineChars="450"/>
        <w:rPr>
          <w:rFonts w:ascii="宋体" w:hAnsi="宋体" w:cs="宋体"/>
          <w:b/>
          <w:color w:val="000000"/>
          <w:szCs w:val="30"/>
        </w:rPr>
      </w:pPr>
      <w:r>
        <w:rPr>
          <w:rFonts w:hint="eastAsia" w:ascii="宋体" w:hAnsi="宋体" w:cs="宋体"/>
          <w:b/>
          <w:color w:val="000000"/>
          <w:szCs w:val="30"/>
        </w:rPr>
        <w:t>北部湾大学坭兴陶创作制作台项目采购需求</w:t>
      </w:r>
    </w:p>
    <w:tbl>
      <w:tblPr>
        <w:tblStyle w:val="11"/>
        <w:tblW w:w="5483" w:type="pct"/>
        <w:jc w:val="center"/>
        <w:tblLayout w:type="fixed"/>
        <w:tblCellMar>
          <w:top w:w="0" w:type="dxa"/>
          <w:left w:w="108" w:type="dxa"/>
          <w:bottom w:w="0" w:type="dxa"/>
          <w:right w:w="108" w:type="dxa"/>
        </w:tblCellMar>
      </w:tblPr>
      <w:tblGrid>
        <w:gridCol w:w="637"/>
        <w:gridCol w:w="1037"/>
        <w:gridCol w:w="4043"/>
        <w:gridCol w:w="615"/>
        <w:gridCol w:w="559"/>
        <w:gridCol w:w="918"/>
        <w:gridCol w:w="964"/>
        <w:gridCol w:w="572"/>
      </w:tblGrid>
      <w:tr w14:paraId="2058A19C">
        <w:tblPrEx>
          <w:tblCellMar>
            <w:top w:w="0" w:type="dxa"/>
            <w:left w:w="108" w:type="dxa"/>
            <w:bottom w:w="0" w:type="dxa"/>
            <w:right w:w="108" w:type="dxa"/>
          </w:tblCellMar>
        </w:tblPrEx>
        <w:trPr>
          <w:trHeight w:val="531" w:hRule="atLeast"/>
          <w:jc w:val="center"/>
        </w:trPr>
        <w:tc>
          <w:tcPr>
            <w:tcW w:w="341" w:type="pct"/>
            <w:tcBorders>
              <w:top w:val="single" w:color="000000" w:sz="4" w:space="0"/>
              <w:left w:val="single" w:color="000000" w:sz="4" w:space="0"/>
              <w:bottom w:val="single" w:color="000000" w:sz="4" w:space="0"/>
              <w:right w:val="single" w:color="000000" w:sz="4" w:space="0"/>
            </w:tcBorders>
            <w:noWrap/>
            <w:vAlign w:val="center"/>
          </w:tcPr>
          <w:p w14:paraId="54C14E44">
            <w:pPr>
              <w:widowControl/>
              <w:spacing w:line="240" w:lineRule="auto"/>
              <w:ind w:firstLine="0" w:firstLineChars="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54D1A07B">
            <w:pPr>
              <w:widowControl/>
              <w:spacing w:line="240" w:lineRule="auto"/>
              <w:ind w:firstLine="0" w:firstLineChars="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 xml:space="preserve"> 名称</w:t>
            </w:r>
          </w:p>
        </w:tc>
        <w:tc>
          <w:tcPr>
            <w:tcW w:w="2163" w:type="pct"/>
            <w:tcBorders>
              <w:top w:val="single" w:color="000000" w:sz="4" w:space="0"/>
              <w:left w:val="single" w:color="000000" w:sz="4" w:space="0"/>
              <w:bottom w:val="single" w:color="000000" w:sz="4" w:space="0"/>
              <w:right w:val="single" w:color="000000" w:sz="4" w:space="0"/>
            </w:tcBorders>
            <w:noWrap/>
            <w:vAlign w:val="center"/>
          </w:tcPr>
          <w:p w14:paraId="297D3168">
            <w:pPr>
              <w:widowControl/>
              <w:spacing w:line="240" w:lineRule="auto"/>
              <w:ind w:firstLine="0" w:firstLineChars="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技术规格要求</w:t>
            </w:r>
          </w:p>
        </w:tc>
        <w:tc>
          <w:tcPr>
            <w:tcW w:w="329" w:type="pct"/>
            <w:tcBorders>
              <w:top w:val="single" w:color="000000" w:sz="4" w:space="0"/>
              <w:left w:val="single" w:color="000000" w:sz="4" w:space="0"/>
              <w:bottom w:val="single" w:color="000000" w:sz="4" w:space="0"/>
              <w:right w:val="single" w:color="000000" w:sz="4" w:space="0"/>
            </w:tcBorders>
            <w:noWrap/>
            <w:vAlign w:val="center"/>
          </w:tcPr>
          <w:p w14:paraId="2D03221B">
            <w:pPr>
              <w:widowControl/>
              <w:spacing w:line="240" w:lineRule="auto"/>
              <w:ind w:firstLine="0" w:firstLineChars="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49657922">
            <w:pPr>
              <w:widowControl/>
              <w:spacing w:line="240" w:lineRule="auto"/>
              <w:ind w:firstLine="0" w:firstLineChars="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单位</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0FDCC10F">
            <w:pPr>
              <w:widowControl/>
              <w:spacing w:line="240" w:lineRule="auto"/>
              <w:ind w:firstLine="0" w:firstLineChars="0"/>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预算单价（元）</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6C2C650E">
            <w:pPr>
              <w:widowControl/>
              <w:spacing w:line="240" w:lineRule="auto"/>
              <w:ind w:firstLine="0" w:firstLineChars="0"/>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小计（元）</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606FCCDB">
            <w:pPr>
              <w:widowControl/>
              <w:spacing w:line="240" w:lineRule="auto"/>
              <w:ind w:firstLine="0" w:firstLineChars="0"/>
              <w:jc w:val="center"/>
              <w:textAlignment w:val="center"/>
              <w:rPr>
                <w:rFonts w:ascii="宋体" w:hAnsi="宋体" w:cs="宋体"/>
                <w:b/>
                <w:bCs/>
                <w:color w:val="000000"/>
                <w:kern w:val="0"/>
                <w:sz w:val="24"/>
                <w:szCs w:val="24"/>
                <w:lang w:bidi="ar"/>
              </w:rPr>
            </w:pPr>
            <w:r>
              <w:rPr>
                <w:rFonts w:hint="eastAsia" w:ascii="宋体" w:hAnsi="宋体" w:cs="宋体"/>
                <w:b/>
                <w:bCs/>
                <w:color w:val="000000"/>
                <w:kern w:val="0"/>
                <w:sz w:val="24"/>
                <w:szCs w:val="24"/>
                <w:lang w:bidi="ar"/>
              </w:rPr>
              <w:t>备注</w:t>
            </w:r>
          </w:p>
        </w:tc>
      </w:tr>
      <w:tr w14:paraId="6AD447DF">
        <w:tblPrEx>
          <w:tblCellMar>
            <w:top w:w="0" w:type="dxa"/>
            <w:left w:w="108" w:type="dxa"/>
            <w:bottom w:w="0" w:type="dxa"/>
            <w:right w:w="108" w:type="dxa"/>
          </w:tblCellMar>
        </w:tblPrEx>
        <w:trPr>
          <w:trHeight w:val="793" w:hRule="atLeast"/>
          <w:jc w:val="center"/>
        </w:trPr>
        <w:tc>
          <w:tcPr>
            <w:tcW w:w="341" w:type="pct"/>
            <w:tcBorders>
              <w:top w:val="single" w:color="000000" w:sz="4" w:space="0"/>
              <w:left w:val="single" w:color="000000" w:sz="4" w:space="0"/>
              <w:bottom w:val="single" w:color="000000" w:sz="4" w:space="0"/>
              <w:right w:val="single" w:color="000000" w:sz="4" w:space="0"/>
            </w:tcBorders>
            <w:noWrap/>
            <w:vAlign w:val="center"/>
          </w:tcPr>
          <w:p w14:paraId="40F81A86">
            <w:pPr>
              <w:widowControl/>
              <w:spacing w:line="240" w:lineRule="auto"/>
              <w:ind w:firstLine="0" w:firstLineChars="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w:t>
            </w:r>
          </w:p>
        </w:tc>
        <w:tc>
          <w:tcPr>
            <w:tcW w:w="555" w:type="pct"/>
            <w:tcBorders>
              <w:top w:val="single" w:color="000000" w:sz="4" w:space="0"/>
              <w:left w:val="single" w:color="000000" w:sz="4" w:space="0"/>
              <w:bottom w:val="single" w:color="000000" w:sz="4" w:space="0"/>
              <w:right w:val="single" w:color="000000" w:sz="4" w:space="0"/>
            </w:tcBorders>
            <w:vAlign w:val="center"/>
          </w:tcPr>
          <w:p w14:paraId="4E2ADE6E">
            <w:pPr>
              <w:widowControl/>
              <w:spacing w:line="240" w:lineRule="auto"/>
              <w:ind w:firstLine="0" w:firstLineChars="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实训操作台</w:t>
            </w:r>
          </w:p>
        </w:tc>
        <w:tc>
          <w:tcPr>
            <w:tcW w:w="2163" w:type="pct"/>
            <w:tcBorders>
              <w:top w:val="single" w:color="000000" w:sz="4" w:space="0"/>
              <w:left w:val="single" w:color="000000" w:sz="4" w:space="0"/>
              <w:bottom w:val="single" w:color="000000" w:sz="4" w:space="0"/>
              <w:right w:val="single" w:color="000000" w:sz="4" w:space="0"/>
            </w:tcBorders>
            <w:vAlign w:val="center"/>
          </w:tcPr>
          <w:p w14:paraId="2659B211">
            <w:pPr>
              <w:widowControl/>
              <w:spacing w:line="240" w:lineRule="auto"/>
              <w:ind w:firstLine="0" w:firstLineChars="0"/>
              <w:jc w:val="left"/>
              <w:textAlignment w:val="center"/>
              <w:rPr>
                <w:rFonts w:ascii="宋体" w:hAnsi="宋体" w:cs="宋体"/>
                <w:color w:val="000000"/>
                <w:kern w:val="0"/>
                <w:sz w:val="24"/>
                <w:szCs w:val="24"/>
                <w:lang w:bidi="ar"/>
              </w:rPr>
            </w:pPr>
          </w:p>
          <w:p w14:paraId="5A110E24">
            <w:pPr>
              <w:widowControl/>
              <w:spacing w:line="240" w:lineRule="auto"/>
              <w:ind w:left="120" w:hanging="120" w:hangingChars="5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一.1.规格尺寸：1800×600×750</w:t>
            </w:r>
            <w:r>
              <w:rPr>
                <w:rFonts w:ascii="宋体" w:hAnsi="宋体" w:cs="宋体"/>
                <w:color w:val="000000"/>
                <w:kern w:val="0"/>
                <w:sz w:val="24"/>
                <w:szCs w:val="24"/>
                <w:lang w:bidi="ar"/>
              </w:rPr>
              <w:t xml:space="preserve"> mm</w:t>
            </w:r>
            <w:r>
              <w:rPr>
                <w:rFonts w:hint="eastAsia" w:ascii="宋体" w:hAnsi="宋体" w:cs="宋体"/>
                <w:color w:val="000000"/>
                <w:kern w:val="0"/>
                <w:sz w:val="24"/>
                <w:szCs w:val="24"/>
                <w:lang w:bidi="ar"/>
              </w:rPr>
              <w:t>（±5mm）。</w:t>
            </w:r>
          </w:p>
          <w:p w14:paraId="5B585E5B">
            <w:pPr>
              <w:widowControl/>
              <w:spacing w:line="240" w:lineRule="auto"/>
              <w:ind w:firstLine="240" w:firstLineChars="1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2.桌面基材：采用优质松木原木无节板做基材，桌面厚度不小于45mm，表面工艺：四面刨光，砂光精度达 Ra ≤ 3.2μm，无裂纹、无节疤、无树脂囊、无虫眼、无色差条纹，纹理通直，结构均匀，色泽一致工艺：齿形接茬严密，胶线笔直且无开裂。木制件理化性能-软硬质覆面：耐磨性不低于3级；抗冲击不低于3级；甲醛释放量未检出；甲苯未检出；总挥发性有机化合物未检出。握钉力：单颗螺钉握钉力 ≥ 800N，二次拆装不易松动。不含对人体有害化学成份。</w:t>
            </w:r>
          </w:p>
          <w:p w14:paraId="6828BCBF">
            <w:pPr>
              <w:widowControl/>
              <w:spacing w:line="240" w:lineRule="auto"/>
              <w:ind w:firstLine="240" w:firstLineChars="1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3.油漆：优质环保哑光亮漆，附着力强，流平性高，涂层亮度均匀不褪色。</w:t>
            </w:r>
          </w:p>
          <w:p w14:paraId="06B6232E">
            <w:pPr>
              <w:widowControl/>
              <w:spacing w:line="240" w:lineRule="auto"/>
              <w:ind w:firstLine="0" w:firstLineChars="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★4.脚架及底梁：钢架两边侧脚使用50×50</w:t>
            </w:r>
            <w:r>
              <w:rPr>
                <w:rFonts w:ascii="宋体" w:hAnsi="宋体" w:cs="宋体"/>
                <w:color w:val="000000"/>
                <w:kern w:val="0"/>
                <w:sz w:val="24"/>
                <w:szCs w:val="24"/>
                <w:lang w:bidi="ar"/>
              </w:rPr>
              <w:t>mm(±2mm)</w:t>
            </w:r>
            <w:r>
              <w:rPr>
                <w:rFonts w:hint="eastAsia"/>
              </w:rPr>
              <w:t xml:space="preserve"> ×</w:t>
            </w:r>
            <w:r>
              <w:rPr>
                <w:rFonts w:hint="eastAsia" w:ascii="宋体" w:hAnsi="宋体" w:cs="宋体"/>
                <w:color w:val="000000"/>
                <w:kern w:val="0"/>
                <w:sz w:val="24"/>
                <w:szCs w:val="24"/>
                <w:lang w:bidi="ar"/>
              </w:rPr>
              <w:t>1.0mm</w:t>
            </w:r>
            <w:r>
              <w:rPr>
                <w:rFonts w:ascii="宋体" w:hAnsi="宋体" w:cs="宋体"/>
                <w:color w:val="000000"/>
                <w:kern w:val="0"/>
                <w:sz w:val="24"/>
                <w:szCs w:val="24"/>
                <w:lang w:bidi="ar"/>
              </w:rPr>
              <w:t>(±0.1mm)</w:t>
            </w:r>
            <w:r>
              <w:rPr>
                <w:rFonts w:hint="eastAsia" w:ascii="宋体" w:hAnsi="宋体" w:cs="宋体"/>
                <w:color w:val="000000"/>
                <w:kern w:val="0"/>
                <w:sz w:val="24"/>
                <w:szCs w:val="24"/>
                <w:lang w:bidi="ar"/>
              </w:rPr>
              <w:t>厚方管焊接成门字形，脚和脚托桌面主横梁采用25</w:t>
            </w:r>
            <w:r>
              <w:rPr>
                <w:rFonts w:ascii="宋体" w:hAnsi="宋体" w:cs="宋体"/>
                <w:color w:val="000000"/>
                <w:kern w:val="0"/>
                <w:sz w:val="24"/>
                <w:szCs w:val="24"/>
                <w:lang w:bidi="ar"/>
              </w:rPr>
              <w:t>mm</w:t>
            </w:r>
            <w:r>
              <w:rPr>
                <w:rFonts w:hint="eastAsia" w:ascii="宋体" w:hAnsi="宋体" w:cs="宋体"/>
                <w:color w:val="000000"/>
                <w:kern w:val="0"/>
                <w:sz w:val="24"/>
                <w:szCs w:val="24"/>
                <w:lang w:bidi="ar"/>
              </w:rPr>
              <w:t>宽×50</w:t>
            </w:r>
            <w:r>
              <w:rPr>
                <w:rFonts w:ascii="宋体" w:hAnsi="宋体" w:cs="宋体"/>
                <w:color w:val="000000"/>
                <w:kern w:val="0"/>
                <w:sz w:val="24"/>
                <w:szCs w:val="24"/>
                <w:lang w:bidi="ar"/>
              </w:rPr>
              <w:t>mm</w:t>
            </w:r>
            <w:r>
              <w:rPr>
                <w:rFonts w:hint="eastAsia" w:ascii="宋体" w:hAnsi="宋体" w:cs="宋体"/>
                <w:color w:val="000000"/>
                <w:kern w:val="0"/>
                <w:sz w:val="24"/>
                <w:szCs w:val="24"/>
                <w:lang w:bidi="ar"/>
              </w:rPr>
              <w:t>长×0.9mm 厚冷扎钢板，保证在接触人体的部位均有圆弧过渡，保证使用时的安全性，长拉杆中间加有横管,脚架安装脚垫，摆放平稳，表面喷涂质量要求：金属件涂饰工艺要求：涂饰前零、部件的表面光滑、平整，无开裂、脱焊、漏焊、焊渣或飞边、尖角、毛刺等可能造成机械伤害的缺陷涂饰前零、部件表面进行预备处理，采用除锈、防锈处理工艺除去锈迹等其他污迹后进行涂装打底磷化处理。预备处理后表面无氧化皮、锈蚀、粘砂等其他杂质，磷化层达到工艺要求，预备处理后及时进行涂饰。响应文件中提供“底梁”的检测报告，检测依据满足或优于QB/T 4767-2014、GB/T 6739-2022、GB/T 1732-2020、QB/T 1950-2024、GB/T 3325-2024、GB/T 228.1-2021、GB/T4336-2016、GB/T5213-2019、GB/T 9275-2008标准，抽样基数≥1500件，包括但不限于：</w:t>
            </w:r>
          </w:p>
          <w:p w14:paraId="7DDDD69B">
            <w:pPr>
              <w:widowControl/>
              <w:spacing w:line="240" w:lineRule="auto"/>
              <w:ind w:firstLine="0" w:firstLineChars="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外观：①喷涂件涂层无漏喷、锈蚀；②喷涂件涂层光滑均匀，色泽一致，无流挂、疙瘩、皱皮、飞漆等缺陷；（2）理化性能：金属喷涂层厚度60~120μm；（3）硬度≥6H，无塑性变形和内聚破坏；（4）冲击高度≥900mm，无剥落、裂纹、皱纹；（5）耐盐浴≥1300h试验，无鼓泡、锈蚀、剥落和起皱；（6）理化性能要求：金属喷漆（塑）涂层附着力达0级；（7）力学性能：①抗拉强度270~410MPa；②屈服强度≤228MPa；③断后伸长率≥34%；（8）化学成分符合要求；（9）巴克霍尔兹压痕试验＞83符合要求。</w:t>
            </w:r>
          </w:p>
          <w:p w14:paraId="427EF5BD">
            <w:pPr>
              <w:widowControl/>
              <w:spacing w:line="240" w:lineRule="auto"/>
              <w:ind w:firstLine="0" w:firstLineChars="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★5.金属表面纳米抗菌静电喷涂膜技术：响应文件中提供“金属表面纳米抗菌静电喷涂膜（喷涂钢板）”的检测报告，检测依据满足或优于HG/T 2006-2022中6.4.10、GB/T 9286-2021、GB/T 1732-2020标准，包括但不限于：铅笔硬度≥5H；干附着力0级；耐冲击符合要求；金黄色葡萄球菌≥99.99%；大肠杆菌≥99.99%；铜绿假单胞菌≥99.99%；鼠伤寒沙门氏菌≥99.99%。</w:t>
            </w:r>
          </w:p>
          <w:p w14:paraId="1BA63033">
            <w:pPr>
              <w:widowControl/>
              <w:spacing w:line="240" w:lineRule="auto"/>
              <w:ind w:firstLine="240" w:firstLineChars="1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6.配件：所有五金配件全部防锈、防腐处理。                  </w:t>
            </w:r>
          </w:p>
          <w:p w14:paraId="4AFA6ECF">
            <w:pPr>
              <w:widowControl/>
              <w:spacing w:line="240" w:lineRule="auto"/>
              <w:ind w:firstLine="0" w:firstLineChars="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★7.实训操作台满足或优于GB/T3324-2024、 GB/T35607-2024标准，响应文件提供检测报告内容至少包含但不限：（1）木制件理化性能-软硬质覆面：耐磨性不低于3级；抗冲击不低于3级；（2）甲醛释放量未检出；（3）甲苯未检出；（4）总挥发性有机化合物未检出。</w:t>
            </w:r>
          </w:p>
        </w:tc>
        <w:tc>
          <w:tcPr>
            <w:tcW w:w="329" w:type="pct"/>
            <w:tcBorders>
              <w:top w:val="single" w:color="000000" w:sz="4" w:space="0"/>
              <w:left w:val="single" w:color="000000" w:sz="4" w:space="0"/>
              <w:bottom w:val="single" w:color="000000" w:sz="4" w:space="0"/>
              <w:right w:val="single" w:color="000000" w:sz="4" w:space="0"/>
            </w:tcBorders>
            <w:vAlign w:val="center"/>
          </w:tcPr>
          <w:p w14:paraId="54003FCC">
            <w:pPr>
              <w:widowControl/>
              <w:spacing w:line="240" w:lineRule="auto"/>
              <w:ind w:firstLine="0" w:firstLineChars="0"/>
              <w:jc w:val="center"/>
              <w:textAlignment w:val="center"/>
              <w:rPr>
                <w:rFonts w:ascii="宋体" w:hAnsi="宋体" w:cs="宋体"/>
                <w:color w:val="000000"/>
                <w:sz w:val="24"/>
                <w:szCs w:val="24"/>
              </w:rPr>
            </w:pPr>
            <w:r>
              <w:rPr>
                <w:rFonts w:hint="eastAsia" w:ascii="宋体" w:hAnsi="宋体" w:cs="宋体"/>
                <w:color w:val="000000"/>
                <w:sz w:val="24"/>
                <w:szCs w:val="24"/>
              </w:rPr>
              <w:t>80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3AE1DBB2">
            <w:pPr>
              <w:widowControl/>
              <w:spacing w:line="240" w:lineRule="auto"/>
              <w:ind w:firstLine="0" w:firstLineChars="0"/>
              <w:jc w:val="center"/>
              <w:textAlignment w:val="center"/>
              <w:rPr>
                <w:rFonts w:ascii="宋体" w:hAnsi="宋体" w:cs="宋体"/>
                <w:color w:val="000000"/>
                <w:sz w:val="24"/>
                <w:szCs w:val="24"/>
              </w:rPr>
            </w:pPr>
            <w:r>
              <w:rPr>
                <w:rFonts w:hint="eastAsia" w:ascii="宋体" w:hAnsi="宋体" w:cs="宋体"/>
                <w:color w:val="000000"/>
                <w:sz w:val="24"/>
                <w:szCs w:val="24"/>
              </w:rPr>
              <w:t>张</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40AD1648">
            <w:pPr>
              <w:widowControl/>
              <w:spacing w:line="240" w:lineRule="auto"/>
              <w:ind w:firstLine="0" w:firstLineChars="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1020</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2E50282F">
            <w:pPr>
              <w:widowControl/>
              <w:spacing w:line="240" w:lineRule="auto"/>
              <w:ind w:firstLine="0" w:firstLineChars="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81600</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265E7F3B">
            <w:pPr>
              <w:widowControl/>
              <w:spacing w:line="240" w:lineRule="auto"/>
              <w:ind w:firstLine="0" w:firstLineChars="0"/>
              <w:jc w:val="center"/>
              <w:textAlignment w:val="center"/>
              <w:rPr>
                <w:rFonts w:ascii="宋体" w:hAnsi="宋体" w:cs="宋体"/>
                <w:color w:val="000000"/>
                <w:kern w:val="0"/>
                <w:sz w:val="24"/>
                <w:szCs w:val="24"/>
                <w:lang w:bidi="ar"/>
              </w:rPr>
            </w:pPr>
          </w:p>
        </w:tc>
      </w:tr>
      <w:tr w14:paraId="7CA4F968">
        <w:tblPrEx>
          <w:tblCellMar>
            <w:top w:w="0" w:type="dxa"/>
            <w:left w:w="108" w:type="dxa"/>
            <w:bottom w:w="0" w:type="dxa"/>
            <w:right w:w="108" w:type="dxa"/>
          </w:tblCellMar>
        </w:tblPrEx>
        <w:trPr>
          <w:trHeight w:val="793" w:hRule="atLeast"/>
          <w:jc w:val="center"/>
        </w:trPr>
        <w:tc>
          <w:tcPr>
            <w:tcW w:w="341" w:type="pct"/>
            <w:tcBorders>
              <w:top w:val="single" w:color="000000" w:sz="4" w:space="0"/>
              <w:left w:val="single" w:color="000000" w:sz="4" w:space="0"/>
              <w:bottom w:val="single" w:color="000000" w:sz="4" w:space="0"/>
              <w:right w:val="single" w:color="000000" w:sz="4" w:space="0"/>
            </w:tcBorders>
            <w:noWrap/>
            <w:vAlign w:val="center"/>
          </w:tcPr>
          <w:p w14:paraId="6BE60133">
            <w:pPr>
              <w:widowControl/>
              <w:spacing w:line="240" w:lineRule="auto"/>
              <w:ind w:firstLine="0" w:firstLineChars="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555" w:type="pct"/>
            <w:tcBorders>
              <w:top w:val="single" w:color="000000" w:sz="4" w:space="0"/>
              <w:left w:val="single" w:color="000000" w:sz="4" w:space="0"/>
              <w:bottom w:val="single" w:color="000000" w:sz="4" w:space="0"/>
              <w:right w:val="single" w:color="000000" w:sz="4" w:space="0"/>
            </w:tcBorders>
            <w:vAlign w:val="center"/>
          </w:tcPr>
          <w:p w14:paraId="0C920CB0">
            <w:pPr>
              <w:widowControl/>
              <w:spacing w:line="240" w:lineRule="auto"/>
              <w:ind w:firstLine="0" w:firstLineChars="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椅子</w:t>
            </w:r>
          </w:p>
        </w:tc>
        <w:tc>
          <w:tcPr>
            <w:tcW w:w="2163" w:type="pct"/>
            <w:tcBorders>
              <w:top w:val="single" w:color="000000" w:sz="4" w:space="0"/>
              <w:left w:val="single" w:color="000000" w:sz="4" w:space="0"/>
              <w:bottom w:val="single" w:color="000000" w:sz="4" w:space="0"/>
              <w:right w:val="single" w:color="000000" w:sz="4" w:space="0"/>
            </w:tcBorders>
            <w:vAlign w:val="center"/>
          </w:tcPr>
          <w:p w14:paraId="2B5E91B2">
            <w:pPr>
              <w:widowControl/>
              <w:spacing w:line="240" w:lineRule="auto"/>
              <w:ind w:firstLine="240" w:firstLineChars="1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1.规格尺寸：350×250×450</w:t>
            </w:r>
            <w:r>
              <w:rPr>
                <w:rFonts w:ascii="宋体" w:hAnsi="宋体" w:cs="宋体"/>
                <w:color w:val="000000"/>
                <w:kern w:val="0"/>
                <w:sz w:val="24"/>
                <w:szCs w:val="24"/>
                <w:lang w:bidi="ar"/>
              </w:rPr>
              <w:t xml:space="preserve"> mm</w:t>
            </w:r>
            <w:r>
              <w:rPr>
                <w:rFonts w:hint="eastAsia" w:ascii="宋体" w:hAnsi="宋体" w:cs="宋体"/>
                <w:color w:val="000000"/>
                <w:kern w:val="0"/>
                <w:sz w:val="24"/>
                <w:szCs w:val="24"/>
                <w:lang w:bidi="ar"/>
              </w:rPr>
              <w:t>（±5mm）。</w:t>
            </w:r>
          </w:p>
          <w:p w14:paraId="475A80F1">
            <w:pPr>
              <w:widowControl/>
              <w:spacing w:line="240" w:lineRule="auto"/>
              <w:ind w:firstLine="240" w:firstLineChars="1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2.基材：采用优质橡木做基材，不含对人体有害化学成份，甲醇含量小于0.12MG/L，凳面厚度不小于18mm，脚架采用不小于40×40mm方木橡木制作，含水率10%以下达到国家标准。</w:t>
            </w:r>
          </w:p>
          <w:p w14:paraId="4089A84A">
            <w:pPr>
              <w:widowControl/>
              <w:spacing w:line="240" w:lineRule="auto"/>
              <w:ind w:firstLine="240" w:firstLineChars="1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w:t>
            </w:r>
            <w:r>
              <w:rPr>
                <w:rFonts w:ascii="宋体" w:hAnsi="宋体" w:cs="宋体"/>
                <w:color w:val="000000"/>
                <w:kern w:val="0"/>
                <w:sz w:val="24"/>
                <w:szCs w:val="24"/>
                <w:lang w:bidi="ar"/>
              </w:rPr>
              <w:t>.</w:t>
            </w:r>
            <w:r>
              <w:rPr>
                <w:rFonts w:hint="eastAsia" w:ascii="宋体" w:hAnsi="宋体" w:cs="宋体"/>
                <w:color w:val="000000"/>
                <w:kern w:val="0"/>
                <w:sz w:val="24"/>
                <w:szCs w:val="24"/>
                <w:lang w:bidi="ar"/>
              </w:rPr>
              <w:t>油漆：优质环保哑光亮漆，附着力强，流平性高，涂层亮度均匀不褪色。</w:t>
            </w:r>
          </w:p>
          <w:p w14:paraId="71D7887E">
            <w:pPr>
              <w:widowControl/>
              <w:spacing w:line="240" w:lineRule="auto"/>
              <w:ind w:firstLine="240" w:firstLineChars="1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4.配件：所有五金配件全部防锈、防腐处理。                   </w:t>
            </w:r>
          </w:p>
          <w:p w14:paraId="4B163852">
            <w:pPr>
              <w:widowControl/>
              <w:spacing w:line="240" w:lineRule="auto"/>
              <w:ind w:firstLine="0" w:firstLineChars="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★5.响应文件中提供“椅子”的检测报告，检测依据满足或优于GB/T10357.3-20</w:t>
            </w:r>
            <w:r>
              <w:rPr>
                <w:rFonts w:ascii="宋体" w:hAnsi="宋体" w:cs="宋体"/>
                <w:color w:val="000000"/>
                <w:kern w:val="0"/>
                <w:sz w:val="24"/>
                <w:szCs w:val="24"/>
                <w:lang w:bidi="ar"/>
              </w:rPr>
              <w:t>25</w:t>
            </w:r>
            <w:r>
              <w:rPr>
                <w:rFonts w:hint="eastAsia" w:ascii="宋体" w:hAnsi="宋体" w:cs="宋体"/>
                <w:color w:val="000000"/>
                <w:kern w:val="0"/>
                <w:sz w:val="24"/>
                <w:szCs w:val="24"/>
                <w:lang w:bidi="ar"/>
              </w:rPr>
              <w:t>《家具力学性能试验第3部分:椅凳类强度和耐久性》、GB/T10357.2-2013《家具力学性能试验第2部分:椅凳类稳定性》、GB/T35607-2024《绿色产品评价 家具》、GB/T17657-2022《人造板及饰面人造板理化性能试验方法》、GB/T3324-2024《木家具通用技术条件》，检测报告内容至少包含但不限：（1）力学性能（椅凳类强度和耐久性：座面冲击试验符合要求。椅凳类稳定性：椅子向前倾翻试验无倾翻）（2）甲醛释放量(干燥器法)≤0.12mg/L；（3）椅座椅背耐久性≥12万次，符合要求；（4）底脚平稳性≤0.5mm；（5）材料要求（木材含水率≤10%。标识与实物一致性；（6）木工要求：板件或部件在接触人体或贮物部位不应有毛刺、刃口或棱角；板件或部件的外表应光滑，倒棱、圆角、圆线应均匀一致；榫、塞角、零部件等结合处不应断裂。</w:t>
            </w:r>
          </w:p>
        </w:tc>
        <w:tc>
          <w:tcPr>
            <w:tcW w:w="329" w:type="pct"/>
            <w:tcBorders>
              <w:top w:val="single" w:color="000000" w:sz="4" w:space="0"/>
              <w:left w:val="single" w:color="000000" w:sz="4" w:space="0"/>
              <w:bottom w:val="single" w:color="000000" w:sz="4" w:space="0"/>
              <w:right w:val="single" w:color="000000" w:sz="4" w:space="0"/>
            </w:tcBorders>
            <w:vAlign w:val="center"/>
          </w:tcPr>
          <w:p w14:paraId="17ADB752">
            <w:pPr>
              <w:widowControl/>
              <w:spacing w:line="240" w:lineRule="auto"/>
              <w:ind w:firstLine="0" w:firstLineChars="0"/>
              <w:jc w:val="center"/>
              <w:textAlignment w:val="center"/>
              <w:rPr>
                <w:rFonts w:ascii="宋体" w:hAnsi="宋体" w:cs="宋体"/>
                <w:color w:val="000000"/>
                <w:sz w:val="24"/>
                <w:szCs w:val="24"/>
              </w:rPr>
            </w:pPr>
            <w:r>
              <w:rPr>
                <w:rFonts w:hint="eastAsia" w:ascii="宋体" w:hAnsi="宋体" w:cs="宋体"/>
                <w:color w:val="000000"/>
                <w:sz w:val="24"/>
                <w:szCs w:val="24"/>
              </w:rPr>
              <w:t>480</w:t>
            </w:r>
          </w:p>
        </w:tc>
        <w:tc>
          <w:tcPr>
            <w:tcW w:w="299" w:type="pct"/>
            <w:tcBorders>
              <w:top w:val="single" w:color="000000" w:sz="4" w:space="0"/>
              <w:left w:val="single" w:color="000000" w:sz="4" w:space="0"/>
              <w:bottom w:val="single" w:color="000000" w:sz="4" w:space="0"/>
              <w:right w:val="single" w:color="000000" w:sz="4" w:space="0"/>
            </w:tcBorders>
            <w:noWrap/>
            <w:vAlign w:val="center"/>
          </w:tcPr>
          <w:p w14:paraId="644E3814">
            <w:pPr>
              <w:widowControl/>
              <w:spacing w:line="240" w:lineRule="auto"/>
              <w:ind w:firstLine="0" w:firstLineChars="0"/>
              <w:jc w:val="center"/>
              <w:textAlignment w:val="center"/>
              <w:rPr>
                <w:rFonts w:ascii="宋体" w:hAnsi="宋体" w:cs="宋体"/>
                <w:color w:val="000000"/>
                <w:sz w:val="24"/>
                <w:szCs w:val="24"/>
              </w:rPr>
            </w:pPr>
            <w:r>
              <w:rPr>
                <w:rFonts w:hint="eastAsia" w:ascii="宋体" w:hAnsi="宋体" w:cs="宋体"/>
                <w:color w:val="000000"/>
                <w:sz w:val="24"/>
                <w:szCs w:val="24"/>
              </w:rPr>
              <w:t>张</w:t>
            </w:r>
          </w:p>
        </w:tc>
        <w:tc>
          <w:tcPr>
            <w:tcW w:w="491" w:type="pct"/>
            <w:tcBorders>
              <w:top w:val="single" w:color="000000" w:sz="4" w:space="0"/>
              <w:left w:val="single" w:color="000000" w:sz="4" w:space="0"/>
              <w:bottom w:val="single" w:color="000000" w:sz="4" w:space="0"/>
              <w:right w:val="single" w:color="000000" w:sz="4" w:space="0"/>
            </w:tcBorders>
            <w:noWrap/>
            <w:vAlign w:val="center"/>
          </w:tcPr>
          <w:p w14:paraId="350B6C4D">
            <w:pPr>
              <w:widowControl/>
              <w:spacing w:line="240" w:lineRule="auto"/>
              <w:ind w:firstLine="0" w:firstLineChars="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80</w:t>
            </w:r>
          </w:p>
        </w:tc>
        <w:tc>
          <w:tcPr>
            <w:tcW w:w="516" w:type="pct"/>
            <w:tcBorders>
              <w:top w:val="single" w:color="000000" w:sz="4" w:space="0"/>
              <w:left w:val="single" w:color="000000" w:sz="4" w:space="0"/>
              <w:bottom w:val="single" w:color="000000" w:sz="4" w:space="0"/>
              <w:right w:val="single" w:color="000000" w:sz="4" w:space="0"/>
            </w:tcBorders>
            <w:noWrap/>
            <w:vAlign w:val="center"/>
          </w:tcPr>
          <w:p w14:paraId="53E4D429">
            <w:pPr>
              <w:widowControl/>
              <w:spacing w:line="240" w:lineRule="auto"/>
              <w:ind w:firstLine="0" w:firstLineChars="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38400</w:t>
            </w:r>
          </w:p>
        </w:tc>
        <w:tc>
          <w:tcPr>
            <w:tcW w:w="306" w:type="pct"/>
            <w:tcBorders>
              <w:top w:val="single" w:color="000000" w:sz="4" w:space="0"/>
              <w:left w:val="single" w:color="000000" w:sz="4" w:space="0"/>
              <w:bottom w:val="single" w:color="000000" w:sz="4" w:space="0"/>
              <w:right w:val="single" w:color="000000" w:sz="4" w:space="0"/>
            </w:tcBorders>
            <w:noWrap/>
            <w:vAlign w:val="center"/>
          </w:tcPr>
          <w:p w14:paraId="35F82F54">
            <w:pPr>
              <w:widowControl/>
              <w:spacing w:line="240" w:lineRule="auto"/>
              <w:ind w:firstLine="0" w:firstLineChars="0"/>
              <w:jc w:val="center"/>
              <w:textAlignment w:val="center"/>
              <w:rPr>
                <w:rFonts w:ascii="宋体" w:hAnsi="宋体" w:cs="宋体"/>
                <w:color w:val="000000"/>
                <w:kern w:val="0"/>
                <w:sz w:val="24"/>
                <w:szCs w:val="24"/>
                <w:lang w:bidi="ar"/>
              </w:rPr>
            </w:pPr>
          </w:p>
        </w:tc>
      </w:tr>
      <w:tr w14:paraId="7DC0DB55">
        <w:tblPrEx>
          <w:tblCellMar>
            <w:top w:w="0" w:type="dxa"/>
            <w:left w:w="108" w:type="dxa"/>
            <w:bottom w:w="0" w:type="dxa"/>
            <w:right w:w="108" w:type="dxa"/>
          </w:tblCellMar>
        </w:tblPrEx>
        <w:trPr>
          <w:trHeight w:val="269" w:hRule="atLeast"/>
          <w:jc w:val="center"/>
        </w:trPr>
        <w:tc>
          <w:tcPr>
            <w:tcW w:w="4178" w:type="pct"/>
            <w:gridSpan w:val="6"/>
            <w:tcBorders>
              <w:top w:val="single" w:color="000000" w:sz="4" w:space="0"/>
              <w:left w:val="single" w:color="000000" w:sz="4" w:space="0"/>
              <w:bottom w:val="single" w:color="000000" w:sz="4" w:space="0"/>
              <w:right w:val="single" w:color="000000" w:sz="4" w:space="0"/>
            </w:tcBorders>
            <w:noWrap/>
            <w:vAlign w:val="center"/>
          </w:tcPr>
          <w:p w14:paraId="49A6ADDD">
            <w:pPr>
              <w:widowControl/>
              <w:spacing w:line="240" w:lineRule="auto"/>
              <w:ind w:firstLine="0" w:firstLineChars="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合计</w:t>
            </w:r>
          </w:p>
        </w:tc>
        <w:tc>
          <w:tcPr>
            <w:tcW w:w="516" w:type="pct"/>
            <w:tcBorders>
              <w:top w:val="single" w:color="000000" w:sz="4" w:space="0"/>
              <w:left w:val="single" w:color="000000" w:sz="4" w:space="0"/>
              <w:bottom w:val="single" w:color="000000" w:sz="4" w:space="0"/>
              <w:right w:val="single" w:color="000000" w:sz="4" w:space="0"/>
            </w:tcBorders>
            <w:vAlign w:val="center"/>
          </w:tcPr>
          <w:p w14:paraId="2CCE5333">
            <w:pPr>
              <w:widowControl/>
              <w:spacing w:line="240" w:lineRule="auto"/>
              <w:ind w:firstLine="0" w:firstLineChars="0"/>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120000</w:t>
            </w:r>
          </w:p>
        </w:tc>
        <w:tc>
          <w:tcPr>
            <w:tcW w:w="306" w:type="pct"/>
            <w:tcBorders>
              <w:top w:val="single" w:color="000000" w:sz="4" w:space="0"/>
              <w:left w:val="single" w:color="000000" w:sz="4" w:space="0"/>
              <w:bottom w:val="single" w:color="000000" w:sz="4" w:space="0"/>
              <w:right w:val="single" w:color="000000" w:sz="4" w:space="0"/>
            </w:tcBorders>
            <w:vAlign w:val="center"/>
          </w:tcPr>
          <w:p w14:paraId="1093A0A1">
            <w:pPr>
              <w:widowControl/>
              <w:spacing w:line="240" w:lineRule="auto"/>
              <w:ind w:firstLine="0" w:firstLineChars="0"/>
              <w:jc w:val="center"/>
              <w:textAlignment w:val="center"/>
              <w:rPr>
                <w:rFonts w:ascii="宋体" w:hAnsi="宋体" w:cs="宋体"/>
                <w:color w:val="000000"/>
                <w:kern w:val="0"/>
                <w:sz w:val="24"/>
                <w:szCs w:val="24"/>
                <w:lang w:bidi="ar"/>
              </w:rPr>
            </w:pPr>
          </w:p>
        </w:tc>
      </w:tr>
      <w:tr w14:paraId="6EC9F1A9">
        <w:tblPrEx>
          <w:tblCellMar>
            <w:top w:w="0" w:type="dxa"/>
            <w:left w:w="108" w:type="dxa"/>
            <w:bottom w:w="0" w:type="dxa"/>
            <w:right w:w="108" w:type="dxa"/>
          </w:tblCellMar>
        </w:tblPrEx>
        <w:trPr>
          <w:trHeight w:val="2504"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6BB17C3">
            <w:pPr>
              <w:widowControl/>
              <w:spacing w:line="240" w:lineRule="auto"/>
              <w:ind w:firstLine="472" w:firstLineChars="196"/>
              <w:jc w:val="left"/>
              <w:rPr>
                <w:rFonts w:ascii="宋体" w:hAnsi="宋体" w:cs="宋体"/>
                <w:b/>
                <w:bCs/>
                <w:color w:val="000000"/>
                <w:sz w:val="24"/>
                <w:szCs w:val="24"/>
              </w:rPr>
            </w:pPr>
            <w:r>
              <w:rPr>
                <w:rFonts w:hint="eastAsia" w:ascii="宋体" w:hAnsi="宋体" w:cs="宋体"/>
                <w:b/>
                <w:bCs/>
                <w:color w:val="000000"/>
                <w:sz w:val="24"/>
                <w:szCs w:val="24"/>
              </w:rPr>
              <w:t>（以下要求各部门可根据实际情况适当修改）</w:t>
            </w:r>
          </w:p>
          <w:p w14:paraId="4BE31531">
            <w:pPr>
              <w:widowControl/>
              <w:spacing w:line="240" w:lineRule="auto"/>
              <w:ind w:firstLine="472" w:firstLineChars="196"/>
              <w:jc w:val="left"/>
              <w:rPr>
                <w:rFonts w:ascii="宋体" w:hAnsi="宋体" w:cs="宋体"/>
                <w:b/>
                <w:bCs/>
                <w:color w:val="000000"/>
                <w:sz w:val="24"/>
                <w:szCs w:val="24"/>
              </w:rPr>
            </w:pPr>
            <w:r>
              <w:rPr>
                <w:rFonts w:hint="eastAsia" w:ascii="宋体" w:hAnsi="宋体" w:cs="宋体"/>
                <w:b/>
                <w:bCs/>
                <w:color w:val="000000"/>
                <w:sz w:val="24"/>
                <w:szCs w:val="24"/>
              </w:rPr>
              <w:t>一、竞标要求：</w:t>
            </w:r>
          </w:p>
          <w:p w14:paraId="4FAC7A31">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1.本项目不接受负偏离，采购需求所有技术要求必须完全响应，否则投标无效。</w:t>
            </w:r>
          </w:p>
          <w:p w14:paraId="52F07A98">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2.竞标人必须提供全套厂商原装、全新的、符合国家有关质量标准的产品。</w:t>
            </w:r>
          </w:p>
          <w:p w14:paraId="0EC54E99">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b/>
                <w:bCs/>
                <w:color w:val="000000"/>
                <w:kern w:val="0"/>
                <w:sz w:val="24"/>
                <w:szCs w:val="24"/>
              </w:rPr>
              <w:t>竞标人需在响应文件中书面承诺</w:t>
            </w:r>
            <w:r>
              <w:rPr>
                <w:rFonts w:hint="eastAsia" w:ascii="宋体" w:hAnsi="宋体" w:cs="宋体"/>
                <w:color w:val="000000"/>
                <w:kern w:val="0"/>
                <w:sz w:val="24"/>
                <w:szCs w:val="24"/>
              </w:rPr>
              <w:t>在货物交货的同时应随货物提供以下技术文件（包括但不限于）：</w:t>
            </w:r>
          </w:p>
          <w:p w14:paraId="4231C11F">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（1）使用说明书、货物的维修、保养手册；</w:t>
            </w:r>
          </w:p>
          <w:p w14:paraId="237C5041">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（2）安装、调试及维修手册；</w:t>
            </w:r>
          </w:p>
          <w:p w14:paraId="433F7330">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（3）产品出厂检验合格证书；</w:t>
            </w:r>
          </w:p>
          <w:p w14:paraId="0DA63653">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（4）原厂签发的生产证书；</w:t>
            </w:r>
          </w:p>
          <w:p w14:paraId="5BC3F2AA">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（5）货物到货清单；</w:t>
            </w:r>
          </w:p>
          <w:p w14:paraId="69493382">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（6）货物保修证明；</w:t>
            </w:r>
          </w:p>
          <w:p w14:paraId="399B7951">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（7）采购人所需的其他相关资料。</w:t>
            </w:r>
          </w:p>
          <w:p w14:paraId="2FA13CE2">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4.</w:t>
            </w:r>
            <w:r>
              <w:rPr>
                <w:rFonts w:hint="eastAsia" w:ascii="宋体" w:hAnsi="宋体" w:cs="宋体"/>
                <w:b/>
                <w:bCs/>
                <w:color w:val="000000"/>
                <w:kern w:val="0"/>
                <w:sz w:val="24"/>
                <w:szCs w:val="24"/>
              </w:rPr>
              <w:t>竞标人应在竞标报价文件中给出各个单项的单价，不能仅给出小计和合计。</w:t>
            </w:r>
            <w:r>
              <w:rPr>
                <w:rFonts w:hint="eastAsia" w:ascii="宋体" w:hAnsi="宋体" w:cs="宋体"/>
                <w:color w:val="000000"/>
                <w:kern w:val="0"/>
                <w:sz w:val="24"/>
                <w:szCs w:val="24"/>
              </w:rPr>
              <w:t>竞标报价</w:t>
            </w:r>
            <w:r>
              <w:rPr>
                <w:rFonts w:hint="eastAsia" w:ascii="宋体" w:hAnsi="宋体" w:cs="宋体"/>
                <w:color w:val="000000"/>
                <w:sz w:val="24"/>
                <w:szCs w:val="24"/>
                <w:shd w:val="clear" w:color="auto" w:fill="FFFFFF"/>
              </w:rPr>
              <w:t>包括竞标全部货物金额、、安装费、运输费、吊装费、人工费、工具、调试费、实施费、迁移费、培训费、技术支持、检验费、验收费、售后服务、税金、利息、合同实施过程中不可预见的费用及其它所有成本费用的总和。</w:t>
            </w:r>
          </w:p>
          <w:p w14:paraId="3D2BEED6">
            <w:pPr>
              <w:widowControl/>
              <w:spacing w:line="240" w:lineRule="auto"/>
              <w:ind w:firstLine="480"/>
              <w:jc w:val="left"/>
              <w:rPr>
                <w:rFonts w:ascii="宋体" w:hAnsi="宋体" w:cs="宋体"/>
                <w:color w:val="000000"/>
                <w:kern w:val="0"/>
                <w:sz w:val="24"/>
                <w:szCs w:val="24"/>
              </w:rPr>
            </w:pPr>
            <w:r>
              <w:rPr>
                <w:rFonts w:ascii="宋体" w:hAnsi="宋体" w:cs="宋体"/>
                <w:color w:val="000000"/>
                <w:kern w:val="0"/>
                <w:sz w:val="24"/>
                <w:szCs w:val="24"/>
              </w:rPr>
              <w:t>5</w:t>
            </w:r>
            <w:r>
              <w:rPr>
                <w:rFonts w:hint="eastAsia" w:ascii="宋体" w:hAnsi="宋体" w:cs="宋体"/>
                <w:color w:val="000000"/>
                <w:kern w:val="0"/>
                <w:sz w:val="24"/>
                <w:szCs w:val="24"/>
              </w:rPr>
              <w:t>.竞标人需在响应文件中书面承诺采购方免受第三方提出侵犯其著作权、专利权、商标权或设计权的纠纷，竞标人所竞标产品不会发生任何的知识产权或经营权的纠纷。</w:t>
            </w:r>
          </w:p>
          <w:p w14:paraId="7CBDC393">
            <w:pPr>
              <w:widowControl/>
              <w:spacing w:line="240" w:lineRule="auto"/>
              <w:ind w:firstLine="480"/>
              <w:jc w:val="left"/>
              <w:rPr>
                <w:rFonts w:ascii="宋体" w:hAnsi="宋体" w:cs="宋体"/>
                <w:color w:val="000000"/>
                <w:kern w:val="0"/>
                <w:sz w:val="24"/>
                <w:szCs w:val="24"/>
              </w:rPr>
            </w:pPr>
            <w:r>
              <w:rPr>
                <w:rFonts w:ascii="宋体" w:hAnsi="宋体" w:cs="宋体"/>
                <w:color w:val="000000"/>
                <w:kern w:val="0"/>
                <w:sz w:val="24"/>
                <w:szCs w:val="24"/>
              </w:rPr>
              <w:t>6</w:t>
            </w:r>
            <w:r>
              <w:rPr>
                <w:rFonts w:hint="eastAsia" w:ascii="宋体" w:hAnsi="宋体" w:cs="宋体"/>
                <w:color w:val="000000"/>
                <w:kern w:val="0"/>
                <w:sz w:val="24"/>
                <w:szCs w:val="24"/>
              </w:rPr>
              <w:t>.</w:t>
            </w:r>
            <w:r>
              <w:rPr>
                <w:rFonts w:hint="eastAsia" w:ascii="宋体" w:hAnsi="宋体" w:cs="宋体"/>
                <w:color w:val="000000"/>
                <w:sz w:val="24"/>
                <w:szCs w:val="24"/>
              </w:rPr>
              <w:t>竞标人在自2023年1月1日至今参加招标采购和经营活动中有重大违法记录或违约记录的，或有违约、供货产品质量不合格投诉的，或质量纠纷的，谈判小组将按无效竞标处理。竞标人商在报价活动中提供任何虚假材料，以及报价产品的技术参数不如实说明及检测报告不符合招标文件要求的其竞标无效，并报监管部门查处；成交后，若成交供应商所供产品及售后服务不按招标文件文件及响应文件要求履约的，将按照《中华人民共和国政府采购法》及其实施条例等有关规定严肃处理</w:t>
            </w:r>
            <w:r>
              <w:rPr>
                <w:rFonts w:hint="eastAsia" w:ascii="宋体" w:hAnsi="宋体" w:cs="宋体"/>
                <w:color w:val="000000"/>
                <w:kern w:val="0"/>
                <w:sz w:val="24"/>
                <w:szCs w:val="24"/>
              </w:rPr>
              <w:t>；</w:t>
            </w:r>
          </w:p>
          <w:p w14:paraId="6494A51E">
            <w:pPr>
              <w:widowControl/>
              <w:spacing w:line="240" w:lineRule="auto"/>
              <w:ind w:firstLine="480"/>
              <w:jc w:val="left"/>
              <w:rPr>
                <w:rFonts w:ascii="宋体" w:hAnsi="宋体" w:cs="宋体"/>
                <w:color w:val="000000"/>
                <w:sz w:val="24"/>
                <w:szCs w:val="24"/>
              </w:rPr>
            </w:pPr>
            <w:r>
              <w:rPr>
                <w:rFonts w:ascii="宋体" w:hAnsi="宋体" w:cs="宋体"/>
                <w:color w:val="000000"/>
                <w:sz w:val="24"/>
                <w:szCs w:val="24"/>
              </w:rPr>
              <w:t>7</w:t>
            </w:r>
            <w:r>
              <w:rPr>
                <w:rFonts w:hint="eastAsia" w:ascii="宋体" w:hAnsi="宋体" w:cs="宋体"/>
                <w:color w:val="000000"/>
                <w:sz w:val="24"/>
                <w:szCs w:val="24"/>
              </w:rPr>
              <w:t>.本项目不接受进口产品（即通过中国海关报关验放进入中国境内且产自关境外的产品）参与竞标。</w:t>
            </w:r>
          </w:p>
          <w:p w14:paraId="712310FE">
            <w:pPr>
              <w:pStyle w:val="14"/>
              <w:spacing w:line="240" w:lineRule="auto"/>
              <w:rPr>
                <w:rFonts w:ascii="宋体" w:hAnsi="宋体" w:eastAsia="宋体" w:cs="宋体"/>
                <w:color w:val="000000"/>
                <w:sz w:val="24"/>
                <w:szCs w:val="24"/>
              </w:rPr>
            </w:pPr>
            <w:r>
              <w:rPr>
                <w:rFonts w:hint="eastAsia" w:ascii="宋体" w:hAnsi="宋体" w:eastAsia="宋体" w:cs="宋体"/>
                <w:color w:val="000000"/>
                <w:sz w:val="24"/>
                <w:szCs w:val="24"/>
              </w:rPr>
              <w:t>★</w:t>
            </w:r>
            <w:r>
              <w:rPr>
                <w:rFonts w:ascii="宋体" w:hAnsi="宋体" w:eastAsia="宋体" w:cs="宋体"/>
                <w:color w:val="000000"/>
                <w:sz w:val="24"/>
                <w:szCs w:val="24"/>
              </w:rPr>
              <w:t>8</w:t>
            </w:r>
            <w:r>
              <w:rPr>
                <w:rFonts w:hint="eastAsia" w:ascii="宋体" w:hAnsi="宋体" w:eastAsia="宋体" w:cs="宋体"/>
                <w:color w:val="000000"/>
                <w:sz w:val="24"/>
                <w:szCs w:val="24"/>
              </w:rPr>
              <w:t>.竞标人须为广西政采云平台正式入驻商家，且经营范围须明确涵盖本次采购所有货物品类。成交后，采购将以平台下单模式执行，不接受任何形式的线下交易，确保流程公开透明、信息全程可溯。</w:t>
            </w:r>
          </w:p>
          <w:p w14:paraId="2B5910CE">
            <w:pPr>
              <w:widowControl/>
              <w:spacing w:line="240" w:lineRule="auto"/>
              <w:ind w:firstLine="472" w:firstLineChars="196"/>
              <w:jc w:val="left"/>
              <w:rPr>
                <w:rFonts w:ascii="宋体" w:hAnsi="宋体" w:cs="宋体"/>
                <w:b/>
                <w:color w:val="000000"/>
                <w:kern w:val="0"/>
                <w:sz w:val="24"/>
                <w:szCs w:val="24"/>
              </w:rPr>
            </w:pPr>
            <w:r>
              <w:rPr>
                <w:rFonts w:hint="eastAsia" w:ascii="宋体" w:hAnsi="宋体" w:cs="宋体"/>
                <w:b/>
                <w:color w:val="000000"/>
                <w:kern w:val="0"/>
                <w:sz w:val="24"/>
                <w:szCs w:val="24"/>
              </w:rPr>
              <w:t>二、售后服务要求</w:t>
            </w:r>
          </w:p>
          <w:p w14:paraId="236FC376">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1.质保期：所有货物必须是全新合格产品，按国家有关产品“三包”规定执行“三包”，货物质</w:t>
            </w:r>
            <w:r>
              <w:rPr>
                <w:rFonts w:hint="eastAsia" w:ascii="宋体" w:hAnsi="宋体" w:cs="宋体"/>
                <w:color w:val="000000"/>
                <w:sz w:val="24"/>
                <w:szCs w:val="24"/>
              </w:rPr>
              <w:t>保期不少于</w:t>
            </w:r>
            <w:r>
              <w:rPr>
                <w:rFonts w:hint="eastAsia" w:ascii="宋体" w:hAnsi="宋体" w:cs="宋体"/>
                <w:color w:val="000000"/>
                <w:kern w:val="0"/>
                <w:sz w:val="24"/>
                <w:szCs w:val="24"/>
              </w:rPr>
              <w:t>一年，如生产厂家承诺质保期更长的，以厂家承诺为准。保修期内出现故障，需派出技术工程师到达现场勘察处理故障，并承担一切费用，保修期外发生维修只收材料成本费。</w:t>
            </w:r>
          </w:p>
          <w:p w14:paraId="23A29252">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2.所有货物运抵采购人指定的地方，经采购人查核数量、质量确实符合合同（或招标文件）要求后，成交供应商方可施工、安装。</w:t>
            </w:r>
          </w:p>
          <w:p w14:paraId="74C345FE">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3.在质保期内，成交供应商须在接到报修电话后2个小时内响应，4小时内上门服务，到达现场后24小时内维修好。若</w:t>
            </w:r>
            <w:r>
              <w:rPr>
                <w:rFonts w:hint="eastAsia" w:ascii="宋体" w:hAnsi="宋体" w:cs="宋体"/>
                <w:color w:val="000000"/>
                <w:sz w:val="24"/>
                <w:szCs w:val="24"/>
              </w:rPr>
              <w:t>24个小时内</w:t>
            </w:r>
            <w:r>
              <w:rPr>
                <w:rFonts w:hint="eastAsia" w:ascii="宋体" w:hAnsi="宋体" w:cs="宋体"/>
                <w:color w:val="000000"/>
                <w:kern w:val="0"/>
                <w:sz w:val="24"/>
                <w:szCs w:val="24"/>
              </w:rPr>
              <w:t>无法维修好的货物，成交供应商必须提供不低于故障货物规格型号档次的备用货物，直到故障货物修复，成交供应商对所有货物实行终身维护。</w:t>
            </w:r>
          </w:p>
          <w:p w14:paraId="30EB6559">
            <w:pPr>
              <w:widowControl/>
              <w:spacing w:line="240" w:lineRule="auto"/>
              <w:ind w:firstLine="480"/>
              <w:jc w:val="left"/>
              <w:rPr>
                <w:rFonts w:ascii="宋体" w:hAnsi="宋体" w:cs="宋体"/>
                <w:color w:val="000000"/>
                <w:kern w:val="0"/>
                <w:sz w:val="24"/>
                <w:szCs w:val="24"/>
              </w:rPr>
            </w:pPr>
            <w:r>
              <w:rPr>
                <w:rFonts w:hint="eastAsia" w:ascii="宋体" w:hAnsi="宋体" w:cs="宋体"/>
                <w:bCs/>
                <w:color w:val="000000"/>
                <w:kern w:val="0"/>
                <w:sz w:val="24"/>
                <w:szCs w:val="24"/>
              </w:rPr>
              <w:t>4.保修期满后，采购人须需要采购零配件的，成交供应商须在五个日历日内按优惠价提供相关零配件。</w:t>
            </w:r>
          </w:p>
          <w:p w14:paraId="648D838F">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5.成交供应商必须负责本次货物的安装、调试、使用培训。成交供应商为采购人培训2名以上使用及维护人员，培训目标应达到基本掌握全套货物的操作，培训地点：广西钦州市滨海大道12号北部湾大学。</w:t>
            </w:r>
          </w:p>
          <w:p w14:paraId="03C23AD7">
            <w:pPr>
              <w:widowControl/>
              <w:spacing w:line="240" w:lineRule="auto"/>
              <w:ind w:firstLine="480"/>
              <w:jc w:val="left"/>
              <w:rPr>
                <w:rFonts w:ascii="宋体" w:hAnsi="宋体" w:cs="宋体"/>
                <w:color w:val="000000"/>
                <w:sz w:val="24"/>
                <w:szCs w:val="24"/>
              </w:rPr>
            </w:pPr>
            <w:r>
              <w:rPr>
                <w:rFonts w:hint="eastAsia" w:ascii="宋体" w:hAnsi="宋体" w:cs="宋体"/>
                <w:color w:val="000000"/>
                <w:sz w:val="24"/>
                <w:szCs w:val="24"/>
              </w:rPr>
              <w:t>6.提供本地化服务，提供定期回访及巡检服务。质保期内，成交供应商必须每年至少一次定期派工程师上门检查货物运行状况，发现硬件有问题，免费更换。</w:t>
            </w:r>
          </w:p>
          <w:p w14:paraId="56A40E24">
            <w:pPr>
              <w:widowControl/>
              <w:spacing w:line="240" w:lineRule="auto"/>
              <w:ind w:firstLine="472" w:firstLineChars="196"/>
              <w:jc w:val="left"/>
              <w:rPr>
                <w:rFonts w:ascii="宋体" w:hAnsi="宋体" w:cs="宋体"/>
                <w:bCs/>
                <w:color w:val="000000"/>
                <w:sz w:val="24"/>
                <w:szCs w:val="24"/>
              </w:rPr>
            </w:pPr>
            <w:r>
              <w:rPr>
                <w:rFonts w:hint="eastAsia" w:ascii="宋体" w:hAnsi="宋体" w:cs="宋体"/>
                <w:b/>
                <w:bCs/>
                <w:color w:val="000000"/>
                <w:sz w:val="24"/>
                <w:szCs w:val="24"/>
              </w:rPr>
              <w:t>三、交货时间</w:t>
            </w:r>
          </w:p>
          <w:p w14:paraId="1F6C4E3D">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1.交货时间：自签订合同之日起30个日历日内完成所有货物安装调试并交付使用；</w:t>
            </w:r>
            <w:r>
              <w:rPr>
                <w:rFonts w:ascii="宋体" w:hAnsi="宋体" w:cs="宋体"/>
                <w:color w:val="000000"/>
                <w:kern w:val="0"/>
                <w:sz w:val="24"/>
                <w:szCs w:val="24"/>
              </w:rPr>
              <w:t xml:space="preserve"> </w:t>
            </w:r>
          </w:p>
          <w:p w14:paraId="5590DD79">
            <w:pPr>
              <w:widowControl/>
              <w:spacing w:line="240" w:lineRule="auto"/>
              <w:ind w:firstLine="480"/>
              <w:jc w:val="left"/>
              <w:rPr>
                <w:rFonts w:ascii="宋体" w:hAnsi="宋体" w:cs="宋体"/>
                <w:color w:val="000000"/>
                <w:kern w:val="0"/>
                <w:sz w:val="24"/>
                <w:szCs w:val="24"/>
              </w:rPr>
            </w:pPr>
            <w:r>
              <w:rPr>
                <w:rFonts w:hint="eastAsia" w:ascii="宋体" w:hAnsi="宋体" w:cs="宋体"/>
                <w:color w:val="000000"/>
                <w:kern w:val="0"/>
                <w:sz w:val="24"/>
                <w:szCs w:val="24"/>
              </w:rPr>
              <w:t>2.交货地点：广西钦州市滨海大道12号北部湾大学。</w:t>
            </w:r>
          </w:p>
          <w:p w14:paraId="2B4F2A3F">
            <w:pPr>
              <w:widowControl/>
              <w:spacing w:line="240" w:lineRule="auto"/>
              <w:ind w:firstLine="472" w:firstLineChars="196"/>
              <w:jc w:val="left"/>
              <w:rPr>
                <w:rFonts w:ascii="宋体" w:hAnsi="宋体" w:cs="宋体"/>
                <w:b/>
                <w:bCs/>
                <w:color w:val="000000"/>
                <w:sz w:val="24"/>
                <w:szCs w:val="24"/>
              </w:rPr>
            </w:pPr>
            <w:r>
              <w:rPr>
                <w:rFonts w:hint="eastAsia" w:ascii="宋体" w:hAnsi="宋体" w:cs="宋体"/>
                <w:b/>
                <w:bCs/>
                <w:color w:val="000000"/>
                <w:sz w:val="24"/>
                <w:szCs w:val="24"/>
              </w:rPr>
              <w:t>四、付款方式</w:t>
            </w:r>
          </w:p>
          <w:p w14:paraId="51761C96">
            <w:pPr>
              <w:spacing w:line="240" w:lineRule="auto"/>
              <w:ind w:firstLine="480"/>
              <w:rPr>
                <w:rFonts w:ascii="宋体" w:hAnsi="宋体" w:cs="宋体"/>
                <w:color w:val="000000"/>
                <w:sz w:val="24"/>
                <w:szCs w:val="24"/>
              </w:rPr>
            </w:pPr>
            <w:r>
              <w:rPr>
                <w:rFonts w:hint="eastAsia" w:ascii="宋体" w:hAnsi="宋体" w:cs="宋体"/>
                <w:color w:val="000000"/>
                <w:sz w:val="24"/>
                <w:szCs w:val="24"/>
              </w:rPr>
              <w:t>1.当采购数量与实际使用数量不一致时，成交供应商应根据实际使用量供货，合同的最终结算金额按实际使用量乘以成交单价进行计算，但不得超出合同价的10%。</w:t>
            </w:r>
          </w:p>
          <w:p w14:paraId="191405CB">
            <w:pPr>
              <w:spacing w:line="240" w:lineRule="auto"/>
              <w:ind w:firstLine="480"/>
              <w:rPr>
                <w:rFonts w:ascii="宋体" w:hAnsi="宋体" w:cs="宋体"/>
                <w:color w:val="000000"/>
                <w:sz w:val="24"/>
                <w:szCs w:val="24"/>
              </w:rPr>
            </w:pPr>
            <w:r>
              <w:rPr>
                <w:rFonts w:hint="eastAsia" w:ascii="宋体" w:hAnsi="宋体" w:cs="宋体"/>
                <w:color w:val="000000"/>
                <w:sz w:val="24"/>
                <w:szCs w:val="24"/>
              </w:rPr>
              <w:t>2.成交供应商将所有货物安装调试完毕，并正常运转，且为采购人培训结束，采购人无疑问后，经采购人最终验收合格，由成交供应商开出合同总金额的增值税专用发票，采购人自收到齐全的付款材料之日起十个工作日内一次性向成交供应商支付合同总金额，即人民币          元整（¥      ）。</w:t>
            </w:r>
          </w:p>
          <w:p w14:paraId="217A8CA0">
            <w:pPr>
              <w:spacing w:line="240" w:lineRule="auto"/>
              <w:ind w:firstLine="590" w:firstLineChars="245"/>
              <w:rPr>
                <w:rFonts w:ascii="宋体" w:hAnsi="宋体" w:cs="宋体"/>
                <w:b/>
                <w:color w:val="000000"/>
                <w:sz w:val="24"/>
                <w:szCs w:val="24"/>
              </w:rPr>
            </w:pPr>
            <w:r>
              <w:rPr>
                <w:rFonts w:hint="eastAsia" w:ascii="宋体" w:hAnsi="宋体" w:cs="宋体"/>
                <w:b/>
                <w:color w:val="000000"/>
                <w:sz w:val="24"/>
                <w:szCs w:val="24"/>
              </w:rPr>
              <w:t>五、履约保证金</w:t>
            </w:r>
          </w:p>
          <w:p w14:paraId="48214C1E">
            <w:pPr>
              <w:pStyle w:val="7"/>
              <w:snapToGrid w:val="0"/>
              <w:spacing w:line="240" w:lineRule="auto"/>
              <w:ind w:firstLine="480"/>
              <w:rPr>
                <w:rFonts w:hAnsi="宋体" w:cs="宋体"/>
                <w:bCs/>
                <w:color w:val="000000"/>
                <w:sz w:val="24"/>
                <w:szCs w:val="24"/>
              </w:rPr>
            </w:pPr>
            <w:r>
              <w:rPr>
                <w:rFonts w:hint="eastAsia" w:hAnsi="宋体" w:cs="宋体"/>
                <w:bCs/>
                <w:color w:val="000000"/>
                <w:sz w:val="24"/>
                <w:szCs w:val="24"/>
              </w:rPr>
              <w:t>1.成交供应商应在合同签订前向采购人交纳履约保证金，履约保证金额为合同总价款的</w:t>
            </w:r>
            <w:r>
              <w:rPr>
                <w:rFonts w:hint="eastAsia" w:hAnsi="宋体" w:cs="宋体"/>
                <w:b/>
                <w:color w:val="000000"/>
                <w:sz w:val="24"/>
                <w:szCs w:val="24"/>
              </w:rPr>
              <w:t>5%（</w:t>
            </w:r>
            <w:r>
              <w:rPr>
                <w:rFonts w:hint="eastAsia" w:hAnsi="宋体" w:cs="宋体"/>
                <w:bCs/>
                <w:color w:val="000000"/>
                <w:sz w:val="24"/>
                <w:szCs w:val="24"/>
              </w:rPr>
              <w:t>如乙方被认定为享受小微企业政策优惠的则缴纳2%</w:t>
            </w:r>
            <w:r>
              <w:rPr>
                <w:rFonts w:hint="eastAsia" w:hAnsi="宋体" w:cs="宋体"/>
                <w:b/>
                <w:color w:val="000000"/>
                <w:sz w:val="24"/>
                <w:szCs w:val="24"/>
              </w:rPr>
              <w:t>）</w:t>
            </w:r>
            <w:r>
              <w:rPr>
                <w:rFonts w:hint="eastAsia" w:hAnsi="宋体" w:cs="宋体"/>
                <w:bCs/>
                <w:color w:val="000000"/>
                <w:sz w:val="24"/>
                <w:szCs w:val="24"/>
              </w:rPr>
              <w:t>，</w:t>
            </w:r>
            <w:r>
              <w:rPr>
                <w:rFonts w:hint="eastAsia" w:hAnsi="宋体" w:cs="宋体"/>
                <w:b/>
                <w:bCs/>
                <w:color w:val="000000"/>
                <w:sz w:val="24"/>
                <w:szCs w:val="24"/>
              </w:rPr>
              <w:t>即            元整（¥          ）</w:t>
            </w:r>
            <w:r>
              <w:rPr>
                <w:rFonts w:hint="eastAsia" w:hAnsi="宋体" w:cs="宋体"/>
                <w:bCs/>
                <w:color w:val="000000"/>
                <w:sz w:val="24"/>
                <w:szCs w:val="24"/>
              </w:rPr>
              <w:t>。</w:t>
            </w:r>
          </w:p>
          <w:p w14:paraId="19EF5A72">
            <w:pPr>
              <w:pStyle w:val="7"/>
              <w:snapToGrid w:val="0"/>
              <w:spacing w:line="240" w:lineRule="auto"/>
              <w:ind w:firstLine="480"/>
              <w:rPr>
                <w:rFonts w:hAnsi="宋体" w:cs="宋体"/>
                <w:bCs/>
                <w:color w:val="000000"/>
                <w:sz w:val="24"/>
                <w:szCs w:val="24"/>
              </w:rPr>
            </w:pPr>
            <w:r>
              <w:rPr>
                <w:rFonts w:hint="eastAsia" w:hAnsi="宋体" w:cs="宋体"/>
                <w:bCs/>
                <w:color w:val="000000"/>
                <w:sz w:val="24"/>
                <w:szCs w:val="24"/>
              </w:rPr>
              <w:t>2.合同签订后，如成交供应商按合同履约的，并按照售后服务要求履行承诺且无质量问题的，自最终验收合格之日起，质保期期满后由成交供应商向采购人发出付款函，采购人自收到齐全的付款材料之日起</w:t>
            </w:r>
            <w:r>
              <w:rPr>
                <w:rFonts w:hint="eastAsia" w:hAnsi="宋体" w:cs="宋体"/>
                <w:b/>
                <w:color w:val="000000"/>
                <w:sz w:val="24"/>
                <w:szCs w:val="24"/>
              </w:rPr>
              <w:t>十个工作日</w:t>
            </w:r>
            <w:r>
              <w:rPr>
                <w:rFonts w:hint="eastAsia" w:hAnsi="宋体" w:cs="宋体"/>
                <w:bCs/>
                <w:color w:val="000000"/>
                <w:sz w:val="24"/>
                <w:szCs w:val="24"/>
              </w:rPr>
              <w:t>内向成交供应商支付（无息）。如成交供应商不按双方签订的合同履约的，履约保证金不予退还，造成采购人经济损失的，按造成的实际损失予以赔偿。</w:t>
            </w:r>
          </w:p>
          <w:p w14:paraId="152135F3">
            <w:pPr>
              <w:pStyle w:val="7"/>
              <w:snapToGrid w:val="0"/>
              <w:spacing w:line="240" w:lineRule="auto"/>
              <w:ind w:firstLine="480"/>
              <w:rPr>
                <w:rFonts w:hAnsi="宋体" w:cs="宋体"/>
                <w:color w:val="000000"/>
                <w:sz w:val="24"/>
                <w:szCs w:val="24"/>
              </w:rPr>
            </w:pPr>
            <w:r>
              <w:rPr>
                <w:rFonts w:hint="eastAsia" w:hAnsi="宋体" w:cs="宋体"/>
                <w:bCs/>
                <w:color w:val="000000"/>
                <w:sz w:val="24"/>
                <w:szCs w:val="24"/>
              </w:rPr>
              <w:t>3.在履约保证金到期退还前，若成交供应商的开户名称、开户银行、账号有变动的，请以书面形式通知采购人，否则由此产生的后果由成交供应商自负。</w:t>
            </w:r>
          </w:p>
          <w:p w14:paraId="6C74192C">
            <w:pPr>
              <w:widowControl/>
              <w:spacing w:line="240" w:lineRule="auto"/>
              <w:ind w:firstLine="480"/>
              <w:jc w:val="left"/>
              <w:rPr>
                <w:rFonts w:ascii="宋体" w:hAnsi="宋体" w:cs="宋体"/>
                <w:bCs/>
                <w:color w:val="000000"/>
                <w:kern w:val="0"/>
                <w:sz w:val="24"/>
                <w:szCs w:val="24"/>
              </w:rPr>
            </w:pPr>
            <w:r>
              <w:rPr>
                <w:rFonts w:hint="eastAsia" w:ascii="宋体" w:hAnsi="宋体" w:cs="宋体"/>
                <w:bCs/>
                <w:color w:val="000000"/>
                <w:kern w:val="0"/>
                <w:sz w:val="24"/>
                <w:szCs w:val="24"/>
              </w:rPr>
              <w:t>六、验收方法及方案：</w:t>
            </w:r>
          </w:p>
          <w:p w14:paraId="292BC7D4">
            <w:pPr>
              <w:pStyle w:val="7"/>
              <w:snapToGrid w:val="0"/>
              <w:spacing w:line="240" w:lineRule="auto"/>
              <w:ind w:firstLine="480"/>
              <w:rPr>
                <w:rFonts w:hAnsi="宋体" w:cs="宋体"/>
                <w:color w:val="000000"/>
                <w:sz w:val="24"/>
                <w:szCs w:val="24"/>
              </w:rPr>
            </w:pPr>
            <w:r>
              <w:rPr>
                <w:rFonts w:hint="eastAsia" w:hAnsi="宋体" w:cs="宋体"/>
                <w:color w:val="000000"/>
                <w:sz w:val="24"/>
                <w:szCs w:val="24"/>
              </w:rPr>
              <w:t>1.初步验收</w:t>
            </w:r>
          </w:p>
          <w:p w14:paraId="6501C57C">
            <w:pPr>
              <w:pStyle w:val="7"/>
              <w:snapToGrid w:val="0"/>
              <w:spacing w:line="240" w:lineRule="auto"/>
              <w:ind w:firstLine="480"/>
              <w:rPr>
                <w:rFonts w:hint="eastAsia" w:hAnsi="宋体" w:cs="宋体"/>
                <w:color w:val="000000"/>
                <w:sz w:val="24"/>
                <w:szCs w:val="24"/>
              </w:rPr>
            </w:pPr>
            <w:r>
              <w:rPr>
                <w:rFonts w:hint="eastAsia" w:hAnsi="宋体" w:cs="宋体"/>
                <w:color w:val="000000"/>
                <w:sz w:val="24"/>
                <w:szCs w:val="24"/>
              </w:rPr>
              <w:t>1.1成交供应商交货前应对货物产品做出全面检查，并对验收文件进行整理列出清单，作为采购人收货验收和使用的技术条件依据，检验的结果应随货物交采购人。</w:t>
            </w:r>
          </w:p>
          <w:p w14:paraId="048AB654">
            <w:pPr>
              <w:spacing w:line="240" w:lineRule="auto"/>
              <w:ind w:firstLine="480"/>
              <w:jc w:val="left"/>
              <w:rPr>
                <w:rFonts w:ascii="宋体" w:hAnsi="宋体" w:cs="宋体"/>
                <w:color w:val="000000"/>
                <w:sz w:val="24"/>
                <w:szCs w:val="24"/>
                <w:lang w:val="zh-CN"/>
              </w:rPr>
            </w:pPr>
            <w:r>
              <w:rPr>
                <w:rFonts w:hint="eastAsia" w:ascii="宋体" w:hAnsi="宋体" w:cs="宋体"/>
                <w:color w:val="000000"/>
                <w:sz w:val="24"/>
                <w:szCs w:val="24"/>
              </w:rPr>
              <w:t>1.2成交供应商将货物运达约定的交货地点后，采购人应在</w:t>
            </w:r>
            <w:r>
              <w:rPr>
                <w:rFonts w:hint="eastAsia" w:ascii="宋体" w:hAnsi="宋体" w:cs="宋体"/>
                <w:b/>
                <w:bCs/>
                <w:color w:val="000000"/>
                <w:sz w:val="24"/>
                <w:szCs w:val="24"/>
              </w:rPr>
              <w:t>七个工作日</w:t>
            </w:r>
            <w:r>
              <w:rPr>
                <w:rFonts w:hint="eastAsia" w:ascii="宋体" w:hAnsi="宋体" w:cs="宋体"/>
                <w:color w:val="000000"/>
                <w:sz w:val="24"/>
                <w:szCs w:val="24"/>
              </w:rPr>
              <w:t>内对成交供应商提交的货物依据询价文件的要求、响应文件的承诺、合同规定的技术规格要求和国家标准或行业标准进行现场初步验收，对外观、说明书符合要求，性能达到技术要求的，给予签收。对不符合要求或有质量问题的货物不予签收，可立即要求退换，成交供应商不得拒绝和延误。对于要求退换的产品，成交供应商应于</w:t>
            </w:r>
            <w:r>
              <w:rPr>
                <w:rFonts w:hint="eastAsia" w:ascii="宋体" w:hAnsi="宋体" w:cs="宋体"/>
                <w:b/>
                <w:bCs/>
                <w:color w:val="000000"/>
                <w:sz w:val="24"/>
                <w:szCs w:val="24"/>
              </w:rPr>
              <w:t>五个工作日</w:t>
            </w:r>
            <w:r>
              <w:rPr>
                <w:rFonts w:hint="eastAsia" w:ascii="宋体" w:hAnsi="宋体" w:cs="宋体"/>
                <w:color w:val="000000"/>
                <w:sz w:val="24"/>
                <w:szCs w:val="24"/>
              </w:rPr>
              <w:t>内提供合格的产品。对于重新提供的产品，经现场初步验收，尚不符合要求的，采购人可以单方面立即解除合同，</w:t>
            </w:r>
            <w:r>
              <w:rPr>
                <w:rFonts w:hint="eastAsia" w:ascii="宋体" w:hAnsi="宋体" w:cs="宋体"/>
                <w:color w:val="000000"/>
                <w:sz w:val="24"/>
                <w:szCs w:val="24"/>
                <w:lang w:val="zh-CN"/>
              </w:rPr>
              <w:t>履约保证金不予退还，</w:t>
            </w:r>
            <w:r>
              <w:rPr>
                <w:rFonts w:hint="eastAsia" w:ascii="宋体" w:hAnsi="宋体" w:cs="宋体"/>
                <w:color w:val="000000"/>
                <w:sz w:val="24"/>
                <w:szCs w:val="24"/>
              </w:rPr>
              <w:t>同时成交供应商应承担违约责任并向采购人一次性支付违约金，违约金为合同规定的合同总金额的15%，造成采购人经济损失的，按造成的实际损失予以赔偿。</w:t>
            </w:r>
          </w:p>
          <w:p w14:paraId="58E7C862">
            <w:pPr>
              <w:pStyle w:val="7"/>
              <w:snapToGrid w:val="0"/>
              <w:spacing w:line="240" w:lineRule="auto"/>
              <w:ind w:firstLine="480"/>
              <w:rPr>
                <w:rFonts w:hAnsi="宋体" w:cs="宋体"/>
                <w:color w:val="000000"/>
                <w:sz w:val="24"/>
                <w:szCs w:val="24"/>
              </w:rPr>
            </w:pPr>
            <w:r>
              <w:rPr>
                <w:rFonts w:hint="eastAsia" w:hAnsi="宋体" w:cs="宋体"/>
                <w:color w:val="000000"/>
                <w:sz w:val="24"/>
                <w:szCs w:val="24"/>
              </w:rPr>
              <w:t>2.最终验收</w:t>
            </w:r>
          </w:p>
          <w:p w14:paraId="13AA372A">
            <w:pPr>
              <w:pStyle w:val="7"/>
              <w:snapToGrid w:val="0"/>
              <w:spacing w:line="240" w:lineRule="auto"/>
              <w:ind w:firstLine="480"/>
              <w:rPr>
                <w:rFonts w:hAnsi="宋体" w:cs="宋体"/>
                <w:color w:val="000000"/>
                <w:sz w:val="24"/>
                <w:szCs w:val="24"/>
              </w:rPr>
            </w:pPr>
            <w:r>
              <w:rPr>
                <w:rFonts w:hint="eastAsia" w:hAnsi="宋体" w:cs="宋体"/>
                <w:color w:val="000000"/>
                <w:sz w:val="24"/>
                <w:szCs w:val="24"/>
              </w:rPr>
              <w:t>2.1采购人对成交供应商提供的货物在使用前进行调试，成交供应商需负责安装并培训采购人的使用操作人员，并协助采购人一起调试，直到符合技术要求。成交供应商在安装调试完成后需向采购人提交货物的操作手册、说明书、技术文件、系统测试报告等文件资料,货物在安装调试并试运行符合要求后，采购人才做最终验收。对于技术复杂的货物，采购人可请国家认可的专业检测机构或国家相关管理部门参与验收，并由其出具质量检测报告，检测合格相关费用由采购人承担，检测不合格则所有费用由成交供应商承担并将产品无条件退换。</w:t>
            </w:r>
          </w:p>
          <w:p w14:paraId="42498452">
            <w:pPr>
              <w:pStyle w:val="7"/>
              <w:snapToGrid w:val="0"/>
              <w:spacing w:line="240" w:lineRule="auto"/>
              <w:ind w:firstLine="480"/>
              <w:rPr>
                <w:rFonts w:hAnsi="宋体" w:cs="宋体"/>
                <w:color w:val="000000"/>
                <w:sz w:val="24"/>
                <w:szCs w:val="24"/>
              </w:rPr>
            </w:pPr>
            <w:r>
              <w:rPr>
                <w:rFonts w:hint="eastAsia" w:hAnsi="宋体" w:cs="宋体"/>
                <w:color w:val="000000"/>
                <w:sz w:val="24"/>
                <w:szCs w:val="24"/>
              </w:rPr>
              <w:t>2.2采购人对成交供应商提供的货物依照询价文件、响应文件及合同规定的技术规格要求和国家有关标准及行业标准进行最终验收，性能达到技术要求的，验收合格并给予签收，验收不合格的不予签收，视为成交供应商逾期交付，后果由成交供应商负责。</w:t>
            </w:r>
          </w:p>
          <w:p w14:paraId="5FFBFA40">
            <w:pPr>
              <w:pStyle w:val="7"/>
              <w:snapToGrid w:val="0"/>
              <w:spacing w:line="240" w:lineRule="auto"/>
              <w:ind w:firstLine="480"/>
              <w:rPr>
                <w:rFonts w:hAnsi="宋体" w:cs="宋体"/>
                <w:color w:val="000000"/>
                <w:sz w:val="24"/>
                <w:szCs w:val="24"/>
              </w:rPr>
            </w:pPr>
            <w:r>
              <w:rPr>
                <w:rFonts w:hint="eastAsia" w:hAnsi="宋体" w:cs="宋体"/>
                <w:color w:val="000000"/>
                <w:sz w:val="24"/>
                <w:szCs w:val="24"/>
              </w:rPr>
              <w:t>2.3采购人应在货物到达指定地点并安装调试完毕，成交供应商提交的验收材料经采购人确认无误后，在</w:t>
            </w:r>
            <w:r>
              <w:rPr>
                <w:rFonts w:hint="eastAsia" w:hAnsi="宋体" w:cs="宋体"/>
                <w:b/>
                <w:bCs/>
                <w:color w:val="000000"/>
                <w:sz w:val="24"/>
                <w:szCs w:val="24"/>
              </w:rPr>
              <w:t>七个工作日</w:t>
            </w:r>
            <w:r>
              <w:rPr>
                <w:rFonts w:hint="eastAsia" w:hAnsi="宋体" w:cs="宋体"/>
                <w:color w:val="000000"/>
                <w:sz w:val="24"/>
                <w:szCs w:val="24"/>
              </w:rPr>
              <w:t>内完成最终验收，并出具验收结果报告。如货物不能通过验收，成交供应商应退货。如采购人拒绝或无故拖延最终验收，导致最终验收不能按时完成，则认为合同货物已通过最终验收，双方各自承担相应责任。</w:t>
            </w:r>
          </w:p>
          <w:p w14:paraId="51C2B78C">
            <w:pPr>
              <w:pStyle w:val="7"/>
              <w:snapToGrid w:val="0"/>
              <w:spacing w:line="240" w:lineRule="auto"/>
              <w:ind w:firstLine="480"/>
              <w:rPr>
                <w:rFonts w:hAnsi="宋体" w:cs="宋体"/>
                <w:color w:val="000000"/>
                <w:sz w:val="24"/>
                <w:szCs w:val="24"/>
              </w:rPr>
            </w:pPr>
            <w:r>
              <w:rPr>
                <w:rFonts w:hint="eastAsia" w:hAnsi="宋体" w:cs="宋体"/>
                <w:color w:val="000000"/>
                <w:sz w:val="24"/>
                <w:szCs w:val="24"/>
              </w:rPr>
              <w:t>验收时成交供应商必须在现场，验收完毕后出具验收结果报告，双方签署验收结果报告加盖采购人公章，验收报告一式两份，双方各执一份。</w:t>
            </w:r>
          </w:p>
          <w:p w14:paraId="5EF35A20">
            <w:pPr>
              <w:spacing w:line="240" w:lineRule="auto"/>
              <w:ind w:firstLine="480"/>
              <w:rPr>
                <w:rFonts w:ascii="宋体" w:hAnsi="宋体" w:cs="宋体"/>
                <w:color w:val="000000"/>
                <w:sz w:val="24"/>
                <w:szCs w:val="24"/>
              </w:rPr>
            </w:pPr>
            <w:r>
              <w:rPr>
                <w:rFonts w:hint="eastAsia" w:ascii="宋体" w:hAnsi="宋体" w:cs="宋体"/>
                <w:color w:val="000000"/>
                <w:sz w:val="24"/>
                <w:szCs w:val="24"/>
              </w:rPr>
              <w:t>成交供应商对验收有异议的，在验收后</w:t>
            </w:r>
            <w:r>
              <w:rPr>
                <w:rFonts w:hint="eastAsia" w:ascii="宋体" w:hAnsi="宋体" w:cs="宋体"/>
                <w:b/>
                <w:bCs/>
                <w:color w:val="000000"/>
                <w:sz w:val="24"/>
                <w:szCs w:val="24"/>
              </w:rPr>
              <w:t>五个工作日</w:t>
            </w:r>
            <w:r>
              <w:rPr>
                <w:rFonts w:hint="eastAsia" w:ascii="宋体" w:hAnsi="宋体" w:cs="宋体"/>
                <w:color w:val="000000"/>
                <w:sz w:val="24"/>
                <w:szCs w:val="24"/>
              </w:rPr>
              <w:t>内以书面形式向采购人提出，采购人应自成交供应商书面异议后</w:t>
            </w:r>
            <w:r>
              <w:rPr>
                <w:rFonts w:hint="eastAsia" w:ascii="宋体" w:hAnsi="宋体" w:cs="宋体"/>
                <w:b/>
                <w:bCs/>
                <w:color w:val="000000"/>
                <w:sz w:val="24"/>
                <w:szCs w:val="24"/>
              </w:rPr>
              <w:t>五个工作日</w:t>
            </w:r>
            <w:r>
              <w:rPr>
                <w:rFonts w:hint="eastAsia" w:ascii="宋体" w:hAnsi="宋体" w:cs="宋体"/>
                <w:color w:val="000000"/>
                <w:sz w:val="24"/>
                <w:szCs w:val="24"/>
              </w:rPr>
              <w:t>内及时予以解决。</w:t>
            </w:r>
          </w:p>
          <w:p w14:paraId="5446D6BA">
            <w:pPr>
              <w:spacing w:line="240" w:lineRule="auto"/>
              <w:ind w:firstLine="482"/>
              <w:rPr>
                <w:rFonts w:ascii="宋体" w:hAnsi="宋体" w:cs="宋体"/>
                <w:b/>
                <w:color w:val="000000"/>
                <w:sz w:val="24"/>
                <w:szCs w:val="24"/>
              </w:rPr>
            </w:pPr>
            <w:r>
              <w:rPr>
                <w:rFonts w:hint="eastAsia" w:ascii="宋体" w:hAnsi="宋体" w:cs="宋体"/>
                <w:b/>
                <w:color w:val="000000"/>
                <w:sz w:val="24"/>
                <w:szCs w:val="24"/>
              </w:rPr>
              <w:t>七、违约责任</w:t>
            </w:r>
          </w:p>
          <w:p w14:paraId="6F003B95">
            <w:pPr>
              <w:spacing w:line="240" w:lineRule="auto"/>
              <w:ind w:firstLine="480"/>
              <w:jc w:val="left"/>
              <w:rPr>
                <w:rFonts w:ascii="宋体" w:hAnsi="宋体" w:cs="宋体"/>
                <w:color w:val="000000"/>
                <w:sz w:val="24"/>
                <w:szCs w:val="24"/>
              </w:rPr>
            </w:pPr>
            <w:r>
              <w:rPr>
                <w:rFonts w:hint="eastAsia" w:ascii="宋体" w:hAnsi="宋体" w:cs="宋体"/>
                <w:color w:val="000000"/>
                <w:sz w:val="24"/>
                <w:szCs w:val="24"/>
              </w:rPr>
              <w:t>1.成交供应商所提供的产品名称、商标品牌、生产厂家、规格型号、技术参数等质量不合格的，应及时更换，更换不及时的按逾期交货处罚；因质量问题采购人不同意接收的，成交供应商应承担违约责任并向采购人一次性支付违约金，违约金为合同规定的合同总金额的15%，造成采购人经济损失的，按造成的实际损失予以赔偿。如成交供应商不能按合同要求于</w:t>
            </w:r>
            <w:r>
              <w:rPr>
                <w:rFonts w:hint="eastAsia" w:ascii="宋体" w:hAnsi="宋体" w:cs="宋体"/>
                <w:b/>
                <w:bCs/>
                <w:color w:val="000000"/>
                <w:sz w:val="24"/>
                <w:szCs w:val="24"/>
              </w:rPr>
              <w:t>五个工作日</w:t>
            </w:r>
            <w:r>
              <w:rPr>
                <w:rFonts w:hint="eastAsia" w:ascii="宋体" w:hAnsi="宋体" w:cs="宋体"/>
                <w:color w:val="000000"/>
                <w:sz w:val="24"/>
                <w:szCs w:val="24"/>
              </w:rPr>
              <w:t>内重新提供合格的产品或重新提供的产品仍不符合要求的，采购人可以单方面立即解除合同，</w:t>
            </w:r>
            <w:r>
              <w:rPr>
                <w:rFonts w:hint="eastAsia" w:ascii="宋体" w:hAnsi="宋体" w:cs="宋体"/>
                <w:color w:val="000000"/>
                <w:sz w:val="24"/>
                <w:szCs w:val="24"/>
                <w:lang w:val="zh-CN"/>
              </w:rPr>
              <w:t>履约保证金不予退还，</w:t>
            </w:r>
            <w:r>
              <w:rPr>
                <w:rFonts w:hint="eastAsia" w:ascii="宋体" w:hAnsi="宋体" w:cs="宋体"/>
                <w:color w:val="000000"/>
                <w:sz w:val="24"/>
                <w:szCs w:val="24"/>
              </w:rPr>
              <w:t xml:space="preserve">同时成交供应商应承担违约责任并向采购人一次性支付违约金，违约金为合同总价款的15%，造成采购人经济损失的，按造成的实际损失予以赔偿。                                      </w:t>
            </w:r>
          </w:p>
          <w:p w14:paraId="6BD8B0ED">
            <w:pPr>
              <w:pStyle w:val="7"/>
              <w:snapToGrid w:val="0"/>
              <w:spacing w:line="240" w:lineRule="auto"/>
              <w:ind w:firstLine="480"/>
              <w:rPr>
                <w:rFonts w:hAnsi="宋体" w:cs="宋体"/>
                <w:color w:val="000000"/>
                <w:sz w:val="24"/>
                <w:szCs w:val="24"/>
              </w:rPr>
            </w:pPr>
            <w:r>
              <w:rPr>
                <w:rFonts w:hint="eastAsia" w:hAnsi="宋体" w:cs="宋体"/>
                <w:color w:val="000000"/>
                <w:sz w:val="24"/>
                <w:szCs w:val="24"/>
              </w:rPr>
              <w:t>2.成交供应商提供的货物如侵犯了第三方合法权益而引发的任何纠纷或者诉讼，均由成交供应商负责交涉并承担全部责任。</w:t>
            </w:r>
          </w:p>
          <w:p w14:paraId="0A67E47B">
            <w:pPr>
              <w:pStyle w:val="7"/>
              <w:snapToGrid w:val="0"/>
              <w:spacing w:line="240" w:lineRule="auto"/>
              <w:ind w:firstLine="480"/>
              <w:rPr>
                <w:rFonts w:hAnsi="宋体" w:cs="宋体"/>
                <w:color w:val="000000"/>
                <w:sz w:val="24"/>
                <w:szCs w:val="24"/>
              </w:rPr>
            </w:pPr>
            <w:r>
              <w:rPr>
                <w:rFonts w:hint="eastAsia" w:hAnsi="宋体" w:cs="宋体"/>
                <w:color w:val="000000"/>
                <w:sz w:val="24"/>
                <w:szCs w:val="24"/>
              </w:rPr>
              <w:t>3.因包装、运输引起的货物损坏，按质量不符合要求处理。不符合要求的，根据实际情况，经双方协商，可按以下办法处理：</w:t>
            </w:r>
          </w:p>
          <w:p w14:paraId="3B177A5D">
            <w:pPr>
              <w:pStyle w:val="7"/>
              <w:snapToGrid w:val="0"/>
              <w:spacing w:line="240" w:lineRule="auto"/>
              <w:ind w:firstLine="480"/>
              <w:rPr>
                <w:rFonts w:hAnsi="宋体" w:cs="宋体"/>
                <w:color w:val="000000"/>
                <w:sz w:val="24"/>
                <w:szCs w:val="24"/>
              </w:rPr>
            </w:pPr>
            <w:r>
              <w:rPr>
                <w:rFonts w:hint="eastAsia" w:hAnsi="宋体" w:cs="宋体"/>
                <w:color w:val="000000"/>
                <w:sz w:val="24"/>
                <w:szCs w:val="24"/>
              </w:rPr>
              <w:t>⑴更换：由成交供应商承担所发生的全部费用。</w:t>
            </w:r>
          </w:p>
          <w:p w14:paraId="03B6085A">
            <w:pPr>
              <w:pStyle w:val="7"/>
              <w:snapToGrid w:val="0"/>
              <w:spacing w:line="240" w:lineRule="auto"/>
              <w:ind w:firstLine="480"/>
              <w:rPr>
                <w:rFonts w:hAnsi="宋体" w:cs="宋体"/>
                <w:color w:val="000000"/>
                <w:sz w:val="24"/>
                <w:szCs w:val="24"/>
              </w:rPr>
            </w:pPr>
            <w:r>
              <w:rPr>
                <w:rFonts w:hint="eastAsia" w:hAnsi="宋体" w:cs="宋体"/>
                <w:color w:val="000000"/>
                <w:sz w:val="24"/>
                <w:szCs w:val="24"/>
              </w:rPr>
              <w:t>⑵贬值处理：由双方合议定价。</w:t>
            </w:r>
          </w:p>
          <w:p w14:paraId="2AEC8C94">
            <w:pPr>
              <w:pStyle w:val="7"/>
              <w:snapToGrid w:val="0"/>
              <w:spacing w:line="240" w:lineRule="auto"/>
              <w:ind w:firstLine="480"/>
              <w:rPr>
                <w:rFonts w:hAnsi="宋体" w:cs="宋体"/>
                <w:color w:val="000000"/>
                <w:sz w:val="24"/>
                <w:szCs w:val="24"/>
              </w:rPr>
            </w:pPr>
            <w:r>
              <w:rPr>
                <w:rFonts w:hint="eastAsia" w:hAnsi="宋体" w:cs="宋体"/>
                <w:color w:val="000000"/>
                <w:sz w:val="24"/>
                <w:szCs w:val="24"/>
              </w:rPr>
              <w:t>⑶退货处理：成交供应商应退还采购人支付的合同款，同时应承担该货物的直接费用（运输、保险、检验、货款利息及银行手续费等）。</w:t>
            </w:r>
          </w:p>
          <w:p w14:paraId="56D02519">
            <w:pPr>
              <w:pStyle w:val="7"/>
              <w:snapToGrid w:val="0"/>
              <w:spacing w:line="240" w:lineRule="auto"/>
              <w:ind w:firstLine="480"/>
              <w:rPr>
                <w:rFonts w:hAnsi="宋体" w:cs="宋体"/>
                <w:b/>
                <w:bCs/>
                <w:color w:val="000000"/>
                <w:sz w:val="24"/>
                <w:szCs w:val="24"/>
              </w:rPr>
            </w:pPr>
            <w:r>
              <w:rPr>
                <w:rFonts w:hint="eastAsia" w:hAnsi="宋体" w:cs="宋体"/>
                <w:color w:val="000000"/>
                <w:sz w:val="24"/>
                <w:szCs w:val="24"/>
              </w:rPr>
              <w:t>4.成交供应商逾期交货的，每天向采购人偿付合同总价款的</w:t>
            </w:r>
            <w:r>
              <w:rPr>
                <w:rFonts w:hint="eastAsia" w:hAnsi="宋体" w:cs="宋体"/>
                <w:b/>
                <w:color w:val="000000"/>
                <w:sz w:val="24"/>
                <w:szCs w:val="24"/>
              </w:rPr>
              <w:t>1</w:t>
            </w:r>
            <w:r>
              <w:rPr>
                <w:rFonts w:hint="eastAsia" w:hAnsi="宋体" w:cs="宋体"/>
                <w:b/>
                <w:bCs/>
                <w:color w:val="000000"/>
                <w:sz w:val="24"/>
                <w:szCs w:val="24"/>
              </w:rPr>
              <w:t>‰</w:t>
            </w:r>
            <w:r>
              <w:rPr>
                <w:rFonts w:hint="eastAsia" w:hAnsi="宋体" w:cs="宋体"/>
                <w:color w:val="000000"/>
                <w:sz w:val="24"/>
                <w:szCs w:val="24"/>
              </w:rPr>
              <w:t>违约金，超过</w:t>
            </w:r>
            <w:r>
              <w:rPr>
                <w:rFonts w:hint="eastAsia" w:hAnsi="宋体" w:cs="宋体"/>
                <w:b/>
                <w:bCs/>
                <w:color w:val="000000"/>
                <w:sz w:val="24"/>
                <w:szCs w:val="24"/>
              </w:rPr>
              <w:t>七个工作日</w:t>
            </w:r>
            <w:r>
              <w:rPr>
                <w:rFonts w:hint="eastAsia" w:hAnsi="宋体" w:cs="宋体"/>
                <w:color w:val="000000"/>
                <w:sz w:val="24"/>
                <w:szCs w:val="24"/>
              </w:rPr>
              <w:t>对方有权解除合同，违约方承担因此给对方造成经济损失</w:t>
            </w:r>
            <w:r>
              <w:rPr>
                <w:rFonts w:hint="eastAsia" w:hAnsi="宋体" w:cs="宋体"/>
                <w:b/>
                <w:bCs/>
                <w:color w:val="000000"/>
                <w:sz w:val="24"/>
                <w:szCs w:val="24"/>
              </w:rPr>
              <w:t>。</w:t>
            </w:r>
          </w:p>
          <w:p w14:paraId="70AFBC41">
            <w:pPr>
              <w:pStyle w:val="7"/>
              <w:snapToGrid w:val="0"/>
              <w:spacing w:line="240" w:lineRule="auto"/>
              <w:ind w:firstLine="480"/>
              <w:rPr>
                <w:rFonts w:hAnsi="宋体" w:cs="宋体"/>
                <w:color w:val="000000"/>
                <w:sz w:val="24"/>
                <w:szCs w:val="24"/>
              </w:rPr>
            </w:pPr>
            <w:r>
              <w:rPr>
                <w:rFonts w:hint="eastAsia" w:hAnsi="宋体" w:cs="宋体"/>
                <w:color w:val="000000"/>
                <w:sz w:val="24"/>
                <w:szCs w:val="24"/>
              </w:rPr>
              <w:t>5.成交供应商未按合同和响应文件中规定的服务承诺提供售后服务的，</w:t>
            </w:r>
            <w:r>
              <w:rPr>
                <w:rFonts w:hint="eastAsia" w:hAnsi="宋体" w:cs="宋体"/>
                <w:color w:val="000000"/>
                <w:sz w:val="24"/>
                <w:szCs w:val="24"/>
                <w:lang w:val="zh-CN"/>
              </w:rPr>
              <w:t>履约保证金不予退还，</w:t>
            </w:r>
            <w:r>
              <w:rPr>
                <w:rFonts w:hint="eastAsia" w:hAnsi="宋体" w:cs="宋体"/>
                <w:color w:val="000000"/>
                <w:sz w:val="24"/>
                <w:szCs w:val="24"/>
              </w:rPr>
              <w:t>同时成交供应商应承担违约责任并向采购人一次性支付违约金，违约金为合同规定的合同总价格的15%，造成采购人经济损失的，按造成的实际损失予以赔偿。</w:t>
            </w:r>
          </w:p>
          <w:p w14:paraId="0D821646">
            <w:pPr>
              <w:pStyle w:val="7"/>
              <w:snapToGrid w:val="0"/>
              <w:spacing w:line="240" w:lineRule="auto"/>
              <w:ind w:firstLine="480"/>
              <w:rPr>
                <w:rFonts w:hAnsi="宋体" w:cs="宋体"/>
                <w:color w:val="000000"/>
                <w:sz w:val="24"/>
                <w:szCs w:val="24"/>
              </w:rPr>
            </w:pPr>
            <w:r>
              <w:rPr>
                <w:rFonts w:hint="eastAsia" w:hAnsi="宋体" w:cs="宋体"/>
                <w:color w:val="000000"/>
                <w:sz w:val="24"/>
                <w:szCs w:val="24"/>
              </w:rPr>
              <w:t>6.成交供应商提供的货物在质量保证期内，因设计、工艺或者材料的缺陷和其它质量原因造成的问题，由成交供应商负责，费用从余款或者履约保证金中扣除，不足另补。</w:t>
            </w:r>
          </w:p>
          <w:p w14:paraId="29378E55">
            <w:pPr>
              <w:pStyle w:val="7"/>
              <w:snapToGrid w:val="0"/>
              <w:spacing w:line="240" w:lineRule="auto"/>
              <w:ind w:firstLine="480"/>
              <w:rPr>
                <w:rFonts w:hAnsi="宋体" w:cs="宋体"/>
                <w:color w:val="000000"/>
                <w:sz w:val="24"/>
                <w:szCs w:val="24"/>
              </w:rPr>
            </w:pPr>
            <w:r>
              <w:rPr>
                <w:rFonts w:hint="eastAsia" w:hAnsi="宋体" w:cs="宋体"/>
                <w:color w:val="000000"/>
                <w:sz w:val="24"/>
                <w:szCs w:val="24"/>
              </w:rPr>
              <w:t>7成交供应商有其它违约行为的，向采购方支付合同总价款的15%，合同总价款的1</w:t>
            </w:r>
            <w:r>
              <w:rPr>
                <w:rFonts w:hint="eastAsia" w:hAnsi="宋体" w:cs="宋体"/>
                <w:b/>
                <w:bCs/>
                <w:color w:val="000000"/>
                <w:sz w:val="24"/>
                <w:szCs w:val="24"/>
              </w:rPr>
              <w:t>5%</w:t>
            </w:r>
            <w:r>
              <w:rPr>
                <w:rFonts w:hint="eastAsia" w:hAnsi="宋体" w:cs="宋体"/>
                <w:color w:val="000000"/>
                <w:sz w:val="24"/>
                <w:szCs w:val="24"/>
              </w:rPr>
              <w:t>不足以赔偿经济损失的按实际赔偿。</w:t>
            </w:r>
          </w:p>
          <w:p w14:paraId="056B04C3">
            <w:pPr>
              <w:pStyle w:val="7"/>
              <w:snapToGrid w:val="0"/>
              <w:spacing w:line="240" w:lineRule="auto"/>
              <w:ind w:firstLine="480"/>
              <w:rPr>
                <w:rFonts w:hAnsi="宋体" w:cs="宋体"/>
                <w:color w:val="000000"/>
                <w:sz w:val="24"/>
                <w:szCs w:val="24"/>
              </w:rPr>
            </w:pPr>
            <w:r>
              <w:rPr>
                <w:rFonts w:hint="eastAsia" w:hAnsi="宋体" w:cs="宋体"/>
                <w:color w:val="000000"/>
                <w:sz w:val="24"/>
                <w:szCs w:val="24"/>
              </w:rPr>
              <w:t>8.货物经采购人检验证实存在缺陷或零部件不符合合同约定的，采购人可以根据情况选择：</w:t>
            </w:r>
          </w:p>
          <w:p w14:paraId="2DD85EBC">
            <w:pPr>
              <w:pStyle w:val="7"/>
              <w:snapToGrid w:val="0"/>
              <w:spacing w:line="240" w:lineRule="auto"/>
              <w:ind w:firstLine="480"/>
              <w:rPr>
                <w:rFonts w:hAnsi="宋体" w:cs="宋体"/>
                <w:color w:val="000000"/>
                <w:sz w:val="24"/>
                <w:szCs w:val="24"/>
              </w:rPr>
            </w:pPr>
            <w:r>
              <w:rPr>
                <w:rFonts w:hint="eastAsia" w:hAnsi="宋体" w:cs="宋体"/>
                <w:color w:val="000000"/>
                <w:sz w:val="24"/>
                <w:szCs w:val="24"/>
              </w:rPr>
              <w:t>（1）退货，并要求成交供应商赔偿采购人损失；</w:t>
            </w:r>
          </w:p>
          <w:p w14:paraId="071D9F56">
            <w:pPr>
              <w:pStyle w:val="7"/>
              <w:snapToGrid w:val="0"/>
              <w:spacing w:line="240" w:lineRule="auto"/>
              <w:ind w:firstLine="480"/>
              <w:rPr>
                <w:rFonts w:hAnsi="宋体" w:cs="宋体"/>
                <w:color w:val="000000"/>
                <w:sz w:val="24"/>
                <w:szCs w:val="24"/>
              </w:rPr>
            </w:pPr>
            <w:r>
              <w:rPr>
                <w:rFonts w:hint="eastAsia" w:hAnsi="宋体" w:cs="宋体"/>
                <w:color w:val="000000"/>
                <w:sz w:val="24"/>
                <w:szCs w:val="24"/>
              </w:rPr>
              <w:t>（2）要求成交供应商更换有缺陷产品的零、部件和系统，或修理缺陷部分，以使产品达到合同约定的要求。</w:t>
            </w:r>
          </w:p>
          <w:p w14:paraId="506029CD">
            <w:pPr>
              <w:pStyle w:val="7"/>
              <w:snapToGrid w:val="0"/>
              <w:spacing w:line="240" w:lineRule="auto"/>
              <w:ind w:firstLine="480"/>
              <w:rPr>
                <w:rFonts w:hAnsi="宋体" w:cs="宋体"/>
                <w:color w:val="000000"/>
                <w:sz w:val="24"/>
                <w:szCs w:val="24"/>
              </w:rPr>
            </w:pPr>
            <w:r>
              <w:rPr>
                <w:rFonts w:hint="eastAsia" w:hAnsi="宋体" w:cs="宋体"/>
                <w:color w:val="000000"/>
                <w:sz w:val="24"/>
                <w:szCs w:val="24"/>
              </w:rPr>
              <w:t>无论采购人选择（1）或者（2），成交供应商均应承担违约责任并向采购人一次性支付违约金，违约金为合同规定的合同总金额的15%，造成采购人经济损失的，按造成的实际损失予以赔偿。</w:t>
            </w:r>
          </w:p>
          <w:p w14:paraId="4F9F79EB">
            <w:pPr>
              <w:pStyle w:val="7"/>
              <w:numPr>
                <w:ilvl w:val="0"/>
                <w:numId w:val="2"/>
              </w:numPr>
              <w:snapToGrid w:val="0"/>
              <w:spacing w:line="240" w:lineRule="auto"/>
              <w:ind w:firstLine="480"/>
              <w:rPr>
                <w:rFonts w:hAnsi="宋体" w:cs="宋体"/>
                <w:color w:val="000000"/>
                <w:sz w:val="24"/>
                <w:szCs w:val="24"/>
              </w:rPr>
            </w:pPr>
            <w:r>
              <w:rPr>
                <w:rFonts w:hint="eastAsia" w:hAnsi="宋体" w:cs="宋体"/>
                <w:color w:val="000000"/>
                <w:sz w:val="24"/>
                <w:szCs w:val="24"/>
              </w:rPr>
              <w:t>未经采购人事先书面同意，成交供应商不得将由采购人提供的有关合同或者任何合同条文、规格、计划、图纸、样品或者资料提供给与履行合同无关的任何其他人，造成泄密事件给采购人带来损失的，</w:t>
            </w:r>
            <w:r>
              <w:rPr>
                <w:rFonts w:hint="eastAsia" w:hAnsi="宋体" w:cs="宋体"/>
                <w:color w:val="000000"/>
                <w:sz w:val="24"/>
                <w:szCs w:val="24"/>
                <w:lang w:val="zh-CN"/>
              </w:rPr>
              <w:t>履约保证金不予退还，</w:t>
            </w:r>
            <w:r>
              <w:rPr>
                <w:rFonts w:hint="eastAsia" w:hAnsi="宋体" w:cs="宋体"/>
                <w:color w:val="000000"/>
                <w:sz w:val="24"/>
                <w:szCs w:val="24"/>
              </w:rPr>
              <w:t>同时成交供应商应承担违约责任并向采购人一次性支付违约金，违约金为合同规定的合同总金额的15%，造成采购人经济损失的，按造成的实际损失另行赔偿。</w:t>
            </w:r>
          </w:p>
          <w:p w14:paraId="2093BDE3">
            <w:pPr>
              <w:spacing w:line="240" w:lineRule="auto"/>
              <w:ind w:firstLine="482"/>
              <w:rPr>
                <w:rFonts w:ascii="宋体" w:hAnsi="宋体" w:cs="宋体"/>
                <w:b/>
                <w:color w:val="000000"/>
                <w:sz w:val="24"/>
                <w:szCs w:val="24"/>
              </w:rPr>
            </w:pPr>
            <w:r>
              <w:rPr>
                <w:rFonts w:hint="eastAsia" w:ascii="宋体" w:hAnsi="宋体" w:cs="宋体"/>
                <w:b/>
                <w:color w:val="000000"/>
                <w:sz w:val="24"/>
                <w:szCs w:val="24"/>
              </w:rPr>
              <w:t>八、成交说明</w:t>
            </w:r>
          </w:p>
          <w:p w14:paraId="5154A892">
            <w:pPr>
              <w:spacing w:line="240" w:lineRule="auto"/>
              <w:ind w:firstLine="480"/>
            </w:pPr>
            <w:r>
              <w:rPr>
                <w:rFonts w:hint="eastAsia" w:ascii="宋体" w:hAnsi="宋体" w:cs="宋体"/>
                <w:color w:val="000000"/>
                <w:sz w:val="24"/>
                <w:szCs w:val="24"/>
              </w:rPr>
              <w:t>本次采购是在符合询价文件要求且通过有效性审查的基础上，以报价价格最低中标为定标原则。</w:t>
            </w:r>
          </w:p>
        </w:tc>
      </w:tr>
    </w:tbl>
    <w:p w14:paraId="63E6091E">
      <w:pPr>
        <w:pStyle w:val="10"/>
        <w:ind w:firstLine="210"/>
        <w:rPr>
          <w:rFonts w:ascii="宋体" w:hAnsi="宋体" w:cs="宋体"/>
        </w:rPr>
      </w:pPr>
    </w:p>
    <w:p w14:paraId="3C7EA92F">
      <w:pPr>
        <w:pStyle w:val="10"/>
        <w:ind w:firstLine="210"/>
        <w:rPr>
          <w:rFonts w:ascii="宋体" w:hAnsi="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A00002BF" w:usb1="78CF7CFB" w:usb2="00000016" w:usb3="00000000" w:csb0="6006009F" w:csb1="DFD7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CBF3ED"/>
    <w:multiLevelType w:val="singleLevel"/>
    <w:tmpl w:val="16CBF3ED"/>
    <w:lvl w:ilvl="0" w:tentative="0">
      <w:start w:val="9"/>
      <w:numFmt w:val="decimal"/>
      <w:lvlText w:val="%1."/>
      <w:lvlJc w:val="left"/>
      <w:pPr>
        <w:tabs>
          <w:tab w:val="left" w:pos="312"/>
        </w:tabs>
      </w:pPr>
    </w:lvl>
  </w:abstractNum>
  <w:abstractNum w:abstractNumId="1">
    <w:nsid w:val="2EBD370F"/>
    <w:multiLevelType w:val="multilevel"/>
    <w:tmpl w:val="2EBD370F"/>
    <w:lvl w:ilvl="0" w:tentative="0">
      <w:start w:val="1"/>
      <w:numFmt w:val="japaneseCounting"/>
      <w:pStyle w:val="16"/>
      <w:lvlText w:val="第%1章"/>
      <w:lvlJc w:val="left"/>
      <w:pPr>
        <w:ind w:left="5835" w:hanging="1440"/>
      </w:pPr>
      <w:rPr>
        <w:rFonts w:hint="default"/>
        <w:sz w:val="44"/>
        <w:szCs w:val="30"/>
      </w:rPr>
    </w:lvl>
    <w:lvl w:ilvl="1" w:tentative="0">
      <w:start w:val="1"/>
      <w:numFmt w:val="lowerLetter"/>
      <w:lvlText w:val="%2)"/>
      <w:lvlJc w:val="left"/>
      <w:pPr>
        <w:ind w:left="2303" w:hanging="420"/>
      </w:pPr>
    </w:lvl>
    <w:lvl w:ilvl="2" w:tentative="0">
      <w:start w:val="1"/>
      <w:numFmt w:val="lowerRoman"/>
      <w:lvlText w:val="%3."/>
      <w:lvlJc w:val="right"/>
      <w:pPr>
        <w:ind w:left="2723" w:hanging="420"/>
      </w:pPr>
    </w:lvl>
    <w:lvl w:ilvl="3" w:tentative="0">
      <w:start w:val="1"/>
      <w:numFmt w:val="decimal"/>
      <w:lvlText w:val="%4."/>
      <w:lvlJc w:val="left"/>
      <w:pPr>
        <w:ind w:left="3143" w:hanging="420"/>
      </w:pPr>
    </w:lvl>
    <w:lvl w:ilvl="4" w:tentative="0">
      <w:start w:val="1"/>
      <w:numFmt w:val="lowerLetter"/>
      <w:lvlText w:val="%5)"/>
      <w:lvlJc w:val="left"/>
      <w:pPr>
        <w:ind w:left="3563" w:hanging="420"/>
      </w:pPr>
    </w:lvl>
    <w:lvl w:ilvl="5" w:tentative="0">
      <w:start w:val="1"/>
      <w:numFmt w:val="lowerRoman"/>
      <w:lvlText w:val="%6."/>
      <w:lvlJc w:val="right"/>
      <w:pPr>
        <w:ind w:left="3983" w:hanging="420"/>
      </w:pPr>
    </w:lvl>
    <w:lvl w:ilvl="6" w:tentative="0">
      <w:start w:val="1"/>
      <w:numFmt w:val="decimal"/>
      <w:lvlText w:val="%7."/>
      <w:lvlJc w:val="left"/>
      <w:pPr>
        <w:ind w:left="4403" w:hanging="420"/>
      </w:pPr>
    </w:lvl>
    <w:lvl w:ilvl="7" w:tentative="0">
      <w:start w:val="1"/>
      <w:numFmt w:val="lowerLetter"/>
      <w:lvlText w:val="%8)"/>
      <w:lvlJc w:val="left"/>
      <w:pPr>
        <w:ind w:left="4823" w:hanging="420"/>
      </w:pPr>
    </w:lvl>
    <w:lvl w:ilvl="8" w:tentative="0">
      <w:start w:val="1"/>
      <w:numFmt w:val="lowerRoman"/>
      <w:lvlText w:val="%9."/>
      <w:lvlJc w:val="right"/>
      <w:pPr>
        <w:ind w:left="524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63152"/>
    <w:rsid w:val="0019297B"/>
    <w:rsid w:val="001A6B93"/>
    <w:rsid w:val="003A5BF8"/>
    <w:rsid w:val="005D19BD"/>
    <w:rsid w:val="00604C08"/>
    <w:rsid w:val="00672ADC"/>
    <w:rsid w:val="006F0425"/>
    <w:rsid w:val="00792B10"/>
    <w:rsid w:val="00B157B6"/>
    <w:rsid w:val="00BA2F3B"/>
    <w:rsid w:val="00BC343A"/>
    <w:rsid w:val="00C557F6"/>
    <w:rsid w:val="00CC45CE"/>
    <w:rsid w:val="00D15818"/>
    <w:rsid w:val="00EE50C3"/>
    <w:rsid w:val="00EF4FD2"/>
    <w:rsid w:val="19C63152"/>
    <w:rsid w:val="1E8E134C"/>
    <w:rsid w:val="25F71FD8"/>
    <w:rsid w:val="4AEE6F93"/>
    <w:rsid w:val="51FA3010"/>
    <w:rsid w:val="63206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20" w:lineRule="exact"/>
      <w:ind w:firstLine="200" w:firstLineChars="200"/>
      <w:jc w:val="both"/>
    </w:pPr>
    <w:rPr>
      <w:rFonts w:ascii="Times New Roman" w:hAnsi="Times New Roman" w:eastAsia="宋体" w:cs="黑体"/>
      <w:kern w:val="2"/>
      <w:sz w:val="28"/>
      <w:szCs w:val="22"/>
      <w:lang w:val="en-US" w:eastAsia="zh-CN" w:bidi="ar-SA"/>
    </w:rPr>
  </w:style>
  <w:style w:type="paragraph" w:styleId="3">
    <w:name w:val="heading 1"/>
    <w:basedOn w:val="1"/>
    <w:next w:val="1"/>
    <w:qFormat/>
    <w:uiPriority w:val="9"/>
    <w:pPr>
      <w:keepNext/>
      <w:keepLines/>
      <w:spacing w:before="340" w:after="330" w:line="800" w:lineRule="exact"/>
      <w:jc w:val="center"/>
      <w:outlineLvl w:val="0"/>
    </w:pPr>
    <w:rPr>
      <w:rFonts w:eastAsia="黑体" w:cs="Times New Roman"/>
      <w:bCs/>
      <w:kern w:val="44"/>
      <w:sz w:val="44"/>
      <w:szCs w:val="44"/>
    </w:rPr>
  </w:style>
  <w:style w:type="paragraph" w:styleId="4">
    <w:name w:val="heading 2"/>
    <w:basedOn w:val="1"/>
    <w:next w:val="1"/>
    <w:qFormat/>
    <w:uiPriority w:val="9"/>
    <w:pPr>
      <w:keepNext/>
      <w:keepLines/>
      <w:spacing w:before="260" w:after="260"/>
      <w:ind w:firstLine="0" w:firstLineChars="0"/>
      <w:outlineLvl w:val="1"/>
    </w:pPr>
    <w:rPr>
      <w:rFonts w:ascii="Cambria" w:hAnsi="Cambria" w:eastAsia="黑体" w:cs="Times New Roman"/>
      <w:bCs/>
      <w:kern w:val="0"/>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jc w:val="left"/>
    </w:pPr>
    <w:rPr>
      <w:rFonts w:cs="Times New Roman"/>
      <w:kern w:val="0"/>
      <w:sz w:val="18"/>
      <w:szCs w:val="18"/>
    </w:rPr>
  </w:style>
  <w:style w:type="paragraph" w:styleId="5">
    <w:name w:val="annotation text"/>
    <w:basedOn w:val="1"/>
    <w:link w:val="18"/>
    <w:unhideWhenUsed/>
    <w:qFormat/>
    <w:uiPriority w:val="0"/>
    <w:pPr>
      <w:jc w:val="left"/>
    </w:pPr>
    <w:rPr>
      <w:rFonts w:cs="Times New Roman"/>
    </w:rPr>
  </w:style>
  <w:style w:type="paragraph" w:styleId="6">
    <w:name w:val="Body Text"/>
    <w:basedOn w:val="1"/>
    <w:next w:val="1"/>
    <w:qFormat/>
    <w:uiPriority w:val="0"/>
    <w:pPr>
      <w:adjustRightInd/>
      <w:snapToGrid/>
      <w:spacing w:after="120" w:line="240" w:lineRule="auto"/>
      <w:ind w:firstLine="0" w:firstLineChars="0"/>
    </w:pPr>
    <w:rPr>
      <w:rFonts w:cs="Times New Roman"/>
      <w:sz w:val="21"/>
      <w:szCs w:val="24"/>
    </w:rPr>
  </w:style>
  <w:style w:type="paragraph" w:styleId="7">
    <w:name w:val="Plain Text"/>
    <w:basedOn w:val="1"/>
    <w:next w:val="1"/>
    <w:unhideWhenUsed/>
    <w:qFormat/>
    <w:uiPriority w:val="99"/>
    <w:pPr>
      <w:adjustRightInd/>
      <w:snapToGrid/>
    </w:pPr>
    <w:rPr>
      <w:rFonts w:ascii="宋体" w:hAnsi="Courier New" w:cs="Times New Roman"/>
      <w:sz w:val="21"/>
      <w:szCs w:val="21"/>
    </w:rPr>
  </w:style>
  <w:style w:type="paragraph" w:styleId="8">
    <w:name w:val="Balloon Text"/>
    <w:basedOn w:val="1"/>
    <w:link w:val="17"/>
    <w:qFormat/>
    <w:uiPriority w:val="0"/>
    <w:pPr>
      <w:spacing w:line="240" w:lineRule="auto"/>
    </w:pPr>
    <w:rPr>
      <w:sz w:val="18"/>
      <w:szCs w:val="18"/>
    </w:rPr>
  </w:style>
  <w:style w:type="paragraph" w:styleId="9">
    <w:name w:val="annotation subject"/>
    <w:basedOn w:val="5"/>
    <w:next w:val="5"/>
    <w:link w:val="19"/>
    <w:uiPriority w:val="0"/>
    <w:rPr>
      <w:rFonts w:cs="黑体"/>
      <w:b/>
      <w:bCs/>
    </w:rPr>
  </w:style>
  <w:style w:type="paragraph" w:styleId="10">
    <w:name w:val="Body Text First Indent"/>
    <w:basedOn w:val="6"/>
    <w:qFormat/>
    <w:uiPriority w:val="0"/>
    <w:pPr>
      <w:ind w:firstLine="420" w:firstLineChars="100"/>
    </w:pPr>
  </w:style>
  <w:style w:type="character" w:styleId="13">
    <w:name w:val="annotation reference"/>
    <w:unhideWhenUsed/>
    <w:qFormat/>
    <w:uiPriority w:val="99"/>
    <w:rPr>
      <w:sz w:val="21"/>
      <w:szCs w:val="21"/>
    </w:rPr>
  </w:style>
  <w:style w:type="paragraph" w:customStyle="1" w:styleId="1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5">
    <w:name w:val="22222"/>
    <w:basedOn w:val="4"/>
    <w:qFormat/>
    <w:uiPriority w:val="0"/>
    <w:pPr>
      <w:spacing w:before="160" w:after="160"/>
      <w:ind w:left="720" w:hanging="720"/>
      <w:jc w:val="left"/>
    </w:pPr>
    <w:rPr>
      <w:rFonts w:ascii="宋体" w:hAnsi="宋体" w:eastAsia="宋体"/>
      <w:b/>
      <w:kern w:val="2"/>
    </w:rPr>
  </w:style>
  <w:style w:type="paragraph" w:customStyle="1" w:styleId="16">
    <w:name w:val="11111"/>
    <w:basedOn w:val="3"/>
    <w:qFormat/>
    <w:uiPriority w:val="0"/>
    <w:pPr>
      <w:numPr>
        <w:ilvl w:val="0"/>
        <w:numId w:val="1"/>
      </w:numPr>
      <w:spacing w:before="120" w:after="120" w:line="880" w:lineRule="exact"/>
      <w:ind w:firstLine="0" w:firstLineChars="0"/>
    </w:pPr>
    <w:rPr>
      <w:sz w:val="30"/>
      <w:szCs w:val="36"/>
    </w:rPr>
  </w:style>
  <w:style w:type="character" w:customStyle="1" w:styleId="17">
    <w:name w:val="批注框文本 Char"/>
    <w:basedOn w:val="12"/>
    <w:link w:val="8"/>
    <w:qFormat/>
    <w:uiPriority w:val="0"/>
    <w:rPr>
      <w:rFonts w:ascii="Times New Roman" w:hAnsi="Times New Roman" w:eastAsia="宋体" w:cs="黑体"/>
      <w:kern w:val="2"/>
      <w:sz w:val="18"/>
      <w:szCs w:val="18"/>
    </w:rPr>
  </w:style>
  <w:style w:type="character" w:customStyle="1" w:styleId="18">
    <w:name w:val="批注文字 Char"/>
    <w:basedOn w:val="12"/>
    <w:link w:val="5"/>
    <w:qFormat/>
    <w:uiPriority w:val="0"/>
    <w:rPr>
      <w:rFonts w:ascii="Times New Roman" w:hAnsi="Times New Roman" w:eastAsia="宋体" w:cs="Times New Roman"/>
      <w:kern w:val="2"/>
      <w:sz w:val="28"/>
      <w:szCs w:val="22"/>
    </w:rPr>
  </w:style>
  <w:style w:type="character" w:customStyle="1" w:styleId="19">
    <w:name w:val="批注主题 Char"/>
    <w:basedOn w:val="18"/>
    <w:link w:val="9"/>
    <w:qFormat/>
    <w:uiPriority w:val="0"/>
    <w:rPr>
      <w:rFonts w:ascii="Times New Roman" w:hAnsi="Times New Roman" w:eastAsia="宋体" w:cs="黑体"/>
      <w:b/>
      <w:bCs/>
      <w:kern w:val="2"/>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5721</Words>
  <Characters>6200</Characters>
  <Lines>49</Lines>
  <Paragraphs>13</Paragraphs>
  <TotalTime>81</TotalTime>
  <ScaleCrop>false</ScaleCrop>
  <LinksUpToDate>false</LinksUpToDate>
  <CharactersWithSpaces>6336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2026-07-14T04:29:00Z</dcterms:created>
  <dc:creator>瑶瑶</dc:creator>
  <cp:lastModifiedBy>好好学习天天向上</cp:lastModifiedBy>
  <dcterms:modified xsi:type="dcterms:W3CDTF">2026-07-20T08:23:05Z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0707BF18A39741FDB161E2ABA7A7F29A_13</vt:lpwstr>
  </property>
  <property fmtid="{D5CDD505-2E9C-101B-9397-08002B2CF9AE}" pid="4" name="KSOTemplateDocerSaveRecord">
    <vt:lpwstr>eyJoZGlkIjoiZGVhZWFmODg2NjQxMjIwNzNjMDM1Y2VhNjY3MTk5NDEiLCJ1c2VySWQiOiI2NjM1MzE2NzYifQ==</vt:lpwstr>
  </property>
</Properties>
</file>