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F1C2A">
      <w:pPr>
        <w:jc w:val="center"/>
        <w:rPr>
          <w:rFonts w:hint="default" w:ascii="宋体" w:hAnsi="宋体" w:eastAsia="宋体" w:cs="宋体"/>
          <w:b/>
          <w:sz w:val="32"/>
          <w:lang w:val="en-US" w:eastAsia="zh-CN"/>
        </w:rPr>
      </w:pPr>
      <w:r>
        <w:rPr>
          <w:rFonts w:ascii="宋体" w:hAnsi="宋体" w:eastAsia="宋体" w:cs="宋体"/>
          <w:b/>
          <w:sz w:val="32"/>
        </w:rPr>
        <w:t>广西</w:t>
      </w:r>
      <w:r>
        <w:rPr>
          <w:rFonts w:hint="eastAsia" w:ascii="宋体" w:hAnsi="宋体" w:eastAsia="宋体" w:cs="宋体"/>
          <w:b/>
          <w:sz w:val="32"/>
          <w:lang w:val="en-US" w:eastAsia="zh-CN"/>
        </w:rPr>
        <w:t>智能制造职业技术</w:t>
      </w:r>
      <w:r>
        <w:rPr>
          <w:rFonts w:ascii="宋体" w:hAnsi="宋体" w:eastAsia="宋体" w:cs="宋体"/>
          <w:b/>
          <w:sz w:val="32"/>
        </w:rPr>
        <w:t>学院</w:t>
      </w:r>
      <w:r>
        <w:rPr>
          <w:rFonts w:hint="eastAsia" w:ascii="宋体" w:hAnsi="宋体" w:eastAsia="宋体" w:cs="宋体"/>
          <w:b/>
          <w:sz w:val="32"/>
          <w:lang w:val="en-US" w:eastAsia="zh-CN"/>
        </w:rPr>
        <w:t>(柳东校区)</w:t>
      </w:r>
    </w:p>
    <w:p w14:paraId="1BB85718">
      <w:pPr>
        <w:jc w:val="center"/>
        <w:rPr>
          <w:rFonts w:hint="default" w:ascii="宋体" w:hAnsi="宋体" w:eastAsia="宋体" w:cs="宋体"/>
          <w:b/>
          <w:color w:val="FF0000"/>
          <w:sz w:val="32"/>
          <w:lang w:val="en-US" w:eastAsia="zh-CN"/>
        </w:rPr>
      </w:pPr>
      <w:r>
        <w:rPr>
          <w:rFonts w:ascii="宋体" w:hAnsi="宋体" w:eastAsia="宋体" w:cs="宋体"/>
          <w:b/>
          <w:sz w:val="32"/>
        </w:rPr>
        <w:t>互联网光纤专线服务采购文件</w:t>
      </w:r>
    </w:p>
    <w:p w14:paraId="496A3DD7"/>
    <w:tbl>
      <w:tblPr>
        <w:tblStyle w:val="2"/>
        <w:tblW w:w="471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667"/>
        <w:gridCol w:w="6232"/>
        <w:gridCol w:w="664"/>
      </w:tblGrid>
      <w:tr w14:paraId="620FB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93" w:type="pct"/>
            <w:vMerge w:val="restart"/>
            <w:vAlign w:val="center"/>
          </w:tcPr>
          <w:p w14:paraId="61D83347">
            <w:pPr>
              <w:spacing w:line="0" w:lineRule="atLeast"/>
              <w:jc w:val="center"/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5" w:type="pct"/>
            <w:vMerge w:val="restart"/>
            <w:vAlign w:val="center"/>
          </w:tcPr>
          <w:p w14:paraId="3E341019">
            <w:pPr>
              <w:spacing w:line="0" w:lineRule="atLeast"/>
              <w:jc w:val="center"/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  <w:t>项目</w:t>
            </w:r>
          </w:p>
          <w:p w14:paraId="6E5A58BC">
            <w:pPr>
              <w:spacing w:line="0" w:lineRule="atLeast"/>
              <w:jc w:val="center"/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3879" w:type="pct"/>
            <w:vMerge w:val="restart"/>
            <w:vAlign w:val="center"/>
          </w:tcPr>
          <w:p w14:paraId="1B0B1358">
            <w:pPr>
              <w:spacing w:line="0" w:lineRule="atLeast"/>
              <w:jc w:val="center"/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  <w:t>需求内容</w:t>
            </w:r>
          </w:p>
        </w:tc>
        <w:tc>
          <w:tcPr>
            <w:tcW w:w="414" w:type="pct"/>
            <w:vMerge w:val="restart"/>
            <w:vAlign w:val="center"/>
          </w:tcPr>
          <w:p w14:paraId="12F1D1F1">
            <w:pPr>
              <w:spacing w:line="0" w:lineRule="atLeast"/>
              <w:jc w:val="center"/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kern w:val="0"/>
                <w:sz w:val="24"/>
              </w:rPr>
              <w:t>响应细节</w:t>
            </w:r>
          </w:p>
        </w:tc>
      </w:tr>
      <w:tr w14:paraId="13417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93" w:type="pct"/>
            <w:vMerge w:val="continue"/>
            <w:vAlign w:val="center"/>
          </w:tcPr>
          <w:p w14:paraId="10B20773">
            <w:pPr>
              <w:spacing w:line="0" w:lineRule="atLeast"/>
              <w:jc w:val="left"/>
              <w:rPr>
                <w:rFonts w:hint="eastAsia" w:ascii="新宋体" w:hAnsi="新宋体" w:eastAsia="新宋体" w:cs="宋体"/>
                <w:color w:val="000000"/>
                <w:kern w:val="0"/>
                <w:sz w:val="24"/>
              </w:rPr>
            </w:pPr>
          </w:p>
        </w:tc>
        <w:tc>
          <w:tcPr>
            <w:tcW w:w="415" w:type="pct"/>
            <w:vMerge w:val="continue"/>
            <w:vAlign w:val="center"/>
          </w:tcPr>
          <w:p w14:paraId="18D4941B">
            <w:pPr>
              <w:spacing w:line="0" w:lineRule="atLeast"/>
              <w:jc w:val="left"/>
              <w:rPr>
                <w:rFonts w:hint="eastAsia" w:ascii="新宋体" w:hAnsi="新宋体" w:eastAsia="新宋体" w:cs="宋体"/>
                <w:color w:val="000000"/>
                <w:kern w:val="0"/>
                <w:sz w:val="24"/>
              </w:rPr>
            </w:pPr>
          </w:p>
        </w:tc>
        <w:tc>
          <w:tcPr>
            <w:tcW w:w="3879" w:type="pct"/>
            <w:vMerge w:val="continue"/>
            <w:vAlign w:val="center"/>
          </w:tcPr>
          <w:p w14:paraId="2E4294AB">
            <w:pPr>
              <w:spacing w:line="0" w:lineRule="atLeast"/>
              <w:jc w:val="left"/>
              <w:rPr>
                <w:rFonts w:hint="eastAsia" w:ascii="新宋体" w:hAnsi="新宋体" w:eastAsia="新宋体" w:cs="宋体"/>
                <w:color w:val="000000"/>
                <w:kern w:val="0"/>
                <w:sz w:val="24"/>
              </w:rPr>
            </w:pPr>
          </w:p>
        </w:tc>
        <w:tc>
          <w:tcPr>
            <w:tcW w:w="414" w:type="pct"/>
            <w:vMerge w:val="continue"/>
            <w:vAlign w:val="center"/>
          </w:tcPr>
          <w:p w14:paraId="4B4E3B30">
            <w:pPr>
              <w:spacing w:line="0" w:lineRule="atLeast"/>
              <w:jc w:val="left"/>
              <w:rPr>
                <w:rFonts w:hint="eastAsia" w:ascii="新宋体" w:hAnsi="新宋体" w:eastAsia="新宋体" w:cs="宋体"/>
                <w:color w:val="000000"/>
                <w:kern w:val="0"/>
                <w:sz w:val="24"/>
              </w:rPr>
            </w:pPr>
          </w:p>
        </w:tc>
      </w:tr>
      <w:tr w14:paraId="3A26B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03DE06F6">
            <w:pPr>
              <w:spacing w:line="0" w:lineRule="atLeast"/>
              <w:jc w:val="center"/>
              <w:rPr>
                <w:rFonts w:hint="eastAsia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415" w:type="pct"/>
            <w:vAlign w:val="center"/>
          </w:tcPr>
          <w:p w14:paraId="5FDFEE64">
            <w:pPr>
              <w:spacing w:line="0" w:lineRule="atLeast"/>
              <w:jc w:val="center"/>
              <w:rPr>
                <w:rFonts w:hint="default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资质要求</w:t>
            </w:r>
          </w:p>
        </w:tc>
        <w:tc>
          <w:tcPr>
            <w:tcW w:w="3879" w:type="pct"/>
            <w:vAlign w:val="center"/>
          </w:tcPr>
          <w:p w14:paraId="2A8F2B04">
            <w:pPr>
              <w:pStyle w:val="4"/>
              <w:widowControl w:val="0"/>
              <w:numPr>
                <w:ilvl w:val="0"/>
                <w:numId w:val="1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在中华人民共和国境内注册，具有《基础电信业务经营许可证》或《增值电信业务经营许可证》固网运营资质的运营商。</w:t>
            </w:r>
          </w:p>
          <w:p w14:paraId="4147D8E6">
            <w:pPr>
              <w:pStyle w:val="4"/>
              <w:widowControl w:val="0"/>
              <w:numPr>
                <w:ilvl w:val="0"/>
                <w:numId w:val="1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只接受基础电信运营商直接投标，不接受联合体投标以及代理商投标的形式。</w:t>
            </w:r>
          </w:p>
        </w:tc>
        <w:tc>
          <w:tcPr>
            <w:tcW w:w="414" w:type="pct"/>
            <w:vAlign w:val="center"/>
          </w:tcPr>
          <w:p w14:paraId="572F993E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</w:p>
        </w:tc>
      </w:tr>
      <w:tr w14:paraId="7E2F5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525E8311">
            <w:pPr>
              <w:spacing w:line="0" w:lineRule="atLeast"/>
              <w:jc w:val="center"/>
              <w:rPr>
                <w:rFonts w:hint="eastAsia" w:hAnsi="宋体" w:cs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415" w:type="pct"/>
            <w:vAlign w:val="center"/>
          </w:tcPr>
          <w:p w14:paraId="0ED709E8">
            <w:pPr>
              <w:spacing w:line="0" w:lineRule="atLeast"/>
              <w:jc w:val="center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出口</w:t>
            </w:r>
          </w:p>
        </w:tc>
        <w:tc>
          <w:tcPr>
            <w:tcW w:w="3879" w:type="pct"/>
            <w:vAlign w:val="center"/>
          </w:tcPr>
          <w:p w14:paraId="6AA3BDE1">
            <w:pPr>
              <w:pStyle w:val="4"/>
              <w:widowControl w:val="0"/>
              <w:numPr>
                <w:ilvl w:val="0"/>
                <w:numId w:val="2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★提供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  <w:t>IPv4+IPv6双栈、纯IPv</w:t>
            </w:r>
            <w:r>
              <w:rPr>
                <w:rFonts w:hAnsi="宋体" w:cs="宋体"/>
                <w:color w:val="FF0000"/>
                <w:kern w:val="0"/>
                <w:sz w:val="24"/>
                <w:szCs w:val="24"/>
              </w:rPr>
              <w:t>6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以及其他各种常用网络协议的全协议支持；</w:t>
            </w:r>
          </w:p>
          <w:p w14:paraId="26B84E36">
            <w:pPr>
              <w:pStyle w:val="4"/>
              <w:widowControl w:val="0"/>
              <w:numPr>
                <w:ilvl w:val="0"/>
                <w:numId w:val="2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★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出口带宽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要求上下行对等独享，且上下行均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不低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于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  <w:lang w:val="en-US" w:eastAsia="zh-CN"/>
              </w:rPr>
              <w:t>200M/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bps；</w:t>
            </w:r>
          </w:p>
          <w:p w14:paraId="079D2F8F">
            <w:pPr>
              <w:pStyle w:val="4"/>
              <w:widowControl w:val="0"/>
              <w:numPr>
                <w:ilvl w:val="0"/>
                <w:numId w:val="2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运营商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总体互联网出口带宽能够满足所投标项目的100%全负荷全年稳定运行；</w:t>
            </w:r>
          </w:p>
          <w:p w14:paraId="34362E6F">
            <w:pPr>
              <w:pStyle w:val="4"/>
              <w:widowControl w:val="0"/>
              <w:numPr>
                <w:ilvl w:val="0"/>
                <w:numId w:val="2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hAnsi="宋体" w:cs="宋体"/>
                <w:b/>
                <w:color w:val="000000"/>
                <w:kern w:val="0"/>
                <w:sz w:val="24"/>
                <w:szCs w:val="24"/>
                <w:highlight w:val="yellow"/>
              </w:rPr>
              <w:t>▲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承诺在非寒暑假时期的用网高峰时，提供动态带宽保障，满足出口带宽的利用率原则上始终低于80%；</w:t>
            </w:r>
          </w:p>
          <w:p w14:paraId="1DA0159E">
            <w:pPr>
              <w:pStyle w:val="4"/>
              <w:widowControl w:val="0"/>
              <w:numPr>
                <w:ilvl w:val="0"/>
                <w:numId w:val="2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投标企业的服务总出口具有基本的QOS质量保障。</w:t>
            </w:r>
          </w:p>
        </w:tc>
        <w:tc>
          <w:tcPr>
            <w:tcW w:w="414" w:type="pct"/>
            <w:vAlign w:val="center"/>
          </w:tcPr>
          <w:p w14:paraId="216A1834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652E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7989A92A">
            <w:pPr>
              <w:spacing w:line="0" w:lineRule="atLeast"/>
              <w:jc w:val="center"/>
              <w:rPr>
                <w:rFonts w:hint="eastAsia" w:hAnsi="宋体" w:cs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415" w:type="pct"/>
            <w:vAlign w:val="center"/>
          </w:tcPr>
          <w:p w14:paraId="312BA17A">
            <w:pPr>
              <w:spacing w:line="0" w:lineRule="atLeast"/>
              <w:jc w:val="center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线路</w:t>
            </w:r>
          </w:p>
        </w:tc>
        <w:tc>
          <w:tcPr>
            <w:tcW w:w="3879" w:type="pct"/>
            <w:vAlign w:val="center"/>
          </w:tcPr>
          <w:p w14:paraId="71DE8A7A">
            <w:pPr>
              <w:pStyle w:val="4"/>
              <w:widowControl w:val="0"/>
              <w:numPr>
                <w:ilvl w:val="0"/>
                <w:numId w:val="3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★供应商具备采购方到供应商机房的独享带宽链路，不得将采购方购买的带宽与其他第三方共用；</w:t>
            </w:r>
          </w:p>
          <w:p w14:paraId="01735D44">
            <w:pPr>
              <w:pStyle w:val="4"/>
              <w:widowControl w:val="0"/>
              <w:numPr>
                <w:ilvl w:val="0"/>
                <w:numId w:val="3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hAnsi="宋体" w:cs="宋体"/>
                <w:b/>
                <w:color w:val="000000"/>
                <w:kern w:val="0"/>
                <w:sz w:val="24"/>
                <w:szCs w:val="24"/>
                <w:highlight w:val="yellow"/>
              </w:rPr>
              <w:t>▲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供应商具备连接到采购方机房的至少两条的冗余物理光缆线路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  <w:highlight w:val="yellow"/>
              </w:rPr>
              <w:t>（两端路由设备通过“万兆光口+单模光纤”方式直连，中间不得有分光设备）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，可为未来采购方可能增长的需求提供物理链路保障；</w:t>
            </w:r>
          </w:p>
          <w:p w14:paraId="0868A72F">
            <w:pPr>
              <w:pStyle w:val="4"/>
              <w:widowControl w:val="0"/>
              <w:numPr>
                <w:ilvl w:val="0"/>
                <w:numId w:val="3"/>
              </w:numPr>
              <w:snapToGrid w:val="0"/>
              <w:spacing w:line="0" w:lineRule="atLeast"/>
              <w:ind w:firstLineChars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链路可用率不低于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99.9%；</w:t>
            </w:r>
          </w:p>
          <w:p w14:paraId="31E26B93">
            <w:pPr>
              <w:pStyle w:val="4"/>
              <w:widowControl w:val="0"/>
              <w:numPr>
                <w:ilvl w:val="0"/>
                <w:numId w:val="3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承诺提供的出口链路光衰等各项指标符合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highlight w:val="yellow"/>
              </w:rPr>
              <w:t>ISO/IEC11801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国际标准。</w:t>
            </w:r>
          </w:p>
          <w:p w14:paraId="5645B467">
            <w:pPr>
              <w:pStyle w:val="4"/>
              <w:widowControl w:val="0"/>
              <w:numPr>
                <w:ilvl w:val="0"/>
                <w:numId w:val="3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承诺能很好解决各运营商之间互联互通的瓶颈问题，可为访问教育网资源提供最佳的路由和性能保障，满足跨网（不同运营商）通信平均时延≤5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ms，丢包率≤0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.2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%。</w:t>
            </w:r>
          </w:p>
        </w:tc>
        <w:tc>
          <w:tcPr>
            <w:tcW w:w="414" w:type="pct"/>
            <w:vAlign w:val="center"/>
          </w:tcPr>
          <w:p w14:paraId="4B26B0A1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5D3C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55BAECC6">
            <w:pPr>
              <w:spacing w:line="0" w:lineRule="atLeast"/>
              <w:jc w:val="center"/>
              <w:rPr>
                <w:rFonts w:hint="eastAsia" w:hAnsi="宋体" w:cs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415" w:type="pct"/>
            <w:vAlign w:val="center"/>
          </w:tcPr>
          <w:p w14:paraId="7F1A4703">
            <w:pPr>
              <w:spacing w:line="0" w:lineRule="atLeast"/>
              <w:jc w:val="center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资源</w:t>
            </w:r>
          </w:p>
        </w:tc>
        <w:tc>
          <w:tcPr>
            <w:tcW w:w="3879" w:type="pct"/>
            <w:vAlign w:val="center"/>
          </w:tcPr>
          <w:p w14:paraId="2E232B30">
            <w:pPr>
              <w:pStyle w:val="4"/>
              <w:widowControl w:val="0"/>
              <w:numPr>
                <w:ilvl w:val="0"/>
                <w:numId w:val="4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▲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提供不少于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个连续的公网IPv4地址，所提供IP地址不得做二次转换，并在今后有需求时，可作适当扩充，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  <w:t>并提供原有 IP 地址的平滑迁移服务（若中标方为校区原有出口带宽服务提供者，则原来公网IP须继续保留给采购方使用）；</w:t>
            </w:r>
          </w:p>
          <w:p w14:paraId="2D4F5AA5">
            <w:pPr>
              <w:pStyle w:val="4"/>
              <w:widowControl w:val="0"/>
              <w:numPr>
                <w:ilvl w:val="0"/>
                <w:numId w:val="4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▲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  <w:t>提供一段地址空间前缀长度不小于5</w:t>
            </w:r>
            <w:r>
              <w:rPr>
                <w:rFonts w:hAnsi="宋体" w:cs="宋体"/>
                <w:color w:val="FF0000"/>
                <w:kern w:val="0"/>
                <w:sz w:val="24"/>
                <w:szCs w:val="24"/>
              </w:rPr>
              <w:t>2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  <w:t>位的IPv6地址，并在今后有需求时，可作适当扩充；</w:t>
            </w:r>
          </w:p>
        </w:tc>
        <w:tc>
          <w:tcPr>
            <w:tcW w:w="414" w:type="pct"/>
            <w:vAlign w:val="center"/>
          </w:tcPr>
          <w:p w14:paraId="5855275C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5BF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39D90F4C">
            <w:pPr>
              <w:spacing w:line="0" w:lineRule="atLeast"/>
              <w:jc w:val="center"/>
              <w:rPr>
                <w:rFonts w:hint="eastAsia" w:hAnsi="宋体" w:cs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415" w:type="pct"/>
            <w:vAlign w:val="center"/>
          </w:tcPr>
          <w:p w14:paraId="572CA62F">
            <w:pPr>
              <w:spacing w:line="0" w:lineRule="atLeast"/>
              <w:jc w:val="center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技术保障</w:t>
            </w:r>
          </w:p>
        </w:tc>
        <w:tc>
          <w:tcPr>
            <w:tcW w:w="3879" w:type="pct"/>
            <w:vAlign w:val="center"/>
          </w:tcPr>
          <w:p w14:paraId="66F02F2A">
            <w:pPr>
              <w:pStyle w:val="4"/>
              <w:widowControl w:val="0"/>
              <w:numPr>
                <w:ilvl w:val="0"/>
                <w:numId w:val="5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根据学校需求，对学校服务器的IP和域名提供正向和反向解析服务，在运营商的DNS系统中提供学校服务器的域名解析，并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承诺不进行DNS劫持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（若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发现DNS劫持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，经核实后，采购方有权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扣除当月全部费用，甚至中止执行合同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  <w:p w14:paraId="274E5326">
            <w:pPr>
              <w:pStyle w:val="4"/>
              <w:widowControl w:val="0"/>
              <w:numPr>
                <w:ilvl w:val="0"/>
                <w:numId w:val="5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提供足够的安全技术保障，在任何情况下（不可抗力除外）可保证用户带宽服务畅通，满足访问全国主干网丢包率≤0</w:t>
            </w:r>
            <w:r>
              <w:rPr>
                <w:rFonts w:hAnsi="宋体" w:cs="宋体"/>
                <w:color w:val="000000"/>
                <w:kern w:val="0"/>
                <w:sz w:val="24"/>
                <w:szCs w:val="24"/>
                <w:highlight w:val="yellow"/>
              </w:rPr>
              <w:t>.1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highlight w:val="yellow"/>
              </w:rPr>
              <w:t>%。</w:t>
            </w:r>
          </w:p>
          <w:p w14:paraId="02D89A12">
            <w:pPr>
              <w:pStyle w:val="4"/>
              <w:widowControl w:val="0"/>
              <w:numPr>
                <w:ilvl w:val="0"/>
                <w:numId w:val="0"/>
              </w:numPr>
              <w:spacing w:line="0" w:lineRule="atLeast"/>
              <w:ind w:left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4A9B6008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7A58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7031F551">
            <w:pPr>
              <w:spacing w:line="0" w:lineRule="atLeast"/>
              <w:jc w:val="center"/>
              <w:rPr>
                <w:rFonts w:hint="eastAsia" w:hAnsi="宋体" w:cs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415" w:type="pct"/>
            <w:vAlign w:val="center"/>
          </w:tcPr>
          <w:p w14:paraId="479D11AC">
            <w:pPr>
              <w:spacing w:line="0" w:lineRule="atLeast"/>
              <w:jc w:val="center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带宽质量保障</w:t>
            </w:r>
          </w:p>
        </w:tc>
        <w:tc>
          <w:tcPr>
            <w:tcW w:w="3879" w:type="pct"/>
            <w:vAlign w:val="center"/>
          </w:tcPr>
          <w:p w14:paraId="11CF45B1">
            <w:pPr>
              <w:pStyle w:val="4"/>
              <w:widowControl w:val="0"/>
              <w:numPr>
                <w:ilvl w:val="0"/>
                <w:numId w:val="6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▲服务期限内提供全年365天7*8小时（设备部分）以及7*24小时（线路部分）的技术支持、网络维护和故障维修服务。如发生故障，供应商应在1小时以内响应，4小时内达到现场处置，一般故障修复时间不超过12小时，复杂故障修复时间不超过24小时。</w:t>
            </w:r>
          </w:p>
          <w:p w14:paraId="7AC318CC">
            <w:pPr>
              <w:pStyle w:val="4"/>
              <w:widowControl w:val="0"/>
              <w:numPr>
                <w:ilvl w:val="0"/>
                <w:numId w:val="6"/>
              </w:numPr>
              <w:spacing w:line="0" w:lineRule="atLeast"/>
              <w:ind w:firstLine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▲保证我单位原有使用的静态固定IP地址不变，如变动IP地址，中标人需承担变更后相应业务系统调整的费用，业务中断不能超过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</w:rPr>
              <w:t>12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个小时。</w:t>
            </w:r>
          </w:p>
        </w:tc>
        <w:tc>
          <w:tcPr>
            <w:tcW w:w="414" w:type="pct"/>
            <w:vAlign w:val="center"/>
          </w:tcPr>
          <w:p w14:paraId="57B14B60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22A6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65313118">
            <w:pPr>
              <w:spacing w:line="0" w:lineRule="atLeast"/>
              <w:jc w:val="center"/>
              <w:rPr>
                <w:rFonts w:hint="default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415" w:type="pct"/>
            <w:vAlign w:val="center"/>
          </w:tcPr>
          <w:p w14:paraId="426C3B21">
            <w:pPr>
              <w:spacing w:line="0" w:lineRule="atLeast"/>
              <w:jc w:val="center"/>
              <w:rPr>
                <w:rFonts w:hint="eastAsia" w:hAnsi="宋体" w:cs="宋体"/>
                <w:color w:val="000000"/>
                <w:kern w:val="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</w:rPr>
              <w:t>安装地点</w:t>
            </w:r>
          </w:p>
        </w:tc>
        <w:tc>
          <w:tcPr>
            <w:tcW w:w="3879" w:type="pct"/>
            <w:vAlign w:val="center"/>
          </w:tcPr>
          <w:p w14:paraId="438C3FB2">
            <w:pPr>
              <w:pStyle w:val="4"/>
              <w:widowControl w:val="0"/>
              <w:numPr>
                <w:ilvl w:val="0"/>
                <w:numId w:val="0"/>
              </w:numPr>
              <w:spacing w:line="0" w:lineRule="atLeast"/>
              <w:ind w:leftChars="0"/>
              <w:jc w:val="left"/>
              <w:rPr>
                <w:rFonts w:hint="default" w:hAnsi="宋体" w:cs="宋体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1.广西智能制造职业技术学院(柳东校区)图文信息中心3F-305室。</w:t>
            </w:r>
          </w:p>
        </w:tc>
        <w:tc>
          <w:tcPr>
            <w:tcW w:w="414" w:type="pct"/>
            <w:vAlign w:val="center"/>
          </w:tcPr>
          <w:p w14:paraId="223C471A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</w:p>
        </w:tc>
      </w:tr>
      <w:tr w14:paraId="537F3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" w:type="pct"/>
            <w:vAlign w:val="center"/>
          </w:tcPr>
          <w:p w14:paraId="75248A2F">
            <w:pPr>
              <w:spacing w:line="0" w:lineRule="atLeast"/>
              <w:jc w:val="center"/>
              <w:rPr>
                <w:rFonts w:hint="default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415" w:type="pct"/>
            <w:vAlign w:val="center"/>
          </w:tcPr>
          <w:p w14:paraId="7649E132">
            <w:pPr>
              <w:spacing w:line="0" w:lineRule="atLeast"/>
              <w:jc w:val="center"/>
              <w:rPr>
                <w:rFonts w:hint="default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/>
              </w:rPr>
              <w:t>业务交付及付款</w:t>
            </w:r>
          </w:p>
        </w:tc>
        <w:tc>
          <w:tcPr>
            <w:tcW w:w="3879" w:type="pct"/>
            <w:vAlign w:val="center"/>
          </w:tcPr>
          <w:p w14:paraId="653C58B1">
            <w:pPr>
              <w:pStyle w:val="4"/>
              <w:widowControl w:val="0"/>
              <w:numPr>
                <w:ilvl w:val="0"/>
                <w:numId w:val="0"/>
              </w:numPr>
              <w:spacing w:line="0" w:lineRule="atLeast"/>
              <w:ind w:left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1.业务交付时间：自中标之日起15个工作日内。</w:t>
            </w:r>
          </w:p>
          <w:p w14:paraId="1AD7024D">
            <w:pPr>
              <w:pStyle w:val="4"/>
              <w:widowControl w:val="0"/>
              <w:numPr>
                <w:ilvl w:val="0"/>
                <w:numId w:val="0"/>
              </w:numPr>
              <w:spacing w:line="0" w:lineRule="atLeast"/>
              <w:ind w:left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2.服务期: 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  <w:lang w:val="en-US" w:eastAsia="zh-CN"/>
              </w:rPr>
              <w:t>24个月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，安装地点：柳州市市区采购单位指定地点。</w:t>
            </w:r>
          </w:p>
          <w:p w14:paraId="5CBE5A03">
            <w:pPr>
              <w:pStyle w:val="4"/>
              <w:widowControl w:val="0"/>
              <w:numPr>
                <w:ilvl w:val="0"/>
                <w:numId w:val="0"/>
              </w:numPr>
              <w:spacing w:line="0" w:lineRule="atLeast"/>
              <w:ind w:leftChars="0"/>
              <w:jc w:val="left"/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3.付款方式：本项目无预付款，中标供应商所提交的服务经采购单位验收合格后，</w:t>
            </w:r>
            <w:r>
              <w:rPr>
                <w:rFonts w:hint="eastAsia" w:hAnsi="宋体" w:cs="宋体"/>
                <w:color w:val="FF0000"/>
                <w:kern w:val="0"/>
                <w:sz w:val="24"/>
                <w:szCs w:val="24"/>
                <w:lang w:val="en-US" w:eastAsia="zh-CN"/>
              </w:rPr>
              <w:t>按年度支付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合同款。 </w:t>
            </w:r>
          </w:p>
        </w:tc>
        <w:tc>
          <w:tcPr>
            <w:tcW w:w="414" w:type="pct"/>
            <w:vAlign w:val="center"/>
          </w:tcPr>
          <w:p w14:paraId="6F11D69F">
            <w:pPr>
              <w:spacing w:line="0" w:lineRule="atLeast"/>
              <w:rPr>
                <w:rFonts w:hint="eastAsia" w:hAnsi="宋体" w:cs="宋体"/>
                <w:color w:val="000000"/>
                <w:kern w:val="0"/>
                <w:sz w:val="24"/>
              </w:rPr>
            </w:pPr>
          </w:p>
        </w:tc>
      </w:tr>
    </w:tbl>
    <w:p w14:paraId="667FC9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F040CE"/>
    <w:multiLevelType w:val="multilevel"/>
    <w:tmpl w:val="DAF040CE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  <w:color w:val="00000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F35C0B9C"/>
    <w:multiLevelType w:val="multilevel"/>
    <w:tmpl w:val="F35C0B9C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9E4D4A"/>
    <w:multiLevelType w:val="multilevel"/>
    <w:tmpl w:val="009E4D4A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1E66F8"/>
    <w:multiLevelType w:val="multilevel"/>
    <w:tmpl w:val="181E66F8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FFC3D12"/>
    <w:multiLevelType w:val="multilevel"/>
    <w:tmpl w:val="4FFC3D12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  <w:color w:val="00000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6002CAC"/>
    <w:multiLevelType w:val="multilevel"/>
    <w:tmpl w:val="76002CAC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ZGMyOTZmNTUzZWU2MWNkNjAzMWRhY2Q0YmQ4NDUifQ=="/>
  </w:docVars>
  <w:rsids>
    <w:rsidRoot w:val="00000000"/>
    <w:rsid w:val="01875DDB"/>
    <w:rsid w:val="01AC5842"/>
    <w:rsid w:val="03DB3213"/>
    <w:rsid w:val="0F517A28"/>
    <w:rsid w:val="14FE50FF"/>
    <w:rsid w:val="197A1978"/>
    <w:rsid w:val="1D274ACA"/>
    <w:rsid w:val="1F556478"/>
    <w:rsid w:val="44773514"/>
    <w:rsid w:val="455F00CE"/>
    <w:rsid w:val="46113714"/>
    <w:rsid w:val="48EF3A72"/>
    <w:rsid w:val="523C2934"/>
    <w:rsid w:val="5B0D70D8"/>
    <w:rsid w:val="7E16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1143</Words>
  <Characters>1232</Characters>
  <Lines>0</Lines>
  <Paragraphs>0</Paragraphs>
  <TotalTime>10</TotalTime>
  <ScaleCrop>false</ScaleCrop>
  <LinksUpToDate>false</LinksUpToDate>
  <CharactersWithSpaces>1241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2024-10-23T01:38:00Z</dcterms:created>
  <dc:creator>luoyi</dc:creator>
  <cp:lastModifiedBy>罗毅</cp:lastModifiedBy>
  <dcterms:modified xsi:type="dcterms:W3CDTF">2026-04-03T01:25:34Z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EF514B5C475941DD99F3586E6227929D_12</vt:lpwstr>
  </property>
  <property fmtid="{D5CDD505-2E9C-101B-9397-08002B2CF9AE}" pid="4" name="KSOTemplateDocerSaveRecord">
    <vt:lpwstr>eyJoZGlkIjoiOTUxZGMyOTZmNTUzZWU2MWNkNjAzMWRhY2Q0YmQ4NDUiLCJ1c2VySWQiOiI2OTQ3MTcwOTcifQ==</vt:lpwstr>
  </property>
</Properties>
</file>