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5162A">
      <w:pPr>
        <w:pStyle w:val="7"/>
        <w:jc w:val="center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广西交通职业技术学院项目采购需求表</w:t>
      </w:r>
    </w:p>
    <w:p w14:paraId="20545BD3">
      <w:pPr>
        <w:pStyle w:val="7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 xml:space="preserve">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/>
        </w:rPr>
        <w:t>报价供应商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</w:rPr>
        <w:t>盖章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</w:rPr>
        <w:t>：</w:t>
      </w:r>
    </w:p>
    <w:tbl>
      <w:tblPr>
        <w:tblStyle w:val="11"/>
        <w:tblW w:w="499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460"/>
        <w:gridCol w:w="3237"/>
        <w:gridCol w:w="523"/>
        <w:gridCol w:w="523"/>
        <w:gridCol w:w="963"/>
        <w:gridCol w:w="952"/>
        <w:gridCol w:w="1051"/>
        <w:gridCol w:w="1431"/>
      </w:tblGrid>
      <w:tr w14:paraId="0D371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CB4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886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货物名称</w:t>
            </w:r>
          </w:p>
        </w:tc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150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参数配置要求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C741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数量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3A1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单位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D11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预算单价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（元）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749C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预算金额（元）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89F82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单价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（元）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B36BB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报价小计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（元）</w:t>
            </w:r>
          </w:p>
        </w:tc>
      </w:tr>
      <w:tr w14:paraId="25924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D7A2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D6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漏洞扫描服务系统</w:t>
            </w:r>
          </w:p>
        </w:tc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B94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一、系统功能</w:t>
            </w:r>
          </w:p>
          <w:p w14:paraId="2E21C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1.支持检测的风险、漏洞数≥35万条，兼容CVE、CNCVE、CNNVD、CNVD主流标准。</w:t>
            </w:r>
          </w:p>
          <w:p w14:paraId="2428F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展示页面集成风险分布与趋势可视化图表，涵盖资产风险值趋势、优先修复漏洞数量趋势、操作系统分类Top5、应用漏洞Top10、主机漏洞风险分布、站点风险值趋势、站点漏洞分布趋势、站点服务分布Top5、站点风险分布等核心模块</w:t>
            </w:r>
          </w:p>
          <w:p w14:paraId="5A33F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3.支持多维度漏洞精准检索，可通过CVEID、BUGTRAQID、CNCVEID、CNVDID、CNNVDID、MS编号、风险等级、漏洞名称等字段完成筛选查询。</w:t>
            </w:r>
          </w:p>
          <w:p w14:paraId="4FD7B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4.支持设置站点扫描范围，包括：目录扫描、单URL扫描、域名扫描，支持用户自定义扫描范围和扫描策略，支持并发扫描。</w:t>
            </w:r>
          </w:p>
          <w:p w14:paraId="24278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5.扫描对象支持：</w:t>
            </w:r>
          </w:p>
          <w:p w14:paraId="60958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①安全设备及网络设备类：华为、华三、迪普、思科、迈普、飞塔、山石、绿盟、启明星辰等；</w:t>
            </w:r>
          </w:p>
          <w:p w14:paraId="5B65E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②打印机类：惠普、三星、理光、佳能、利盟、东芝、兄弟等；</w:t>
            </w:r>
          </w:p>
          <w:p w14:paraId="4DE88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③视频监控设备类:大华、海康、宇视等；</w:t>
            </w:r>
          </w:p>
          <w:p w14:paraId="72C74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④端口服务类：ActiveMQ、AFP、DB2、FTP、Highgo、IMAP、Kingbase、MongoDB、MS_SQL、Mysql、ONVIF、Oracle、POP3、Postgres、Redis、RTSP、SIP、SMB、SMTP、SSH、Sybase、Telnet、Tomcat、VNC、Weblogic、WinRM等（包含中间件、数据库、文件传输服务等）；</w:t>
            </w:r>
          </w:p>
          <w:p w14:paraId="570FE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⑤操作系统类：支持Windows系列操作系统、Linux系列操作系统、国产信创系列操作系统等；</w:t>
            </w:r>
          </w:p>
          <w:p w14:paraId="2DD2C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6.支持多用户分级权限管理，可为每个用户角色分配账号、任务级的权限分配、允许登录的IP范围和允许扫描的IP范围等。</w:t>
            </w:r>
          </w:p>
          <w:p w14:paraId="0F674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7.支持漏洞生命周期管理，包含三种及以上状态。通过响应页面能直观展示扫描进程内容。</w:t>
            </w:r>
          </w:p>
          <w:p w14:paraId="6CC5A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8.支持漏洞扫描完成通知，可进行日志外发至服务器或漏洞告警，告警方式包含至少两种。</w:t>
            </w:r>
          </w:p>
          <w:p w14:paraId="52CF4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9.至少包含5年及以上的规则库更新以及软件授权服务，远程支持服务、产品软硬件保修服务，包含全功能图文并茂使用手册。</w:t>
            </w:r>
          </w:p>
          <w:p w14:paraId="3F649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10.支持扫描资产的查询，可使用多种资产查询条件，设备名称、设备IP、设备版本、设备操作系统、标签等。</w:t>
            </w:r>
          </w:p>
          <w:p w14:paraId="550DB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11.支持扫描结果可视化展示，直观展示资产风险值、资产风险等级分布、风险数趋势、整体风险值趋势等内容。</w:t>
            </w:r>
          </w:p>
          <w:p w14:paraId="30CF2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二、硬件参数</w:t>
            </w:r>
          </w:p>
          <w:p w14:paraId="62A25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1.标准机式设备，CPU≥1，提供冗余电源。</w:t>
            </w:r>
          </w:p>
          <w:p w14:paraId="1D7A9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2.硬盘容量≥1T，内存≥16GB，千兆电口≥4个，≥1个RJ45串口，≥2个USB口，并发任务数≥15。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7E4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B3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D8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43800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97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43800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C35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1D8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B297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5F58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BB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入侵防护系统IPS</w:t>
            </w:r>
          </w:p>
        </w:tc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D36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一、系统功能</w:t>
            </w:r>
          </w:p>
          <w:p w14:paraId="69D8E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1.系统提供代码执行、溢出攻击、目录遍历等至少</w:t>
            </w:r>
            <w:r>
              <w:rPr>
                <w:rStyle w:val="18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17个攻击类别的分类，提供至少1万条识别规则。</w:t>
            </w:r>
            <w:r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2.支持Telnet、SSH、SMB、FTP、RDP、POP3、SMTP、IMAP、HTTP的暴力破解的检测。</w:t>
            </w:r>
          </w:p>
          <w:p w14:paraId="3ECEB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3.支持对攻击事件进行top10展示，并能对攻击事件进行图表格式汇总，能包含下列4项及以上的视角分析：时间范围、受害主机、事件类型、处置状态、攻击结果、应用协议、威胁事件级别分布、入侵事件-攻击类别分布、攻击类别趋势、入侵事件发生趋势。</w:t>
            </w:r>
          </w:p>
          <w:p w14:paraId="4634C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4.支持隐蔽通信检测，对HTTP、FTP、SMTP、IMAP、POP3、TELNET等服务的隐蔽通信检测。</w:t>
            </w:r>
          </w:p>
          <w:p w14:paraId="63843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5.支持卸载SSL，实现对HTTPS、IMAPS、SMTPS、POP3S、FTPS、RDP、MQTT、SIP等加密流量的分析检测。</w:t>
            </w:r>
          </w:p>
          <w:p w14:paraId="6DB8C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6.具备源IP地址梳理功能，通过X-Forwarded-For、X-Real-IP、来识别通过HTTP代理或负载均衡方式连接到Web服务的客户端最原始的IP地址，或通过ssl解包技术提取HTTPS中的IP地址。</w:t>
            </w:r>
          </w:p>
          <w:p w14:paraId="5B602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7.支持日志外发技术支持选择外发的日志类型，可支持采UTF-8编码方式。</w:t>
            </w:r>
          </w:p>
          <w:p w14:paraId="300D5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8.支持应用识别功能，包括：HTTP应用、IM文件传输、P2P下载、P2P音频、P2P视频、标准协议、财经软件、电子商务、工控物联网、即时通讯、加密隧道、软件更新、社交网络、数据库、网上银行、网络游戏、网页视频、网页音频、网络硬盘、网页邮箱、语音电话、远程控制、移动应用、其他应用等24种类型超过5000种应用识别。</w:t>
            </w:r>
          </w:p>
          <w:p w14:paraId="74B55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9.支持模板检测功能，至少能针对以下场景覆盖50%，并进行专项检测：恶意域名检测智慧引擎、恶意TLS流量检测智慧引擎、SQL注入检测智慧引擎、XSS攻击检测智慧引擎、命令注入检测智慧引擎、HTTP隧道检测智慧引擎、</w:t>
            </w:r>
            <w:r>
              <w:rPr>
                <w:rStyle w:val="18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WEBSHELL上传检测DMZ区服务器、内网客户端、Web服务器、Windows服务器、UNIX类服务器。</w:t>
            </w:r>
          </w:p>
          <w:p w14:paraId="1E917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9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9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二、硬件参数</w:t>
            </w:r>
          </w:p>
          <w:p w14:paraId="6E44D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1.1U或2U机架式硬件设备，配备冗余电源。</w:t>
            </w:r>
          </w:p>
          <w:p w14:paraId="17EF3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2.2个及以上千兆电口并配备管理口。</w:t>
            </w:r>
          </w:p>
          <w:p w14:paraId="06D9C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3.标配吞吐量性能指标，并且整机吞吐量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</w:t>
            </w:r>
            <w:r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1GPBS。</w:t>
            </w:r>
          </w:p>
          <w:p w14:paraId="6D526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Style w:val="19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4.至少包含5年及以上的规则库更新以及软件授权服务，远程支持服务、产品软硬件保修服务，包含全功能图文并茂使用手册。</w:t>
            </w:r>
          </w:p>
          <w:p w14:paraId="4278C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EB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ADF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0BC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27500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4FD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27500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F505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FA6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543F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8" w:hRule="atLeast"/>
          <w:jc w:val="center"/>
        </w:trPr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7ED7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85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入侵检测系统IDS</w:t>
            </w:r>
          </w:p>
        </w:tc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3D8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一、系统功能</w:t>
            </w:r>
          </w:p>
          <w:p w14:paraId="78ECF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1.系统提供代码执行、溢出攻击、注入攻击（含SQL注入\xss跨站脚本注入）、WebShell、后门/后门控制、拒绝服务攻击、未授权访问、暴力猜解、扫描探测、劫持攻击。并且支持不少于13000种以上网络攻击事件检测。</w:t>
            </w:r>
          </w:p>
          <w:p w14:paraId="0C8F0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2.支持Telnet、SSH、SMB、FTP、RDP、POP3、SMTP、IMAP、HTTP、数据库等协议的暴力猜测防护，且能够自定义设置检测阈值。</w:t>
            </w:r>
          </w:p>
          <w:p w14:paraId="6C4BE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3.在入侵规则分类中、支持拒绝服务类的攻击规则（如floor攻击、Ddos攻击）。</w:t>
            </w:r>
          </w:p>
          <w:p w14:paraId="21CDF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4.支持日志外发技术支持选择外发的日志类型，可支持采UTF-8编码方式。</w:t>
            </w:r>
          </w:p>
          <w:p w14:paraId="1C1EF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5.支持多种报表模板功能。具备对于报表条件进行设置，可设置源地址、目的地址、事件风险等级、事件类型、TopN等条件。</w:t>
            </w:r>
          </w:p>
          <w:p w14:paraId="64690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6.具备工控环境下的检测能力，系统规则具备相应的检测模板或攻击检测分类中包含"工控漏洞攻击"。</w:t>
            </w:r>
          </w:p>
          <w:p w14:paraId="6CEA6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7.对于检测到的攻击事件，可以进行具体分析。能提取到日志的详情内容，并能获取取证文件和威胁详情。</w:t>
            </w:r>
          </w:p>
          <w:p w14:paraId="748AD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8.系统具备告警功能，包含邮件、声音、本地、串口、SNMP多种告警类型。</w:t>
            </w:r>
          </w:p>
          <w:p w14:paraId="5BD07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9．支持隐蔽通信检测，对HTTP、FTP、SMTP、IMAP、POP3、TELNET等服务的隐蔽通信检测。</w:t>
            </w:r>
          </w:p>
          <w:p w14:paraId="307A4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10．支持卸载SSL，实现对HTTPS、IMAPS、SMTPS、POP3S、FTPS、RDP、MQTT、SIP等加密流量的分析检测。</w:t>
            </w:r>
          </w:p>
          <w:p w14:paraId="545C7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11.支持对挖矿行为进行防护，并可将产生的挖矿行为生成日志，可通过源地址和目的地地址和信誉等级进行查询，可展示挖矿日志的威胁类型、挖矿值及协议等。</w:t>
            </w:r>
          </w:p>
          <w:p w14:paraId="3CDCC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二、硬件参数</w:t>
            </w:r>
          </w:p>
          <w:p w14:paraId="3C25B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1.设备为标准机架式硬件设备，大小为1U或2U。</w:t>
            </w:r>
          </w:p>
          <w:p w14:paraId="39CE3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2.设备具备冗余电源。</w:t>
            </w:r>
          </w:p>
          <w:p w14:paraId="28B51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3.设备具备6个及以上的千兆电口（含管理口）。</w:t>
            </w:r>
          </w:p>
          <w:p w14:paraId="4D8B9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4.整机吞吐量应≥1Gbps，并标注吞吐量性能指标。</w:t>
            </w:r>
          </w:p>
          <w:p w14:paraId="548FC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5.至少包含5年及以上的规则库更新以及软件授权服务，远程支持服务、产品软硬件保修服务，包含图文并茂全功能使用手册。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D4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A625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DD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20600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AE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20600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2DE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314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E67C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27AB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5CA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代码卫士代码审计系统</w:t>
            </w:r>
          </w:p>
        </w:tc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F19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一、系统功能</w:t>
            </w:r>
          </w:p>
          <w:p w14:paraId="1BFCF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1.系统支持对C/C++/Python/Java/PHP/Go/C#/arkTS/JavaScript/Node.js/PHP/Rust等语言的代码分析。</w:t>
            </w:r>
          </w:p>
          <w:p w14:paraId="102F9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2.系统内置丰富的缺陷检测模板，满足但不限于以下标准：CVE、OWASPTOP10。同时支持用户进行自定义，用户可自定义配置或自定义扫描策略和扫描范围。</w:t>
            </w:r>
          </w:p>
          <w:p w14:paraId="4143F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3.系统支持缺陷/漏洞的风险等级分类与多维度检索，并且支持定时扫描任务，针对不同情况不同时段和不同场景进行扫描。</w:t>
            </w:r>
          </w:p>
          <w:p w14:paraId="6696B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4.支持对于扫描结果的导出，结果包含：风险等级、缺陷描述、修复建议、缺陷路径。</w:t>
            </w:r>
          </w:p>
          <w:p w14:paraId="21B70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5.允许用户自定义规则以检测代码中的潜在问题由此检测出更多缺陷。新建自定义规则时，可以按照语法要求进行配置。</w:t>
            </w:r>
          </w:p>
          <w:p w14:paraId="0E638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6.支持IntelliJIDEA、Eclipse、VisualStudioCode、VisualStudio插件集成，支持开发人员自行快速开展代码扫描检测，提升代码交付质量。</w:t>
            </w:r>
          </w:p>
          <w:p w14:paraId="30570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7.支持按文件、类、方法函数维度进行度量分析。例如圈复杂度、扇入数、扇出数、冗余代行数、代码重复率、超大函数等指标。8.支持配置增量检测，只对变更部分代码进行扫描，缩短CI/CD流水线扫描时长。</w:t>
            </w:r>
          </w:p>
          <w:p w14:paraId="76C0C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9.支持对上传代码进行API扫描识别，分析API的端点路径、方法和参数等信息，可醒目标注敏感参数，支持关联跳转查看API对应缺陷。</w:t>
            </w:r>
          </w:p>
          <w:p w14:paraId="1B33E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10.支持Jenkins、Gitee、蓝鲸DevOps、Coding、GitLab-CI、AzureDevOps、阿里云效DevOps、Zadig、通用Shell的插件/脚本集成；支持进行检测配置、质量门禁配置，检测完成支持用户查看检测结果。</w:t>
            </w:r>
          </w:p>
          <w:p w14:paraId="0EE3E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.支持SVN、Github、Gitlab、Gitee、Gerrit、TFS、FTP、共享目录、通用Git的集成配置，可实现拉取项目源代码进行扫描。12.提供缺陷审计功能，可以对缺陷严重性、可能性、缺陷状态、缺陷评级、缺陷处理人员进行配置，支持携带审计，平台可自动将上一次审计结果携带至此次检测，可避免同一源码新旧批次的缺陷重复审计问题。</w:t>
            </w:r>
          </w:p>
          <w:p w14:paraId="15A94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.通过利用大语言模型（LLM）结合代码语义分析，对应用源代码中的权限校验逻辑进行自动化识别和越权风险检测。通过理解函数调用链、控制流、角色校验逻辑与资源访问、数据库访问等关系，智能发现水平越权与垂直越权漏洞，弥补传统规则匹配或符号执行在复杂授权逻辑场景中的检测盲区。</w:t>
            </w:r>
          </w:p>
          <w:p w14:paraId="1B3FA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.系统可以生成PDF、Word、Excel、Json、XML、HTML等格式的报告；支持自定义配置报告的具体展示内容，包括：跟踪路径、修复建议、严重级别、示例代码、审计记录、缺陷代码片段内容，可以对报告导出缺陷数进行限制。</w:t>
            </w:r>
          </w:p>
          <w:p w14:paraId="1D591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15.支持定制SAST报告。</w:t>
            </w:r>
          </w:p>
          <w:p w14:paraId="3D755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二、硬件参数</w:t>
            </w:r>
          </w:p>
          <w:p w14:paraId="1A92F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1.具备千兆网口，且具备冗余电源。</w:t>
            </w:r>
          </w:p>
          <w:p w14:paraId="349E3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2.便携式或机架式服务器规格。</w:t>
            </w:r>
          </w:p>
          <w:p w14:paraId="018B0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3.硬盘存储容量≥512G。</w:t>
            </w:r>
          </w:p>
          <w:p w14:paraId="04D5E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4.至少包含5年及以上的规则库更新和软件授权服务，远程支持服务、产品软硬件保修服务，包含全功能图文并茂使用手册。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0DC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B9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0AB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265619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0C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265619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FAE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CB7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5CAD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3C3F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78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安全审计系统</w:t>
            </w:r>
          </w:p>
        </w:tc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F5A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一、系统功能</w:t>
            </w:r>
          </w:p>
          <w:p w14:paraId="3F583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1.支持用户识别功能，可将终端IP地址与终端用户身份绑定，支持实名审计。</w:t>
            </w:r>
          </w:p>
          <w:p w14:paraId="20003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2.支持审计策略的自定义，可将时间、源IP、目的IP、协议、端口、登陆账号、命令作为响应条件进行策略设置。</w:t>
            </w:r>
          </w:p>
          <w:p w14:paraId="796F1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3.包含对以下两种或两种以上包含文件的协议审计：HTTP协议、FTP协议、SMB协议、NFS协议</w:t>
            </w:r>
          </w:p>
          <w:p w14:paraId="13E7F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4.支持基于流的流量分析功能，可对其他设备发送的Netflow进行分析。至少支持Netflowv5/v9版本。</w:t>
            </w:r>
          </w:p>
          <w:p w14:paraId="2401C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5.支持应用协议行为识别，应用识别规则库最少包含24大类，支持4000种及以上的应用协议自动识别与审计记录。</w:t>
            </w:r>
          </w:p>
          <w:p w14:paraId="4EB60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6.支持告警阀值设置，可设置连接数值、流量阀值、系统状态阈值等。</w:t>
            </w:r>
          </w:p>
          <w:p w14:paraId="22084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7.审计记录功能中包含源IP、目的IP、协议、端口等，支持csv格式导出审计日志。</w:t>
            </w:r>
          </w:p>
          <w:p w14:paraId="36B30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8.支持Syslog、SNMPTrap方式向外发送审计日志。</w:t>
            </w:r>
          </w:p>
          <w:p w14:paraId="6A018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9.支持DNS域名解析协议审计，可针对DNS协议对域名解析进行审计，审计内容包括不限于查询IP、查询域名、查询状态、应答域RR内容等。</w:t>
            </w:r>
          </w:p>
          <w:p w14:paraId="30D40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10.支持SSH远程登录协议的审计，审计内容包括不限于客户端、服务端的版本等信息；</w:t>
            </w:r>
          </w:p>
          <w:p w14:paraId="7FFF4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11.支持告警阀值设置，可设置内容包括：连接数值、流量阀值、系统状态阈值（例如：CPU阀值设置、硬盘空间阀值空间设置、内存空间阀值设置等）。</w:t>
            </w:r>
          </w:p>
          <w:p w14:paraId="5AFAA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二、硬件参数</w:t>
            </w:r>
          </w:p>
          <w:p w14:paraId="486B8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1.1U,≥16G内存，≥4T硬盘，接口：≥8个千兆电口，≥4个千兆光口,冗余电源,≥2个扩展槽位。</w:t>
            </w:r>
          </w:p>
          <w:p w14:paraId="29D53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2.吞吐率：≥150Mbps记录事件：≥1500条/秒；默认1个云审计代理/Agent授权，最高支持5个云审计代理/Agent授权；默认含应用识别库。</w:t>
            </w:r>
          </w:p>
          <w:p w14:paraId="52FBA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3.至少包含5年及以上的规则库更新以及软件授权服务，远程支持服务、产品软硬件保修服务，包含全功能图文并茂使用手册。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FFE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0C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46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40800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4BF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40800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90A8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2C4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8C58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517F2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供应商总报价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2"/>
                <w:szCs w:val="22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元</w:t>
            </w:r>
          </w:p>
        </w:tc>
      </w:tr>
      <w:tr w14:paraId="32F0C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29306E">
            <w:pPr>
              <w:widowControl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2"/>
                <w:szCs w:val="22"/>
                <w:highlight w:val="none"/>
              </w:rPr>
              <w:t>备注：报价包括为完成本项目的所有费用，中标后不再变更任何费用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。</w:t>
            </w:r>
          </w:p>
        </w:tc>
      </w:tr>
    </w:tbl>
    <w:p w14:paraId="1C2B74F4">
      <w:pPr>
        <w:pStyle w:val="7"/>
        <w:rPr>
          <w:rFonts w:hint="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4YzE2NmFjN2I4NTVlZjYwYjc4ZmFhNzk1NGVlYjkifQ=="/>
  </w:docVars>
  <w:rsids>
    <w:rsidRoot w:val="5F140499"/>
    <w:rsid w:val="000653A1"/>
    <w:rsid w:val="002907DB"/>
    <w:rsid w:val="00644898"/>
    <w:rsid w:val="00997D30"/>
    <w:rsid w:val="00AC40B6"/>
    <w:rsid w:val="01EA636A"/>
    <w:rsid w:val="066761DB"/>
    <w:rsid w:val="06B07B82"/>
    <w:rsid w:val="083640B7"/>
    <w:rsid w:val="0A627190"/>
    <w:rsid w:val="0A7B6EAC"/>
    <w:rsid w:val="0A93759F"/>
    <w:rsid w:val="0AF02C43"/>
    <w:rsid w:val="0CCB2A36"/>
    <w:rsid w:val="100F3B6B"/>
    <w:rsid w:val="12AD1419"/>
    <w:rsid w:val="13F82B68"/>
    <w:rsid w:val="148C2E46"/>
    <w:rsid w:val="14E8498B"/>
    <w:rsid w:val="17487963"/>
    <w:rsid w:val="194B7296"/>
    <w:rsid w:val="19786E14"/>
    <w:rsid w:val="1E090C27"/>
    <w:rsid w:val="1ED57D2E"/>
    <w:rsid w:val="1EFF4DAB"/>
    <w:rsid w:val="1F5756FA"/>
    <w:rsid w:val="20946068"/>
    <w:rsid w:val="2096173F"/>
    <w:rsid w:val="222C3F97"/>
    <w:rsid w:val="24186A82"/>
    <w:rsid w:val="26BC7A25"/>
    <w:rsid w:val="26F01432"/>
    <w:rsid w:val="2A584BB6"/>
    <w:rsid w:val="2A643EEB"/>
    <w:rsid w:val="2EDC0C65"/>
    <w:rsid w:val="2FDB2CCA"/>
    <w:rsid w:val="302B2641"/>
    <w:rsid w:val="31DD71CE"/>
    <w:rsid w:val="32962515"/>
    <w:rsid w:val="32F742BF"/>
    <w:rsid w:val="33054D56"/>
    <w:rsid w:val="33557238"/>
    <w:rsid w:val="353067F3"/>
    <w:rsid w:val="363D46DF"/>
    <w:rsid w:val="36DF482F"/>
    <w:rsid w:val="37D14DE3"/>
    <w:rsid w:val="3A544683"/>
    <w:rsid w:val="3D8E5A4B"/>
    <w:rsid w:val="3FF864DD"/>
    <w:rsid w:val="41BD60D1"/>
    <w:rsid w:val="429644B3"/>
    <w:rsid w:val="444906F3"/>
    <w:rsid w:val="4469766F"/>
    <w:rsid w:val="462F27EC"/>
    <w:rsid w:val="4A201EF6"/>
    <w:rsid w:val="4BC845F3"/>
    <w:rsid w:val="4D7A7F24"/>
    <w:rsid w:val="4F7B372A"/>
    <w:rsid w:val="4FD55530"/>
    <w:rsid w:val="529A036B"/>
    <w:rsid w:val="52CA50F4"/>
    <w:rsid w:val="54C0055D"/>
    <w:rsid w:val="54E57FC4"/>
    <w:rsid w:val="56726CC6"/>
    <w:rsid w:val="592F3F03"/>
    <w:rsid w:val="59570D64"/>
    <w:rsid w:val="5B376B15"/>
    <w:rsid w:val="5C7828F5"/>
    <w:rsid w:val="5D79399F"/>
    <w:rsid w:val="5D890A3E"/>
    <w:rsid w:val="5DE01B9A"/>
    <w:rsid w:val="5E600744"/>
    <w:rsid w:val="5F140499"/>
    <w:rsid w:val="5F7A1C50"/>
    <w:rsid w:val="60EA0C0F"/>
    <w:rsid w:val="619F599E"/>
    <w:rsid w:val="63BB1FFB"/>
    <w:rsid w:val="666D0555"/>
    <w:rsid w:val="669E1D73"/>
    <w:rsid w:val="67D16185"/>
    <w:rsid w:val="685748DD"/>
    <w:rsid w:val="685968A7"/>
    <w:rsid w:val="6A0E36C1"/>
    <w:rsid w:val="6B142F59"/>
    <w:rsid w:val="6BA4739F"/>
    <w:rsid w:val="6D5C2995"/>
    <w:rsid w:val="6F0C33FE"/>
    <w:rsid w:val="70CB40BA"/>
    <w:rsid w:val="717C0600"/>
    <w:rsid w:val="718D75C1"/>
    <w:rsid w:val="730779E7"/>
    <w:rsid w:val="73B726D3"/>
    <w:rsid w:val="73EF6311"/>
    <w:rsid w:val="753164B5"/>
    <w:rsid w:val="75AC0DC8"/>
    <w:rsid w:val="77950FE2"/>
    <w:rsid w:val="790A614F"/>
    <w:rsid w:val="7A5A200A"/>
    <w:rsid w:val="7AB21E46"/>
    <w:rsid w:val="7D225061"/>
    <w:rsid w:val="7D4B0BB9"/>
    <w:rsid w:val="7E98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"/>
    <w:basedOn w:val="1"/>
    <w:qFormat/>
    <w:uiPriority w:val="0"/>
    <w:pPr>
      <w:tabs>
        <w:tab w:val="left" w:pos="360"/>
      </w:tabs>
      <w:spacing w:after="200" w:afterAutospacing="0" w:line="273" w:lineRule="auto"/>
      <w:ind w:left="360" w:hanging="360"/>
      <w:contextualSpacing/>
      <w:jc w:val="left"/>
    </w:pPr>
    <w:rPr>
      <w:rFonts w:hint="default" w:ascii="Cambria" w:hAnsi="Cambria" w:eastAsia="MS Mincho" w:cs="Times New Roman"/>
      <w:kern w:val="0"/>
      <w:sz w:val="22"/>
      <w:szCs w:val="22"/>
      <w:lang w:val="en-US" w:eastAsia="zh-CN" w:bidi="ar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99"/>
    <w:pPr>
      <w:spacing w:after="120"/>
    </w:p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无间隔1"/>
    <w:qFormat/>
    <w:uiPriority w:val="1"/>
    <w:pPr>
      <w:widowControl w:val="0"/>
      <w:spacing w:line="400" w:lineRule="exact"/>
      <w:ind w:firstLine="200" w:firstLineChars="200"/>
      <w:jc w:val="both"/>
    </w:pPr>
    <w:rPr>
      <w:rFonts w:ascii="Cambria" w:hAnsi="Cambria" w:eastAsia="宋体" w:cs="Times New Roman"/>
      <w:kern w:val="2"/>
      <w:sz w:val="21"/>
      <w:szCs w:val="22"/>
      <w:lang w:val="en-US" w:eastAsia="zh-CN" w:bidi="ar-SA"/>
    </w:rPr>
  </w:style>
  <w:style w:type="character" w:customStyle="1" w:styleId="16">
    <w:name w:val="页眉 字符"/>
    <w:basedOn w:val="13"/>
    <w:link w:val="9"/>
    <w:qFormat/>
    <w:uiPriority w:val="0"/>
    <w:rPr>
      <w:rFonts w:ascii="等线" w:hAnsi="等线" w:eastAsia="等线" w:cs="等线"/>
      <w:kern w:val="2"/>
      <w:sz w:val="18"/>
      <w:szCs w:val="18"/>
    </w:rPr>
  </w:style>
  <w:style w:type="character" w:customStyle="1" w:styleId="17">
    <w:name w:val="页脚 字符"/>
    <w:basedOn w:val="13"/>
    <w:link w:val="8"/>
    <w:qFormat/>
    <w:uiPriority w:val="0"/>
    <w:rPr>
      <w:rFonts w:ascii="等线" w:hAnsi="等线" w:eastAsia="等线" w:cs="等线"/>
      <w:kern w:val="2"/>
      <w:sz w:val="18"/>
      <w:szCs w:val="18"/>
    </w:rPr>
  </w:style>
  <w:style w:type="character" w:customStyle="1" w:styleId="18">
    <w:name w:val="font21"/>
    <w:basedOn w:val="13"/>
    <w:autoRedefine/>
    <w:qFormat/>
    <w:uiPriority w:val="0"/>
    <w:rPr>
      <w:rFonts w:ascii="Calibri" w:hAnsi="Calibri" w:cs="Calibri"/>
      <w:color w:val="FF0000"/>
      <w:sz w:val="21"/>
      <w:szCs w:val="21"/>
      <w:u w:val="none"/>
    </w:rPr>
  </w:style>
  <w:style w:type="character" w:customStyle="1" w:styleId="19">
    <w:name w:val="font1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3981</Words>
  <Characters>4891</Characters>
  <Lines>7</Lines>
  <Paragraphs>2</Paragraphs>
  <TotalTime>1</TotalTime>
  <ScaleCrop>false</ScaleCrop>
  <LinksUpToDate>false</LinksUpToDate>
  <CharactersWithSpaces>4937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2021-12-29T00:54:00Z</dcterms:created>
  <dc:creator>李克元</dc:creator>
  <cp:lastModifiedBy>汪文琪</cp:lastModifiedBy>
  <cp:lastPrinted>2026-05-13T09:05:00Z</cp:lastPrinted>
  <dcterms:modified xsi:type="dcterms:W3CDTF">2026-07-07T08:19:53Z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715672774AC449F0A10F11D4D1982F64</vt:lpwstr>
  </property>
  <property fmtid="{D5CDD505-2E9C-101B-9397-08002B2CF9AE}" pid="4" name="KSOTemplateDocerSaveRecord">
    <vt:lpwstr>eyJoZGlkIjoiNTA0MTEzZDlmZDQyOGM3NWM0MzQyMzU3YjdjNDc1NDciLCJ1c2VySWQiOiIxNjQzODk0NTU4In0=</vt:lpwstr>
  </property>
</Properties>
</file>