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CF92A1">
      <w:pPr>
        <w:rPr>
          <w:rFonts w:ascii="仿宋_GB2312" w:eastAsia="仿宋_GB2312"/>
          <w:sz w:val="32"/>
          <w:szCs w:val="32"/>
        </w:rPr>
      </w:pPr>
      <w:r>
        <w:rPr>
          <w:rFonts w:hint="eastAsia" w:ascii="仿宋_GB2312" w:eastAsia="仿宋_GB2312"/>
          <w:sz w:val="32"/>
          <w:szCs w:val="32"/>
        </w:rPr>
        <w:t>附件1</w:t>
      </w:r>
    </w:p>
    <w:p w14:paraId="0D68AE8A">
      <w:pPr>
        <w:jc w:val="center"/>
        <w:rPr>
          <w:color w:val="000000"/>
        </w:rPr>
      </w:pPr>
      <w:r>
        <w:rPr>
          <w:rFonts w:hint="eastAsia" w:ascii="方正小标宋_GBK" w:eastAsia="方正小标宋_GBK"/>
          <w:color w:val="000000"/>
          <w:sz w:val="44"/>
          <w:szCs w:val="44"/>
        </w:rPr>
        <w:t>反向竞价需求响应表</w:t>
      </w:r>
    </w:p>
    <w:tbl>
      <w:tblPr>
        <w:tblStyle w:val="7"/>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
        <w:gridCol w:w="1084"/>
        <w:gridCol w:w="415"/>
        <w:gridCol w:w="861"/>
        <w:gridCol w:w="992"/>
        <w:gridCol w:w="4111"/>
        <w:gridCol w:w="992"/>
        <w:gridCol w:w="748"/>
      </w:tblGrid>
      <w:tr w14:paraId="1E48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634" w:type="dxa"/>
            <w:gridSpan w:val="8"/>
            <w:vAlign w:val="center"/>
          </w:tcPr>
          <w:p w14:paraId="261082DE">
            <w:pPr>
              <w:widowControl/>
              <w:spacing w:line="400" w:lineRule="exact"/>
              <w:jc w:val="left"/>
              <w:textAlignment w:val="center"/>
              <w:rPr>
                <w:rFonts w:ascii="仿宋_GB2312" w:hAnsi="宋体" w:eastAsia="仿宋_GB2312"/>
                <w:b/>
                <w:bCs/>
                <w:color w:val="000000"/>
                <w:sz w:val="24"/>
              </w:rPr>
            </w:pPr>
            <w:r>
              <w:rPr>
                <w:rFonts w:hint="eastAsia" w:ascii="仿宋_GB2312" w:hAnsi="宋体" w:eastAsia="仿宋_GB2312"/>
                <w:b/>
                <w:bCs/>
                <w:color w:val="000000"/>
                <w:sz w:val="24"/>
              </w:rPr>
              <w:t>项目名称：中国—东盟“AI+统计”实验室一期项目硬件环境建设项目（向海经济实验室计算能力提升项目）</w:t>
            </w:r>
          </w:p>
          <w:p w14:paraId="1AD4E44A">
            <w:pPr>
              <w:widowControl/>
              <w:spacing w:line="400" w:lineRule="exact"/>
              <w:jc w:val="left"/>
              <w:textAlignment w:val="center"/>
              <w:rPr>
                <w:rFonts w:hint="eastAsia" w:ascii="仿宋_GB2312" w:hAnsi="宋体" w:eastAsia="仿宋_GB2312"/>
                <w:b/>
                <w:bCs/>
                <w:color w:val="000000"/>
                <w:sz w:val="24"/>
              </w:rPr>
            </w:pPr>
            <w:r>
              <w:rPr>
                <w:rFonts w:hint="eastAsia" w:ascii="仿宋_GB2312" w:hAnsi="宋体" w:eastAsia="仿宋_GB2312"/>
                <w:b/>
                <w:bCs/>
                <w:color w:val="000000"/>
                <w:sz w:val="24"/>
              </w:rPr>
              <w:t>项目预算：918500.00元</w:t>
            </w:r>
          </w:p>
        </w:tc>
      </w:tr>
      <w:tr w14:paraId="6CDB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634" w:type="dxa"/>
            <w:gridSpan w:val="8"/>
            <w:vAlign w:val="center"/>
          </w:tcPr>
          <w:p w14:paraId="45F91467">
            <w:pPr>
              <w:widowControl/>
              <w:spacing w:line="400" w:lineRule="exact"/>
              <w:jc w:val="left"/>
              <w:textAlignment w:val="center"/>
              <w:rPr>
                <w:rFonts w:hint="eastAsia" w:ascii="仿宋_GB2312" w:hAnsi="宋体" w:eastAsia="仿宋_GB2312"/>
                <w:color w:val="000000"/>
                <w:sz w:val="24"/>
              </w:rPr>
            </w:pPr>
            <w:r>
              <w:rPr>
                <w:rFonts w:hint="eastAsia" w:ascii="仿宋_GB2312" w:hAnsi="宋体" w:eastAsia="仿宋_GB2312"/>
                <w:b/>
                <w:bCs/>
                <w:color w:val="000000"/>
                <w:sz w:val="24"/>
              </w:rPr>
              <w:t>一、项目采购需求：</w:t>
            </w:r>
          </w:p>
        </w:tc>
      </w:tr>
      <w:tr w14:paraId="12293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1" w:type="dxa"/>
            <w:vAlign w:val="center"/>
          </w:tcPr>
          <w:p w14:paraId="7B5712E4">
            <w:pPr>
              <w:widowControl/>
              <w:spacing w:line="400" w:lineRule="exact"/>
              <w:jc w:val="center"/>
              <w:textAlignment w:val="center"/>
              <w:rPr>
                <w:rFonts w:hint="eastAsia" w:ascii="仿宋_GB2312" w:hAnsi="宋体" w:eastAsia="仿宋_GB2312"/>
                <w:b/>
                <w:bCs/>
                <w:color w:val="000000"/>
                <w:sz w:val="24"/>
              </w:rPr>
            </w:pPr>
            <w:r>
              <w:rPr>
                <w:rFonts w:hint="eastAsia" w:ascii="仿宋_GB2312" w:hAnsi="宋体" w:eastAsia="仿宋_GB2312"/>
                <w:b/>
                <w:bCs/>
                <w:color w:val="000000"/>
                <w:sz w:val="24"/>
              </w:rPr>
              <w:t>序号</w:t>
            </w:r>
          </w:p>
        </w:tc>
        <w:tc>
          <w:tcPr>
            <w:tcW w:w="1499" w:type="dxa"/>
            <w:gridSpan w:val="2"/>
            <w:vAlign w:val="center"/>
          </w:tcPr>
          <w:p w14:paraId="2B3D7E04">
            <w:pPr>
              <w:widowControl/>
              <w:spacing w:line="400" w:lineRule="exact"/>
              <w:jc w:val="center"/>
              <w:textAlignment w:val="center"/>
              <w:rPr>
                <w:rFonts w:hint="eastAsia" w:ascii="仿宋_GB2312" w:hAnsi="宋体" w:eastAsia="仿宋_GB2312"/>
                <w:b/>
                <w:bCs/>
                <w:color w:val="000000"/>
                <w:sz w:val="24"/>
              </w:rPr>
            </w:pPr>
            <w:r>
              <w:rPr>
                <w:rFonts w:hint="eastAsia" w:ascii="仿宋_GB2312" w:hAnsi="宋体" w:eastAsia="仿宋_GB2312"/>
                <w:b/>
                <w:bCs/>
                <w:color w:val="000000"/>
                <w:sz w:val="24"/>
              </w:rPr>
              <w:t>标的名称</w:t>
            </w:r>
          </w:p>
        </w:tc>
        <w:tc>
          <w:tcPr>
            <w:tcW w:w="861" w:type="dxa"/>
            <w:vAlign w:val="center"/>
          </w:tcPr>
          <w:p w14:paraId="4DD3A8B3">
            <w:pPr>
              <w:widowControl/>
              <w:spacing w:line="400" w:lineRule="exact"/>
              <w:jc w:val="center"/>
              <w:textAlignment w:val="center"/>
              <w:rPr>
                <w:rFonts w:hint="eastAsia" w:ascii="仿宋_GB2312" w:hAnsi="宋体" w:eastAsia="仿宋_GB2312"/>
                <w:b/>
                <w:bCs/>
                <w:color w:val="000000"/>
                <w:sz w:val="24"/>
              </w:rPr>
            </w:pPr>
            <w:r>
              <w:rPr>
                <w:rFonts w:hint="eastAsia" w:ascii="仿宋_GB2312" w:hAnsi="宋体" w:eastAsia="仿宋_GB2312"/>
                <w:b/>
                <w:bCs/>
                <w:color w:val="000000"/>
                <w:sz w:val="24"/>
              </w:rPr>
              <w:t>品牌</w:t>
            </w:r>
          </w:p>
          <w:p w14:paraId="4A4A7B3E">
            <w:pPr>
              <w:widowControl/>
              <w:spacing w:line="400" w:lineRule="exact"/>
              <w:jc w:val="center"/>
              <w:textAlignment w:val="center"/>
              <w:rPr>
                <w:rFonts w:hint="eastAsia" w:ascii="仿宋_GB2312" w:hAnsi="宋体" w:eastAsia="仿宋_GB2312"/>
                <w:b/>
                <w:bCs/>
                <w:color w:val="000000"/>
                <w:sz w:val="24"/>
              </w:rPr>
            </w:pPr>
            <w:r>
              <w:rPr>
                <w:rFonts w:hint="eastAsia" w:ascii="仿宋_GB2312" w:hAnsi="宋体" w:eastAsia="仿宋_GB2312"/>
                <w:b/>
                <w:bCs/>
                <w:color w:val="000000"/>
                <w:sz w:val="24"/>
              </w:rPr>
              <w:t>型号</w:t>
            </w:r>
          </w:p>
        </w:tc>
        <w:tc>
          <w:tcPr>
            <w:tcW w:w="992" w:type="dxa"/>
            <w:vAlign w:val="center"/>
          </w:tcPr>
          <w:p w14:paraId="5FADC68B">
            <w:pPr>
              <w:widowControl/>
              <w:spacing w:line="400" w:lineRule="exact"/>
              <w:jc w:val="center"/>
              <w:textAlignment w:val="center"/>
              <w:rPr>
                <w:rFonts w:hint="eastAsia" w:ascii="仿宋_GB2312" w:hAnsi="宋体" w:eastAsia="仿宋_GB2312"/>
                <w:b/>
                <w:bCs/>
                <w:color w:val="000000"/>
                <w:sz w:val="24"/>
              </w:rPr>
            </w:pPr>
            <w:r>
              <w:rPr>
                <w:rFonts w:hint="eastAsia" w:ascii="仿宋_GB2312" w:hAnsi="宋体" w:eastAsia="仿宋_GB2312"/>
                <w:b/>
                <w:bCs/>
                <w:color w:val="000000"/>
                <w:sz w:val="24"/>
              </w:rPr>
              <w:t>数量及单位</w:t>
            </w:r>
          </w:p>
        </w:tc>
        <w:tc>
          <w:tcPr>
            <w:tcW w:w="4111" w:type="dxa"/>
            <w:vAlign w:val="center"/>
          </w:tcPr>
          <w:p w14:paraId="5E9B2699">
            <w:pPr>
              <w:widowControl/>
              <w:spacing w:line="400" w:lineRule="exact"/>
              <w:jc w:val="center"/>
              <w:textAlignment w:val="center"/>
              <w:rPr>
                <w:rFonts w:hint="eastAsia" w:ascii="仿宋_GB2312" w:hAnsi="宋体" w:eastAsia="仿宋_GB2312"/>
                <w:b/>
                <w:bCs/>
                <w:color w:val="000000"/>
                <w:sz w:val="24"/>
              </w:rPr>
            </w:pPr>
            <w:r>
              <w:rPr>
                <w:rFonts w:hint="eastAsia" w:ascii="仿宋_GB2312" w:hAnsi="宋体" w:eastAsia="仿宋_GB2312"/>
                <w:b/>
                <w:bCs/>
                <w:color w:val="000000"/>
                <w:sz w:val="24"/>
              </w:rPr>
              <w:t>技术参数（要求中标明“★”号的参数为必须响应的实质性要求；其余参数仅为参考要求，在评标时不作为判定投标无效的依据。）</w:t>
            </w:r>
          </w:p>
        </w:tc>
        <w:tc>
          <w:tcPr>
            <w:tcW w:w="992" w:type="dxa"/>
          </w:tcPr>
          <w:p w14:paraId="398CDF66">
            <w:pPr>
              <w:widowControl/>
              <w:spacing w:line="400" w:lineRule="exact"/>
              <w:jc w:val="center"/>
              <w:textAlignment w:val="center"/>
              <w:rPr>
                <w:rFonts w:hint="eastAsia" w:ascii="仿宋_GB2312" w:hAnsi="宋体" w:eastAsia="仿宋_GB2312"/>
                <w:b/>
                <w:bCs/>
                <w:color w:val="000000"/>
                <w:sz w:val="24"/>
              </w:rPr>
            </w:pPr>
            <w:r>
              <w:rPr>
                <w:rFonts w:hint="eastAsia" w:ascii="仿宋_GB2312" w:hAnsi="宋体" w:eastAsia="仿宋_GB2312"/>
                <w:b/>
                <w:bCs/>
                <w:color w:val="000000"/>
                <w:sz w:val="24"/>
              </w:rPr>
              <w:t>是否   响应</w:t>
            </w:r>
          </w:p>
        </w:tc>
        <w:tc>
          <w:tcPr>
            <w:tcW w:w="748" w:type="dxa"/>
            <w:vAlign w:val="center"/>
          </w:tcPr>
          <w:p w14:paraId="0A9B5CAC">
            <w:pPr>
              <w:widowControl/>
              <w:spacing w:line="400" w:lineRule="exact"/>
              <w:jc w:val="center"/>
              <w:textAlignment w:val="center"/>
              <w:rPr>
                <w:rFonts w:hint="eastAsia" w:ascii="仿宋_GB2312" w:hAnsi="宋体" w:eastAsia="仿宋_GB2312"/>
                <w:b/>
                <w:bCs/>
                <w:color w:val="000000"/>
                <w:sz w:val="24"/>
              </w:rPr>
            </w:pPr>
            <w:r>
              <w:rPr>
                <w:rFonts w:hint="eastAsia" w:ascii="仿宋_GB2312" w:hAnsi="宋体" w:eastAsia="仿宋_GB2312"/>
                <w:b/>
                <w:bCs/>
                <w:color w:val="000000"/>
                <w:sz w:val="24"/>
              </w:rPr>
              <w:t>备注</w:t>
            </w:r>
          </w:p>
        </w:tc>
      </w:tr>
      <w:tr w14:paraId="7B02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1" w:type="dxa"/>
            <w:vAlign w:val="center"/>
          </w:tcPr>
          <w:p w14:paraId="44391920">
            <w:pPr>
              <w:jc w:val="center"/>
              <w:rPr>
                <w:rFonts w:ascii="仿宋_GB2312" w:hAnsi="Calibri" w:eastAsia="仿宋_GB2312" w:cs="宋体"/>
                <w:color w:val="000000"/>
                <w:sz w:val="24"/>
              </w:rPr>
            </w:pPr>
            <w:r>
              <w:rPr>
                <w:rFonts w:hint="eastAsia" w:ascii="仿宋_GB2312" w:hAnsi="Calibri" w:eastAsia="仿宋_GB2312" w:cs="宋体"/>
                <w:color w:val="000000"/>
                <w:sz w:val="24"/>
              </w:rPr>
              <w:t>1</w:t>
            </w:r>
          </w:p>
        </w:tc>
        <w:tc>
          <w:tcPr>
            <w:tcW w:w="1499" w:type="dxa"/>
            <w:gridSpan w:val="2"/>
            <w:vAlign w:val="center"/>
          </w:tcPr>
          <w:p w14:paraId="27CE1BA3">
            <w:pPr>
              <w:rPr>
                <w:rFonts w:ascii="仿宋_GB2312" w:hAnsi="Calibri" w:eastAsia="仿宋_GB2312" w:cs="宋体"/>
                <w:color w:val="000000"/>
                <w:sz w:val="24"/>
              </w:rPr>
            </w:pPr>
            <w:r>
              <w:rPr>
                <w:rFonts w:ascii="Times New Roman" w:hAnsi="Times New Roman" w:cs="Times New Roman"/>
              </w:rPr>
              <w:t>算力服务器</w:t>
            </w:r>
          </w:p>
        </w:tc>
        <w:tc>
          <w:tcPr>
            <w:tcW w:w="861" w:type="dxa"/>
            <w:vAlign w:val="center"/>
          </w:tcPr>
          <w:p w14:paraId="6C040050">
            <w:pPr>
              <w:rPr>
                <w:rFonts w:ascii="仿宋_GB2312" w:hAnsi="Calibri" w:eastAsia="仿宋_GB2312" w:cs="宋体"/>
                <w:color w:val="000000"/>
                <w:sz w:val="24"/>
              </w:rPr>
            </w:pPr>
            <w:r>
              <w:rPr>
                <w:rFonts w:hint="eastAsia" w:ascii="仿宋_GB2312" w:hAnsi="Calibri" w:eastAsia="仿宋_GB2312" w:cs="宋体"/>
                <w:color w:val="000000"/>
                <w:sz w:val="24"/>
                <w:lang w:val="en-US" w:eastAsia="zh-CN"/>
              </w:rPr>
              <w:t>浪潮NF5468A7</w:t>
            </w:r>
          </w:p>
        </w:tc>
        <w:tc>
          <w:tcPr>
            <w:tcW w:w="992" w:type="dxa"/>
            <w:vAlign w:val="center"/>
          </w:tcPr>
          <w:p w14:paraId="3656BF6F">
            <w:pPr>
              <w:rPr>
                <w:rFonts w:hint="default" w:ascii="仿宋_GB2312" w:hAnsi="Calibri" w:eastAsia="仿宋_GB2312" w:cs="宋体"/>
                <w:color w:val="000000"/>
                <w:sz w:val="24"/>
                <w:lang w:val="en-US" w:eastAsia="zh-CN"/>
              </w:rPr>
            </w:pPr>
            <w:r>
              <w:rPr>
                <w:rFonts w:hint="eastAsia" w:ascii="仿宋_GB2312" w:hAnsi="Calibri" w:eastAsia="仿宋_GB2312" w:cs="宋体"/>
                <w:color w:val="000000"/>
                <w:sz w:val="24"/>
                <w:lang w:val="en-US" w:eastAsia="zh-CN"/>
              </w:rPr>
              <w:t>1台</w:t>
            </w:r>
          </w:p>
        </w:tc>
        <w:tc>
          <w:tcPr>
            <w:tcW w:w="4111" w:type="dxa"/>
          </w:tcPr>
          <w:p w14:paraId="422D5400">
            <w:pPr>
              <w:widowControl/>
              <w:snapToGrid w:val="0"/>
              <w:jc w:val="left"/>
              <w:textAlignment w:val="top"/>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一、AI算力服务器</w:t>
            </w:r>
          </w:p>
          <w:p w14:paraId="66A86451">
            <w:pPr>
              <w:widowControl/>
              <w:snapToGrid w:val="0"/>
              <w:jc w:val="left"/>
              <w:textAlignment w:val="top"/>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1.基本架构：≤4U机架式服务器。</w:t>
            </w:r>
          </w:p>
          <w:p w14:paraId="603AA8FC">
            <w:pPr>
              <w:widowControl/>
              <w:snapToGrid w:val="0"/>
              <w:jc w:val="left"/>
              <w:textAlignment w:val="top"/>
              <w:rPr>
                <w:rFonts w:ascii="Times New Roman" w:hAnsi="Times New Roman" w:cs="Times New Roman"/>
                <w:color w:val="000000"/>
                <w:kern w:val="0"/>
                <w:szCs w:val="21"/>
                <w:lang w:bidi="ar"/>
              </w:rPr>
            </w:pPr>
            <w:r>
              <w:rPr>
                <w:rFonts w:hint="eastAsia" w:ascii="Times New Roman" w:hAnsi="Times New Roman" w:cs="Times New Roman"/>
                <w:color w:val="000000"/>
                <w:kern w:val="0"/>
                <w:szCs w:val="21"/>
                <w:lang w:bidi="ar"/>
              </w:rPr>
              <w:t>★</w:t>
            </w:r>
            <w:r>
              <w:rPr>
                <w:rFonts w:ascii="Times New Roman" w:hAnsi="Times New Roman" w:cs="Times New Roman"/>
                <w:color w:val="000000"/>
                <w:kern w:val="0"/>
                <w:szCs w:val="21"/>
                <w:lang w:bidi="ar"/>
              </w:rPr>
              <w:t>2.核心计算单元：</w:t>
            </w:r>
          </w:p>
          <w:p w14:paraId="256C274F">
            <w:pPr>
              <w:widowControl/>
              <w:snapToGrid w:val="0"/>
              <w:jc w:val="left"/>
              <w:textAlignment w:val="top"/>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（1</w:t>
            </w:r>
            <w:r>
              <w:rPr>
                <w:rFonts w:hint="eastAsia" w:cs="Times New Roman"/>
                <w:color w:val="000000"/>
                <w:kern w:val="0"/>
                <w:szCs w:val="21"/>
                <w:lang w:eastAsia="zh-CN" w:bidi="ar"/>
              </w:rPr>
              <w:t>）</w:t>
            </w:r>
            <w:r>
              <w:rPr>
                <w:rFonts w:ascii="Times New Roman" w:hAnsi="Times New Roman" w:cs="Times New Roman"/>
                <w:color w:val="000000"/>
                <w:kern w:val="0"/>
                <w:szCs w:val="21"/>
                <w:lang w:bidi="ar"/>
              </w:rPr>
              <w:t>CPU：配置≥2颗96核、主频≥2.4GHz的x86架构处理器。</w:t>
            </w:r>
          </w:p>
          <w:p w14:paraId="196B4EDD">
            <w:pPr>
              <w:widowControl/>
              <w:snapToGrid w:val="0"/>
              <w:jc w:val="left"/>
              <w:textAlignment w:val="top"/>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（2）GPU：配置≥8张NVIDIA L20 GPU卡，单卡显存≥48GB。整机需满足满配8张全高GPU卡后，仍具备≥8个PCIe 4.0插槽冗余。</w:t>
            </w:r>
          </w:p>
          <w:p w14:paraId="79D1264F">
            <w:pPr>
              <w:widowControl/>
              <w:snapToGrid w:val="0"/>
              <w:jc w:val="left"/>
              <w:textAlignment w:val="top"/>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3.内存与存储：</w:t>
            </w:r>
          </w:p>
          <w:p w14:paraId="40BD7ADF">
            <w:pPr>
              <w:widowControl/>
              <w:snapToGrid w:val="0"/>
              <w:jc w:val="left"/>
              <w:textAlignment w:val="top"/>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（1）内存：配置≥16条32GB DDR5内存条，整机需支持≥</w:t>
            </w:r>
            <w:r>
              <w:rPr>
                <w:rFonts w:hint="eastAsia" w:ascii="Times New Roman" w:hAnsi="Times New Roman" w:cs="Times New Roman"/>
                <w:color w:val="000000"/>
                <w:kern w:val="0"/>
                <w:szCs w:val="21"/>
                <w:lang w:val="en-US" w:eastAsia="zh-CN" w:bidi="ar"/>
              </w:rPr>
              <w:t>24</w:t>
            </w:r>
            <w:r>
              <w:rPr>
                <w:rFonts w:ascii="Times New Roman" w:hAnsi="Times New Roman" w:cs="Times New Roman"/>
                <w:color w:val="000000"/>
                <w:kern w:val="0"/>
                <w:szCs w:val="21"/>
                <w:lang w:bidi="ar"/>
              </w:rPr>
              <w:t>个内存插槽。</w:t>
            </w:r>
          </w:p>
          <w:p w14:paraId="08CE2DAC">
            <w:pPr>
              <w:widowControl/>
              <w:snapToGrid w:val="0"/>
              <w:jc w:val="left"/>
              <w:textAlignment w:val="top"/>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（2）存储：配置≥2块3.84TB NVMe SSD固态硬盘及≥2块8TB SATA机械硬盘。配置≥1张支持RAID 0/1/5/6的RAID控制卡。</w:t>
            </w:r>
          </w:p>
          <w:p w14:paraId="1E8888AE">
            <w:pPr>
              <w:widowControl/>
              <w:snapToGrid w:val="0"/>
              <w:jc w:val="left"/>
              <w:textAlignment w:val="top"/>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4.网络与扩展：板载≥2个10Gbps及≥2个25Gbps网络接口（含多模光模块）。板载≥4个USB接口（其中≥3个为USB 3.0）</w:t>
            </w:r>
            <w:r>
              <w:rPr>
                <w:rFonts w:hint="eastAsia" w:cs="Times New Roman"/>
                <w:color w:val="000000"/>
                <w:kern w:val="0"/>
                <w:szCs w:val="21"/>
                <w:lang w:eastAsia="zh-CN" w:bidi="ar"/>
              </w:rPr>
              <w:t>，</w:t>
            </w:r>
            <w:r>
              <w:rPr>
                <w:rFonts w:ascii="Times New Roman" w:hAnsi="Times New Roman" w:cs="Times New Roman"/>
                <w:color w:val="000000"/>
                <w:kern w:val="0"/>
                <w:szCs w:val="21"/>
                <w:lang w:bidi="ar"/>
              </w:rPr>
              <w:t>≥2个VGA接口。</w:t>
            </w:r>
          </w:p>
          <w:p w14:paraId="7AB6F9CD">
            <w:pPr>
              <w:widowControl/>
              <w:snapToGrid w:val="0"/>
              <w:jc w:val="left"/>
              <w:textAlignment w:val="top"/>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5.供电与散热：配置≥4个3000W热插拔电源模块，支持2+2冗余，需满足8块GPU卡的供电需求。配置≥6个热插拔风扇模块，支持N+1冗余。</w:t>
            </w:r>
          </w:p>
          <w:p w14:paraId="74761394">
            <w:pPr>
              <w:widowControl/>
              <w:snapToGrid w:val="0"/>
              <w:jc w:val="left"/>
              <w:textAlignment w:val="top"/>
              <w:rPr>
                <w:rFonts w:ascii="Times New Roman" w:hAnsi="Times New Roman" w:cs="Times New Roman"/>
                <w:color w:val="000000"/>
                <w:kern w:val="0"/>
                <w:szCs w:val="21"/>
                <w:lang w:bidi="ar"/>
              </w:rPr>
            </w:pPr>
            <w:r>
              <w:rPr>
                <w:rFonts w:hint="eastAsia" w:ascii="Times New Roman" w:hAnsi="Times New Roman" w:cs="Times New Roman"/>
                <w:color w:val="000000"/>
                <w:kern w:val="0"/>
                <w:szCs w:val="21"/>
                <w:lang w:bidi="ar"/>
              </w:rPr>
              <w:t>★</w:t>
            </w:r>
            <w:r>
              <w:rPr>
                <w:rFonts w:ascii="Times New Roman" w:hAnsi="Times New Roman" w:cs="Times New Roman"/>
                <w:color w:val="000000"/>
                <w:kern w:val="0"/>
                <w:szCs w:val="21"/>
                <w:lang w:bidi="ar"/>
              </w:rPr>
              <w:t>6.质保与服务：提供三年原厂标准质保，质保期内每年提供1次原厂工程师上门巡检并出具检测报告。</w:t>
            </w:r>
          </w:p>
          <w:p w14:paraId="031FCBA0">
            <w:pPr>
              <w:widowControl/>
              <w:snapToGrid w:val="0"/>
              <w:jc w:val="left"/>
              <w:textAlignment w:val="top"/>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二、AI大模型管理平台</w:t>
            </w:r>
          </w:p>
          <w:p w14:paraId="64E02D8C">
            <w:pPr>
              <w:widowControl/>
              <w:snapToGrid w:val="0"/>
              <w:jc w:val="left"/>
              <w:textAlignment w:val="top"/>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1.平台总体要求：平台需提供从模型管理、知识库构建到应用编排、部署监控的全流程能力，支持快速构建私有问答助手、智能客服等大模型应用。</w:t>
            </w:r>
          </w:p>
          <w:p w14:paraId="49182D5A">
            <w:pPr>
              <w:widowControl/>
              <w:snapToGrid w:val="0"/>
              <w:jc w:val="left"/>
              <w:textAlignment w:val="top"/>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2.核心功能模块：</w:t>
            </w:r>
          </w:p>
          <w:p w14:paraId="3DB99B92">
            <w:pPr>
              <w:widowControl/>
              <w:snapToGrid w:val="0"/>
              <w:jc w:val="left"/>
              <w:textAlignment w:val="top"/>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（1）部署与运维：支持组件自动化部署、配置多版本管理与回退。提供图形化资源监控、服务启停管理、周期性健康诊断及统一的日志管理界面。</w:t>
            </w:r>
          </w:p>
          <w:p w14:paraId="0615050A">
            <w:pPr>
              <w:widowControl/>
              <w:snapToGrid w:val="0"/>
              <w:jc w:val="left"/>
              <w:textAlignment w:val="top"/>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（2）用户与权限：提供用户管理，支持LDAP，具备完善的知识库、应用及模型接入权限控制体系。</w:t>
            </w:r>
          </w:p>
          <w:p w14:paraId="46DDD571">
            <w:pPr>
              <w:widowControl/>
              <w:snapToGrid w:val="0"/>
              <w:jc w:val="left"/>
              <w:textAlignment w:val="top"/>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（3）模型管理：内置DeepSeek、Qwen等大模型及BGE向量化模型。支持通过API KEY广泛接入国内外主流公有/私有大语言模型、向量模型及多模态模型，并支持模型参数自定义与公私权限设置。</w:t>
            </w:r>
          </w:p>
          <w:p w14:paraId="6717E0AD">
            <w:pPr>
              <w:widowControl/>
              <w:snapToGrid w:val="0"/>
              <w:jc w:val="left"/>
              <w:textAlignment w:val="top"/>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（4）知识库管理：支持文档型与Web型知识库构建。支持上传多种格式文档（包括带图片的Markdown与表格），并提供智能分段、关联问题、命中测试、向量/全文/混合检索等功能，以优化问答准确性。</w:t>
            </w:r>
          </w:p>
          <w:p w14:paraId="170F9964">
            <w:pPr>
              <w:widowControl/>
              <w:snapToGrid w:val="0"/>
              <w:jc w:val="left"/>
              <w:textAlignment w:val="top"/>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5）应用构建与管理：支持通过配置化方式快速创建知识助手和通过拖拽工作流方式编排智能体应用。内置AI对话、知识库检索等丰富组件模板，支持函数库集成。应用支持公开链接、API、嵌入第三方等多种发布方式，并具备访问限制、用量统计、对话日志与用户反馈分析功能。</w:t>
            </w:r>
          </w:p>
          <w:p w14:paraId="295C3551">
            <w:pPr>
              <w:widowControl/>
              <w:snapToGrid w:val="0"/>
              <w:jc w:val="left"/>
              <w:textAlignment w:val="top"/>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（6）辅助工具：平台需内置智能运维小助手及联网搜索智能体，降低运维门槛并扩展应用能力。</w:t>
            </w:r>
          </w:p>
          <w:p w14:paraId="151CD4A0">
            <w:pPr>
              <w:widowControl/>
              <w:jc w:val="left"/>
              <w:outlineLvl w:val="0"/>
              <w:rPr>
                <w:rFonts w:ascii="仿宋_GB2312" w:hAnsi="Calibri" w:eastAsia="仿宋_GB2312" w:cs="宋体"/>
                <w:color w:val="000000"/>
                <w:sz w:val="24"/>
              </w:rPr>
            </w:pPr>
            <w:r>
              <w:rPr>
                <w:rFonts w:hint="eastAsia" w:ascii="Times New Roman" w:hAnsi="Times New Roman" w:cs="Times New Roman"/>
                <w:color w:val="000000"/>
                <w:kern w:val="0"/>
                <w:szCs w:val="21"/>
                <w:lang w:bidi="ar"/>
              </w:rPr>
              <w:t>★</w:t>
            </w:r>
            <w:r>
              <w:rPr>
                <w:rFonts w:ascii="Times New Roman" w:hAnsi="Times New Roman" w:cs="Times New Roman"/>
                <w:color w:val="000000"/>
                <w:kern w:val="0"/>
                <w:szCs w:val="21"/>
                <w:lang w:bidi="ar"/>
              </w:rPr>
              <w:t>3.证明材料：</w:t>
            </w:r>
            <w:r>
              <w:rPr>
                <w:rFonts w:hint="eastAsia" w:cs="Times New Roman"/>
                <w:color w:val="000000"/>
                <w:kern w:val="0"/>
                <w:szCs w:val="21"/>
                <w:lang w:val="en-US" w:eastAsia="zh-CN" w:bidi="ar"/>
              </w:rPr>
              <w:t>供货</w:t>
            </w:r>
            <w:r>
              <w:rPr>
                <w:rFonts w:ascii="Times New Roman" w:hAnsi="Times New Roman" w:cs="Times New Roman"/>
                <w:color w:val="000000"/>
                <w:kern w:val="0"/>
                <w:szCs w:val="21"/>
                <w:lang w:bidi="ar"/>
              </w:rPr>
              <w:t>时需提供平台功能中关于日志管理、用户权限管理、文档管理、内置运维助手及联网搜索功能的相关界面截图。</w:t>
            </w:r>
          </w:p>
        </w:tc>
        <w:tc>
          <w:tcPr>
            <w:tcW w:w="992" w:type="dxa"/>
            <w:vAlign w:val="center"/>
          </w:tcPr>
          <w:p w14:paraId="3AF3EC79">
            <w:pPr>
              <w:widowControl/>
              <w:spacing w:line="400" w:lineRule="exact"/>
              <w:jc w:val="center"/>
              <w:textAlignment w:val="center"/>
              <w:rPr>
                <w:rFonts w:ascii="仿宋_GB2312" w:hAnsi="Calibri" w:eastAsia="仿宋_GB2312" w:cs="宋体"/>
                <w:color w:val="000000"/>
                <w:sz w:val="24"/>
              </w:rPr>
            </w:pPr>
          </w:p>
        </w:tc>
        <w:tc>
          <w:tcPr>
            <w:tcW w:w="748" w:type="dxa"/>
            <w:vAlign w:val="center"/>
          </w:tcPr>
          <w:p w14:paraId="71042633">
            <w:pPr>
              <w:widowControl/>
              <w:spacing w:line="400" w:lineRule="exact"/>
              <w:jc w:val="center"/>
              <w:textAlignment w:val="center"/>
              <w:rPr>
                <w:rFonts w:ascii="仿宋_GB2312" w:hAnsi="Calibri" w:eastAsia="仿宋_GB2312" w:cs="宋体"/>
                <w:color w:val="000000"/>
                <w:sz w:val="24"/>
              </w:rPr>
            </w:pPr>
          </w:p>
        </w:tc>
      </w:tr>
      <w:tr w14:paraId="4B11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4" w:type="dxa"/>
            <w:gridSpan w:val="8"/>
            <w:vAlign w:val="center"/>
          </w:tcPr>
          <w:p w14:paraId="074530EE">
            <w:pPr>
              <w:widowControl/>
              <w:spacing w:line="400" w:lineRule="exact"/>
              <w:jc w:val="left"/>
              <w:textAlignment w:val="center"/>
              <w:rPr>
                <w:rFonts w:hint="eastAsia" w:ascii="仿宋_GB2312" w:hAnsi="宋体" w:eastAsia="仿宋_GB2312"/>
                <w:b/>
                <w:bCs/>
                <w:color w:val="000000"/>
                <w:sz w:val="24"/>
              </w:rPr>
            </w:pPr>
            <w:r>
              <w:rPr>
                <w:rFonts w:hint="eastAsia" w:ascii="仿宋_GB2312" w:hAnsi="宋体" w:eastAsia="仿宋_GB2312"/>
                <w:b/>
                <w:bCs/>
                <w:color w:val="000000"/>
                <w:sz w:val="24"/>
              </w:rPr>
              <w:t>二、商务要求：</w:t>
            </w:r>
          </w:p>
        </w:tc>
      </w:tr>
      <w:tr w14:paraId="057B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5" w:type="dxa"/>
            <w:gridSpan w:val="2"/>
            <w:vAlign w:val="center"/>
          </w:tcPr>
          <w:p w14:paraId="2F17D3DD">
            <w:pPr>
              <w:widowControl/>
              <w:spacing w:line="400" w:lineRule="exact"/>
              <w:jc w:val="center"/>
              <w:textAlignment w:val="center"/>
              <w:rPr>
                <w:rFonts w:hint="eastAsia" w:ascii="仿宋_GB2312" w:hAnsi="宋体" w:eastAsia="仿宋_GB2312"/>
                <w:b/>
                <w:bCs/>
                <w:color w:val="000000"/>
                <w:sz w:val="24"/>
              </w:rPr>
            </w:pPr>
            <w:r>
              <w:rPr>
                <w:rFonts w:hint="eastAsia" w:ascii="仿宋_GB2312" w:hAnsi="宋体" w:eastAsia="仿宋_GB2312"/>
                <w:b/>
                <w:bCs/>
                <w:color w:val="000000"/>
                <w:sz w:val="24"/>
              </w:rPr>
              <w:t>要求名称</w:t>
            </w:r>
          </w:p>
        </w:tc>
        <w:tc>
          <w:tcPr>
            <w:tcW w:w="6379" w:type="dxa"/>
            <w:gridSpan w:val="4"/>
            <w:vAlign w:val="center"/>
          </w:tcPr>
          <w:p w14:paraId="3A9AB5A1">
            <w:pPr>
              <w:widowControl/>
              <w:spacing w:line="400" w:lineRule="exact"/>
              <w:jc w:val="center"/>
              <w:textAlignment w:val="center"/>
              <w:rPr>
                <w:rFonts w:hint="eastAsia" w:ascii="仿宋_GB2312" w:hAnsi="宋体" w:eastAsia="仿宋_GB2312"/>
                <w:b/>
                <w:bCs/>
                <w:color w:val="000000"/>
                <w:sz w:val="24"/>
              </w:rPr>
            </w:pPr>
            <w:r>
              <w:rPr>
                <w:rFonts w:hint="eastAsia" w:ascii="仿宋_GB2312" w:hAnsi="宋体" w:eastAsia="仿宋_GB2312"/>
                <w:b/>
                <w:bCs/>
                <w:color w:val="000000"/>
                <w:sz w:val="24"/>
              </w:rPr>
              <w:t>要求内容</w:t>
            </w:r>
          </w:p>
        </w:tc>
        <w:tc>
          <w:tcPr>
            <w:tcW w:w="992" w:type="dxa"/>
            <w:vAlign w:val="center"/>
          </w:tcPr>
          <w:p w14:paraId="0E927869">
            <w:pPr>
              <w:widowControl/>
              <w:spacing w:line="400" w:lineRule="exact"/>
              <w:jc w:val="center"/>
              <w:textAlignment w:val="center"/>
              <w:rPr>
                <w:rFonts w:hint="eastAsia" w:ascii="仿宋_GB2312" w:hAnsi="宋体" w:eastAsia="仿宋_GB2312"/>
                <w:b/>
                <w:bCs/>
                <w:color w:val="000000"/>
                <w:sz w:val="24"/>
              </w:rPr>
            </w:pPr>
            <w:r>
              <w:rPr>
                <w:rFonts w:hint="eastAsia" w:ascii="仿宋_GB2312" w:hAnsi="宋体" w:eastAsia="仿宋_GB2312"/>
                <w:b/>
                <w:bCs/>
                <w:color w:val="000000"/>
                <w:sz w:val="24"/>
              </w:rPr>
              <w:t>是否   响应</w:t>
            </w:r>
          </w:p>
        </w:tc>
        <w:tc>
          <w:tcPr>
            <w:tcW w:w="748" w:type="dxa"/>
            <w:vAlign w:val="center"/>
          </w:tcPr>
          <w:p w14:paraId="12688008">
            <w:pPr>
              <w:widowControl/>
              <w:spacing w:line="400" w:lineRule="exact"/>
              <w:jc w:val="center"/>
              <w:textAlignment w:val="center"/>
              <w:rPr>
                <w:rFonts w:hint="eastAsia" w:ascii="仿宋_GB2312" w:hAnsi="宋体" w:eastAsia="仿宋_GB2312"/>
                <w:b/>
                <w:bCs/>
                <w:color w:val="000000"/>
                <w:sz w:val="24"/>
              </w:rPr>
            </w:pPr>
            <w:r>
              <w:rPr>
                <w:rFonts w:hint="eastAsia" w:ascii="仿宋_GB2312" w:hAnsi="宋体" w:eastAsia="仿宋_GB2312"/>
                <w:b/>
                <w:bCs/>
                <w:color w:val="000000"/>
                <w:sz w:val="24"/>
              </w:rPr>
              <w:t>备注</w:t>
            </w:r>
          </w:p>
        </w:tc>
      </w:tr>
      <w:tr w14:paraId="36C5B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5" w:type="dxa"/>
            <w:gridSpan w:val="2"/>
            <w:vAlign w:val="center"/>
          </w:tcPr>
          <w:p w14:paraId="6032C698">
            <w:pPr>
              <w:widowControl/>
              <w:spacing w:line="400" w:lineRule="exact"/>
              <w:jc w:val="center"/>
              <w:textAlignment w:val="center"/>
              <w:rPr>
                <w:rFonts w:hint="eastAsia" w:ascii="仿宋_GB2312" w:hAnsi="宋体" w:eastAsia="仿宋_GB2312"/>
                <w:color w:val="000000"/>
                <w:sz w:val="24"/>
              </w:rPr>
            </w:pPr>
            <w:r>
              <w:rPr>
                <w:rFonts w:hint="eastAsia" w:ascii="仿宋_GB2312" w:hAnsi="宋体" w:eastAsia="仿宋_GB2312"/>
                <w:color w:val="000000"/>
                <w:sz w:val="24"/>
              </w:rPr>
              <w:t>报价要求</w:t>
            </w:r>
          </w:p>
        </w:tc>
        <w:tc>
          <w:tcPr>
            <w:tcW w:w="6379" w:type="dxa"/>
            <w:gridSpan w:val="4"/>
            <w:vAlign w:val="center"/>
          </w:tcPr>
          <w:p w14:paraId="52B18708">
            <w:pPr>
              <w:spacing w:line="360" w:lineRule="auto"/>
              <w:jc w:val="left"/>
              <w:rPr>
                <w:rFonts w:hint="eastAsia" w:ascii="仿宋_GB2312" w:hAnsi="宋体" w:eastAsia="仿宋_GB2312"/>
                <w:color w:val="000000"/>
                <w:sz w:val="24"/>
              </w:rPr>
            </w:pPr>
            <w:r>
              <w:rPr>
                <w:rFonts w:hint="eastAsia" w:ascii="仿宋_GB2312" w:hAnsi="宋体" w:eastAsia="仿宋_GB2312"/>
                <w:color w:val="000000"/>
                <w:sz w:val="24"/>
              </w:rPr>
              <w:t>1．供应商竞价时必须完全响应《</w:t>
            </w:r>
            <w:r>
              <w:rPr>
                <w:rFonts w:hint="eastAsia" w:ascii="仿宋_GB2312" w:hAnsi="宋体" w:eastAsia="仿宋_GB2312"/>
                <w:color w:val="000000"/>
                <w:sz w:val="24"/>
                <w:lang w:eastAsia="zh-CN"/>
              </w:rPr>
              <w:t>反向竞价需求响应表</w:t>
            </w:r>
            <w:r>
              <w:rPr>
                <w:rFonts w:hint="eastAsia" w:ascii="仿宋_GB2312" w:hAnsi="宋体" w:eastAsia="仿宋_GB2312"/>
                <w:color w:val="000000"/>
                <w:sz w:val="24"/>
              </w:rPr>
              <w:t>》（附件1）中的“一、项目采购需求”，否则报价无效。</w:t>
            </w:r>
          </w:p>
          <w:p w14:paraId="1A0C575E">
            <w:pPr>
              <w:spacing w:line="360" w:lineRule="auto"/>
              <w:jc w:val="left"/>
              <w:rPr>
                <w:rFonts w:hint="eastAsia" w:ascii="仿宋_GB2312" w:hAnsi="宋体" w:eastAsia="仿宋_GB2312"/>
                <w:color w:val="000000"/>
                <w:sz w:val="24"/>
              </w:rPr>
            </w:pPr>
            <w:r>
              <w:rPr>
                <w:rFonts w:hint="eastAsia" w:ascii="仿宋_GB2312" w:hAnsi="宋体" w:eastAsia="仿宋_GB2312"/>
                <w:color w:val="000000"/>
                <w:sz w:val="24"/>
              </w:rPr>
              <w:t>2．供应商首次竞价必须按照附件1格式填写并上传《</w:t>
            </w:r>
            <w:r>
              <w:rPr>
                <w:rFonts w:hint="eastAsia" w:ascii="仿宋_GB2312" w:hAnsi="宋体" w:eastAsia="仿宋_GB2312"/>
                <w:color w:val="000000"/>
                <w:sz w:val="24"/>
                <w:lang w:eastAsia="zh-CN"/>
              </w:rPr>
              <w:t>反向竞价需求响应表</w:t>
            </w:r>
            <w:r>
              <w:rPr>
                <w:rFonts w:hint="eastAsia" w:ascii="仿宋_GB2312" w:hAnsi="宋体" w:eastAsia="仿宋_GB2312"/>
                <w:color w:val="000000"/>
                <w:sz w:val="24"/>
              </w:rPr>
              <w:t>》（法定代表人或授权委托人签字并加盖单位公章）扫描件，否则报价无效。</w:t>
            </w:r>
          </w:p>
          <w:p w14:paraId="17A05A70">
            <w:pPr>
              <w:spacing w:line="360" w:lineRule="auto"/>
              <w:jc w:val="left"/>
              <w:rPr>
                <w:rFonts w:hint="eastAsia" w:ascii="仿宋_GB2312" w:hAnsi="宋体" w:eastAsia="仿宋_GB2312"/>
                <w:color w:val="000000"/>
                <w:sz w:val="24"/>
              </w:rPr>
            </w:pPr>
            <w:r>
              <w:rPr>
                <w:rFonts w:hint="eastAsia" w:ascii="仿宋_GB2312" w:hAnsi="宋体" w:eastAsia="仿宋_GB2312"/>
                <w:color w:val="000000"/>
                <w:sz w:val="24"/>
              </w:rPr>
              <w:t xml:space="preserve">3.系统生成预成交供应商后，预成交供应商须在3日内按附件2格式填写《政采云反向竞价项目报价表》（报价总金额必须与系统预成交总价一致）并发送扫描件（法定代表人或授权委托人签字并加盖单位公章）到采购人邮箱：13768883103@163.com。如果不能按时按要求提供，则视为预成交供应商响应无效，采购人有权取消其成交资格。    </w:t>
            </w:r>
          </w:p>
          <w:p w14:paraId="5134D9B6">
            <w:pPr>
              <w:spacing w:line="360" w:lineRule="auto"/>
              <w:jc w:val="left"/>
              <w:rPr>
                <w:rFonts w:hint="eastAsia" w:ascii="仿宋_GB2312" w:hAnsi="宋体" w:eastAsia="仿宋_GB2312"/>
                <w:color w:val="000000"/>
                <w:sz w:val="24"/>
              </w:rPr>
            </w:pPr>
            <w:r>
              <w:rPr>
                <w:rFonts w:hint="eastAsia" w:ascii="仿宋_GB2312" w:hAnsi="宋体" w:eastAsia="仿宋_GB2312"/>
                <w:color w:val="000000"/>
                <w:sz w:val="24"/>
              </w:rPr>
              <w:t>4.投标报价是履行合同的最终价格，包括但不限于：（1）货物的价格；（2）货物的标准附件、备品备件、专用工具的价格；（3）运输、装卸、软硬件安装调试、培训、技术支持、售后服务等费用；（4）必要的保险费用和各项税费；（5）施工（安装）费用；（6）设备零配件、项目安装、调试、检测、试验及验收、现场卫生清理、线缆、管材、开孔、开槽及埋管和招标文件中有关的全部内容并完成所有工程和服务，所有成本费用的总和，采购人不再支付其它任何费用。</w:t>
            </w:r>
          </w:p>
          <w:p w14:paraId="4EA97B22">
            <w:pPr>
              <w:spacing w:line="360" w:lineRule="auto"/>
              <w:jc w:val="left"/>
              <w:rPr>
                <w:rFonts w:hint="eastAsia" w:ascii="仿宋_GB2312" w:hAnsi="宋体" w:eastAsia="仿宋_GB2312"/>
                <w:color w:val="000000"/>
                <w:sz w:val="24"/>
              </w:rPr>
            </w:pPr>
            <w:r>
              <w:rPr>
                <w:rFonts w:hint="eastAsia" w:ascii="仿宋_GB2312" w:hAnsi="宋体" w:eastAsia="仿宋_GB2312"/>
                <w:color w:val="000000"/>
                <w:sz w:val="24"/>
              </w:rPr>
              <w:t>5.竞标报价超过预算上限控制价的，为无效报价。</w:t>
            </w:r>
          </w:p>
        </w:tc>
        <w:tc>
          <w:tcPr>
            <w:tcW w:w="992" w:type="dxa"/>
            <w:vAlign w:val="center"/>
          </w:tcPr>
          <w:p w14:paraId="203676DF">
            <w:pPr>
              <w:spacing w:line="360" w:lineRule="auto"/>
              <w:jc w:val="center"/>
              <w:rPr>
                <w:rFonts w:hint="eastAsia" w:ascii="仿宋_GB2312" w:hAnsi="宋体" w:eastAsia="仿宋_GB2312"/>
                <w:color w:val="000000"/>
                <w:sz w:val="24"/>
              </w:rPr>
            </w:pPr>
          </w:p>
        </w:tc>
        <w:tc>
          <w:tcPr>
            <w:tcW w:w="748" w:type="dxa"/>
            <w:vAlign w:val="center"/>
          </w:tcPr>
          <w:p w14:paraId="522F9CA5">
            <w:pPr>
              <w:spacing w:line="360" w:lineRule="auto"/>
              <w:jc w:val="center"/>
              <w:rPr>
                <w:rFonts w:hint="eastAsia" w:ascii="仿宋_GB2312" w:hAnsi="宋体" w:eastAsia="仿宋_GB2312"/>
                <w:color w:val="000000"/>
                <w:sz w:val="24"/>
              </w:rPr>
            </w:pPr>
          </w:p>
        </w:tc>
      </w:tr>
      <w:tr w14:paraId="2295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5" w:type="dxa"/>
            <w:gridSpan w:val="2"/>
            <w:vAlign w:val="center"/>
          </w:tcPr>
          <w:p w14:paraId="2F14C4E7">
            <w:pPr>
              <w:widowControl/>
              <w:spacing w:line="400" w:lineRule="exact"/>
              <w:jc w:val="center"/>
              <w:textAlignment w:val="center"/>
              <w:rPr>
                <w:rFonts w:hint="eastAsia" w:ascii="仿宋_GB2312" w:hAnsi="宋体" w:eastAsia="仿宋_GB2312"/>
                <w:color w:val="000000"/>
                <w:sz w:val="24"/>
              </w:rPr>
            </w:pPr>
            <w:r>
              <w:rPr>
                <w:rFonts w:hint="eastAsia" w:ascii="仿宋_GB2312" w:hAnsi="宋体" w:eastAsia="仿宋_GB2312"/>
                <w:color w:val="000000"/>
                <w:sz w:val="24"/>
              </w:rPr>
              <w:t>付款方式</w:t>
            </w:r>
          </w:p>
        </w:tc>
        <w:tc>
          <w:tcPr>
            <w:tcW w:w="6379" w:type="dxa"/>
            <w:gridSpan w:val="4"/>
            <w:vAlign w:val="center"/>
          </w:tcPr>
          <w:p w14:paraId="44784C63">
            <w:pPr>
              <w:pStyle w:val="4"/>
              <w:spacing w:line="400" w:lineRule="exact"/>
              <w:jc w:val="left"/>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1.双方签订合同后，成交供应商须向采购人提供合同总金额30%的预付款保函（现金或银行保函）（保函有效期不少于3个月。保函到期前，若项目未完成，成交供应商须在保函到期前提前1个月提交新一期保函）及真实合法有效的增值税普通发票，采购人收到预付款保函（现金或银行保函）及发票后10个工作日内向成交供应商一次性支付合同款总金额30%的预付款；项目验收合格且双方完成结算后，采购人在收到成交供应商提供的相应尾款发票后的10个工作日内向成交供应商一次性支付剩余尾款。成交供应商提供的发票不符合要求，采购人有权拒绝付款且不承担违约责任，成交供应商应在接到采购人通知后5日内更换合规发票。</w:t>
            </w:r>
          </w:p>
          <w:p w14:paraId="793ABF3E">
            <w:pPr>
              <w:pStyle w:val="4"/>
              <w:spacing w:after="0" w:line="400" w:lineRule="exact"/>
              <w:jc w:val="left"/>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2.若采购数量与实际使用数量不一致时，成交供应商应根据实际使用量供货，合同的最终结算金额按实际使用量乘以成交单价进行据实计算。</w:t>
            </w:r>
          </w:p>
        </w:tc>
        <w:tc>
          <w:tcPr>
            <w:tcW w:w="992" w:type="dxa"/>
            <w:vAlign w:val="center"/>
          </w:tcPr>
          <w:p w14:paraId="74DBBB54">
            <w:pPr>
              <w:pStyle w:val="4"/>
              <w:spacing w:after="0" w:line="400" w:lineRule="exact"/>
              <w:jc w:val="center"/>
              <w:rPr>
                <w:rFonts w:hint="eastAsia" w:ascii="仿宋_GB2312" w:hAnsi="宋体" w:eastAsia="仿宋_GB2312" w:cs="Times New Roman"/>
                <w:color w:val="000000"/>
                <w:sz w:val="24"/>
              </w:rPr>
            </w:pPr>
          </w:p>
        </w:tc>
        <w:tc>
          <w:tcPr>
            <w:tcW w:w="748" w:type="dxa"/>
            <w:vAlign w:val="center"/>
          </w:tcPr>
          <w:p w14:paraId="7F81645E">
            <w:pPr>
              <w:pStyle w:val="4"/>
              <w:spacing w:after="0" w:line="400" w:lineRule="exact"/>
              <w:jc w:val="center"/>
              <w:rPr>
                <w:rFonts w:hint="eastAsia" w:ascii="仿宋_GB2312" w:hAnsi="宋体" w:eastAsia="仿宋_GB2312" w:cs="Times New Roman"/>
                <w:color w:val="000000"/>
                <w:sz w:val="24"/>
              </w:rPr>
            </w:pPr>
          </w:p>
        </w:tc>
      </w:tr>
      <w:tr w14:paraId="7D03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5" w:type="dxa"/>
            <w:gridSpan w:val="2"/>
            <w:vAlign w:val="center"/>
          </w:tcPr>
          <w:p w14:paraId="1ABFFCD7">
            <w:pPr>
              <w:pStyle w:val="4"/>
              <w:jc w:val="center"/>
              <w:rPr>
                <w:rFonts w:hint="eastAsia" w:ascii="仿宋_GB2312" w:hAnsi="宋体" w:eastAsia="仿宋_GB2312"/>
                <w:color w:val="000000"/>
                <w:sz w:val="24"/>
              </w:rPr>
            </w:pPr>
            <w:r>
              <w:rPr>
                <w:rFonts w:hint="eastAsia" w:ascii="仿宋_GB2312" w:hAnsi="宋体" w:eastAsia="仿宋_GB2312"/>
                <w:color w:val="000000"/>
                <w:sz w:val="24"/>
              </w:rPr>
              <w:t>合同签订</w:t>
            </w:r>
          </w:p>
          <w:p w14:paraId="79C49A91">
            <w:pPr>
              <w:pStyle w:val="4"/>
              <w:jc w:val="center"/>
              <w:rPr>
                <w:rFonts w:hint="eastAsia" w:ascii="仿宋_GB2312" w:hAnsi="宋体" w:eastAsia="仿宋_GB2312" w:cs="Times New Roman"/>
                <w:color w:val="000000"/>
                <w:sz w:val="24"/>
              </w:rPr>
            </w:pPr>
            <w:r>
              <w:rPr>
                <w:rFonts w:hint="eastAsia" w:ascii="仿宋_GB2312" w:hAnsi="宋体" w:eastAsia="仿宋_GB2312"/>
                <w:color w:val="000000"/>
                <w:sz w:val="24"/>
              </w:rPr>
              <w:t>期限</w:t>
            </w:r>
          </w:p>
        </w:tc>
        <w:tc>
          <w:tcPr>
            <w:tcW w:w="6379" w:type="dxa"/>
            <w:gridSpan w:val="4"/>
            <w:vAlign w:val="center"/>
          </w:tcPr>
          <w:p w14:paraId="5F94B207">
            <w:pPr>
              <w:pStyle w:val="4"/>
              <w:spacing w:after="0" w:line="400" w:lineRule="exact"/>
              <w:jc w:val="left"/>
              <w:rPr>
                <w:rFonts w:ascii="仿宋_GB2312" w:hAnsi="Times New Roman" w:eastAsia="仿宋_GB2312" w:cs="Times New Roman"/>
                <w:color w:val="000000"/>
                <w:sz w:val="24"/>
              </w:rPr>
            </w:pPr>
            <w:r>
              <w:rPr>
                <w:rFonts w:hint="eastAsia" w:ascii="仿宋_GB2312" w:hAnsi="Times New Roman" w:eastAsia="仿宋_GB2312" w:cs="Times New Roman"/>
                <w:color w:val="000000"/>
                <w:sz w:val="24"/>
              </w:rPr>
              <w:t>自成交公告发出之日起</w:t>
            </w:r>
            <w:r>
              <w:rPr>
                <w:rFonts w:hint="eastAsia" w:ascii="仿宋_GB2312" w:hAnsi="Times New Roman" w:eastAsia="仿宋_GB2312" w:cs="Times New Roman"/>
                <w:color w:val="000000"/>
                <w:sz w:val="24"/>
                <w:lang w:val="en-US" w:eastAsia="zh-CN"/>
              </w:rPr>
              <w:t>2</w:t>
            </w:r>
            <w:r>
              <w:rPr>
                <w:rFonts w:hint="eastAsia" w:ascii="仿宋_GB2312" w:hAnsi="Times New Roman" w:eastAsia="仿宋_GB2312" w:cs="Times New Roman"/>
                <w:color w:val="000000"/>
                <w:sz w:val="24"/>
              </w:rPr>
              <w:t>0日内签订合同。</w:t>
            </w:r>
          </w:p>
        </w:tc>
        <w:tc>
          <w:tcPr>
            <w:tcW w:w="992" w:type="dxa"/>
            <w:vAlign w:val="center"/>
          </w:tcPr>
          <w:p w14:paraId="71CF4AE4">
            <w:pPr>
              <w:widowControl/>
              <w:spacing w:line="400" w:lineRule="exact"/>
              <w:jc w:val="center"/>
              <w:textAlignment w:val="center"/>
              <w:rPr>
                <w:rFonts w:hint="eastAsia" w:ascii="仿宋_GB2312" w:hAnsi="宋体" w:eastAsia="仿宋_GB2312"/>
                <w:color w:val="000000"/>
                <w:sz w:val="24"/>
              </w:rPr>
            </w:pPr>
          </w:p>
        </w:tc>
        <w:tc>
          <w:tcPr>
            <w:tcW w:w="748" w:type="dxa"/>
            <w:vAlign w:val="center"/>
          </w:tcPr>
          <w:p w14:paraId="541AF004">
            <w:pPr>
              <w:widowControl/>
              <w:spacing w:line="400" w:lineRule="exact"/>
              <w:jc w:val="center"/>
              <w:textAlignment w:val="center"/>
              <w:rPr>
                <w:rFonts w:hint="eastAsia" w:ascii="仿宋_GB2312" w:hAnsi="宋体" w:eastAsia="仿宋_GB2312"/>
                <w:color w:val="000000"/>
                <w:sz w:val="24"/>
              </w:rPr>
            </w:pPr>
          </w:p>
        </w:tc>
      </w:tr>
      <w:tr w14:paraId="6FE0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5" w:type="dxa"/>
            <w:gridSpan w:val="2"/>
            <w:vAlign w:val="center"/>
          </w:tcPr>
          <w:p w14:paraId="4572ED0C">
            <w:pPr>
              <w:pStyle w:val="4"/>
              <w:jc w:val="center"/>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交货期及</w:t>
            </w:r>
          </w:p>
          <w:p w14:paraId="6A814DEC">
            <w:pPr>
              <w:pStyle w:val="4"/>
              <w:jc w:val="center"/>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安装期</w:t>
            </w:r>
          </w:p>
        </w:tc>
        <w:tc>
          <w:tcPr>
            <w:tcW w:w="6379" w:type="dxa"/>
            <w:gridSpan w:val="4"/>
            <w:vAlign w:val="center"/>
          </w:tcPr>
          <w:p w14:paraId="0B7C5838">
            <w:pPr>
              <w:widowControl/>
              <w:spacing w:line="400" w:lineRule="exact"/>
              <w:jc w:val="left"/>
              <w:textAlignment w:val="center"/>
              <w:rPr>
                <w:rFonts w:ascii="仿宋_GB2312" w:eastAsia="仿宋_GB2312"/>
                <w:color w:val="000000"/>
                <w:sz w:val="24"/>
              </w:rPr>
            </w:pPr>
            <w:r>
              <w:rPr>
                <w:rFonts w:hint="eastAsia" w:ascii="仿宋" w:hAnsi="仿宋" w:eastAsia="仿宋" w:cs="仿宋"/>
                <w:color w:val="000000"/>
                <w:sz w:val="24"/>
                <w:szCs w:val="24"/>
              </w:rPr>
              <w:t>自合同生效后由采购人指定送货时间，</w:t>
            </w:r>
            <w:r>
              <w:rPr>
                <w:rFonts w:hint="eastAsia" w:ascii="仿宋_GB2312" w:hAnsi="宋体" w:eastAsia="仿宋_GB2312"/>
                <w:color w:val="000000"/>
                <w:sz w:val="24"/>
                <w:lang w:val="en-US" w:eastAsia="zh-CN"/>
              </w:rPr>
              <w:t>30</w:t>
            </w:r>
            <w:r>
              <w:rPr>
                <w:rFonts w:hint="eastAsia" w:ascii="仿宋_GB2312" w:hAnsi="宋体" w:eastAsia="仿宋_GB2312"/>
                <w:color w:val="000000"/>
                <w:sz w:val="24"/>
              </w:rPr>
              <w:t>日内安装调试完毕。未如期签订合同的，将视为自动放弃中选资格，采购人视情节严重程度将相关情况报送自治区财政厅备案处罚。</w:t>
            </w:r>
          </w:p>
        </w:tc>
        <w:tc>
          <w:tcPr>
            <w:tcW w:w="992" w:type="dxa"/>
            <w:vAlign w:val="center"/>
          </w:tcPr>
          <w:p w14:paraId="59A0143D">
            <w:pPr>
              <w:widowControl/>
              <w:spacing w:line="400" w:lineRule="exact"/>
              <w:jc w:val="center"/>
              <w:textAlignment w:val="center"/>
              <w:rPr>
                <w:rFonts w:hint="eastAsia" w:ascii="仿宋_GB2312" w:hAnsi="宋体" w:eastAsia="仿宋_GB2312"/>
                <w:color w:val="000000"/>
                <w:sz w:val="24"/>
              </w:rPr>
            </w:pPr>
          </w:p>
        </w:tc>
        <w:tc>
          <w:tcPr>
            <w:tcW w:w="748" w:type="dxa"/>
            <w:vAlign w:val="center"/>
          </w:tcPr>
          <w:p w14:paraId="7BEC61E2">
            <w:pPr>
              <w:widowControl/>
              <w:spacing w:line="400" w:lineRule="exact"/>
              <w:jc w:val="center"/>
              <w:textAlignment w:val="center"/>
              <w:rPr>
                <w:rFonts w:hint="eastAsia" w:ascii="仿宋_GB2312" w:hAnsi="宋体" w:eastAsia="仿宋_GB2312"/>
                <w:color w:val="000000"/>
                <w:sz w:val="24"/>
              </w:rPr>
            </w:pPr>
          </w:p>
        </w:tc>
      </w:tr>
      <w:tr w14:paraId="7080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5" w:type="dxa"/>
            <w:gridSpan w:val="2"/>
            <w:vAlign w:val="center"/>
          </w:tcPr>
          <w:p w14:paraId="207F8195">
            <w:pPr>
              <w:pStyle w:val="4"/>
              <w:jc w:val="center"/>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交货地点</w:t>
            </w:r>
          </w:p>
        </w:tc>
        <w:tc>
          <w:tcPr>
            <w:tcW w:w="6379" w:type="dxa"/>
            <w:gridSpan w:val="4"/>
          </w:tcPr>
          <w:p w14:paraId="24596AED">
            <w:pPr>
              <w:pStyle w:val="4"/>
              <w:spacing w:after="0" w:line="400" w:lineRule="exact"/>
              <w:jc w:val="left"/>
              <w:rPr>
                <w:rFonts w:ascii="仿宋_GB2312" w:hAnsi="Times New Roman" w:eastAsia="仿宋_GB2312" w:cs="Times New Roman"/>
                <w:color w:val="000000"/>
                <w:sz w:val="24"/>
              </w:rPr>
            </w:pPr>
            <w:r>
              <w:rPr>
                <w:rFonts w:hint="eastAsia" w:ascii="仿宋_GB2312" w:hAnsi="Times New Roman" w:eastAsia="仿宋_GB2312" w:cs="Times New Roman"/>
                <w:color w:val="000000"/>
                <w:sz w:val="24"/>
              </w:rPr>
              <w:t>广西财经学院内采购人指定地点。</w:t>
            </w:r>
          </w:p>
        </w:tc>
        <w:tc>
          <w:tcPr>
            <w:tcW w:w="992" w:type="dxa"/>
            <w:vAlign w:val="center"/>
          </w:tcPr>
          <w:p w14:paraId="702EAEC2">
            <w:pPr>
              <w:pStyle w:val="4"/>
              <w:spacing w:after="0" w:line="400" w:lineRule="exact"/>
              <w:jc w:val="center"/>
              <w:rPr>
                <w:rFonts w:hint="eastAsia" w:ascii="仿宋_GB2312" w:hAnsi="宋体" w:eastAsia="仿宋_GB2312" w:cs="Times New Roman"/>
                <w:color w:val="000000"/>
                <w:sz w:val="24"/>
              </w:rPr>
            </w:pPr>
          </w:p>
        </w:tc>
        <w:tc>
          <w:tcPr>
            <w:tcW w:w="748" w:type="dxa"/>
            <w:vAlign w:val="center"/>
          </w:tcPr>
          <w:p w14:paraId="37EE03B8">
            <w:pPr>
              <w:pStyle w:val="4"/>
              <w:spacing w:after="0" w:line="400" w:lineRule="exact"/>
              <w:jc w:val="center"/>
              <w:rPr>
                <w:rFonts w:hint="eastAsia" w:ascii="仿宋_GB2312" w:hAnsi="宋体" w:eastAsia="仿宋_GB2312" w:cs="Times New Roman"/>
                <w:color w:val="000000"/>
                <w:sz w:val="24"/>
              </w:rPr>
            </w:pPr>
          </w:p>
        </w:tc>
      </w:tr>
      <w:tr w14:paraId="511C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5" w:type="dxa"/>
            <w:gridSpan w:val="2"/>
            <w:vAlign w:val="center"/>
          </w:tcPr>
          <w:p w14:paraId="7E279455">
            <w:pPr>
              <w:spacing w:line="360" w:lineRule="auto"/>
              <w:jc w:val="center"/>
              <w:rPr>
                <w:rFonts w:hint="eastAsia" w:ascii="仿宋_GB2312" w:hAnsi="宋体" w:eastAsia="仿宋_GB2312"/>
                <w:color w:val="000000"/>
                <w:sz w:val="24"/>
              </w:rPr>
            </w:pPr>
            <w:r>
              <w:rPr>
                <w:rFonts w:hint="eastAsia" w:ascii="仿宋_GB2312" w:hAnsi="宋体" w:eastAsia="仿宋_GB2312"/>
                <w:color w:val="000000"/>
                <w:sz w:val="24"/>
              </w:rPr>
              <w:t>履约保证金</w:t>
            </w:r>
          </w:p>
          <w:p w14:paraId="6241B74E">
            <w:pPr>
              <w:pStyle w:val="4"/>
              <w:jc w:val="center"/>
              <w:rPr>
                <w:rFonts w:hint="eastAsia" w:ascii="仿宋_GB2312" w:hAnsi="宋体" w:eastAsia="仿宋_GB2312" w:cs="Times New Roman"/>
                <w:color w:val="000000"/>
                <w:sz w:val="24"/>
              </w:rPr>
            </w:pPr>
          </w:p>
        </w:tc>
        <w:tc>
          <w:tcPr>
            <w:tcW w:w="6379" w:type="dxa"/>
            <w:gridSpan w:val="4"/>
            <w:vAlign w:val="center"/>
          </w:tcPr>
          <w:p w14:paraId="5410E0CD">
            <w:pPr>
              <w:pStyle w:val="4"/>
              <w:spacing w:line="400" w:lineRule="exact"/>
              <w:jc w:val="left"/>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1.按本项目成交总金额的5%（如成交供应商为中小企业的，按本项目成交总金额的2%，以提供中小企业声明函为依据）；成交供应商在签订合同前交至指定账户。</w:t>
            </w:r>
          </w:p>
          <w:p w14:paraId="4C72B2D1">
            <w:pPr>
              <w:pStyle w:val="4"/>
              <w:spacing w:line="400" w:lineRule="exact"/>
              <w:jc w:val="left"/>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2.履约保证金递交方式：</w:t>
            </w:r>
            <w:r>
              <w:rPr>
                <w:rFonts w:ascii="仿宋_GB2312" w:hAnsi="宋体" w:eastAsia="仿宋_GB2312" w:cs="Times New Roman"/>
                <w:color w:val="000000"/>
                <w:sz w:val="24"/>
              </w:rPr>
              <w:t>现金、银行转账、</w:t>
            </w:r>
            <w:r>
              <w:rPr>
                <w:rFonts w:hint="eastAsia" w:ascii="仿宋_GB2312" w:hAnsi="宋体" w:eastAsia="仿宋_GB2312" w:cs="Times New Roman"/>
                <w:color w:val="000000"/>
                <w:sz w:val="24"/>
                <w:lang w:val="en-US" w:eastAsia="zh-CN"/>
              </w:rPr>
              <w:t>银行</w:t>
            </w:r>
            <w:r>
              <w:rPr>
                <w:rFonts w:ascii="仿宋_GB2312" w:hAnsi="宋体" w:eastAsia="仿宋_GB2312" w:cs="Times New Roman"/>
                <w:color w:val="000000"/>
                <w:sz w:val="24"/>
              </w:rPr>
              <w:t>保函形式。</w:t>
            </w:r>
          </w:p>
          <w:p w14:paraId="74AB5592">
            <w:pPr>
              <w:pStyle w:val="4"/>
              <w:spacing w:line="400" w:lineRule="exact"/>
              <w:jc w:val="left"/>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履约保证金指定账户：</w:t>
            </w:r>
          </w:p>
          <w:p w14:paraId="7015ED09">
            <w:pPr>
              <w:pStyle w:val="4"/>
              <w:spacing w:line="400" w:lineRule="exact"/>
              <w:jc w:val="left"/>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开户名称：广西财经学院</w:t>
            </w:r>
          </w:p>
          <w:p w14:paraId="6609FA3E">
            <w:pPr>
              <w:pStyle w:val="4"/>
              <w:spacing w:line="400" w:lineRule="exact"/>
              <w:jc w:val="left"/>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开户银行：中国银行南宁明秀西路支行</w:t>
            </w:r>
          </w:p>
          <w:p w14:paraId="799DE01B">
            <w:pPr>
              <w:pStyle w:val="4"/>
              <w:spacing w:line="400" w:lineRule="exact"/>
              <w:jc w:val="left"/>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银行账号：611957485481</w:t>
            </w:r>
          </w:p>
          <w:p w14:paraId="2D63DC04">
            <w:pPr>
              <w:pStyle w:val="4"/>
              <w:spacing w:after="0" w:line="400" w:lineRule="exact"/>
              <w:jc w:val="left"/>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3.履约保证金退付方式、时间及条件：成交供应商若不能完全履行合同，履约保证金不返还；成交供应商若完全履行合同，货物验收合格后，成交供应商向采购人递交退保申请函及凭履约保证金财务凭证，采购人按规定办理无息退还手续。</w:t>
            </w:r>
          </w:p>
        </w:tc>
        <w:tc>
          <w:tcPr>
            <w:tcW w:w="992" w:type="dxa"/>
            <w:vAlign w:val="center"/>
          </w:tcPr>
          <w:p w14:paraId="6BDB78B2">
            <w:pPr>
              <w:pStyle w:val="4"/>
              <w:spacing w:after="0" w:line="400" w:lineRule="exact"/>
              <w:jc w:val="center"/>
              <w:rPr>
                <w:rFonts w:hint="eastAsia" w:ascii="仿宋_GB2312" w:hAnsi="宋体" w:eastAsia="仿宋_GB2312" w:cs="Times New Roman"/>
                <w:color w:val="000000"/>
                <w:sz w:val="24"/>
              </w:rPr>
            </w:pPr>
          </w:p>
        </w:tc>
        <w:tc>
          <w:tcPr>
            <w:tcW w:w="748" w:type="dxa"/>
            <w:vAlign w:val="center"/>
          </w:tcPr>
          <w:p w14:paraId="0E820515">
            <w:pPr>
              <w:pStyle w:val="4"/>
              <w:spacing w:after="0" w:line="400" w:lineRule="exact"/>
              <w:jc w:val="center"/>
              <w:rPr>
                <w:rFonts w:hint="eastAsia" w:ascii="仿宋_GB2312" w:hAnsi="宋体" w:eastAsia="仿宋_GB2312" w:cs="Times New Roman"/>
                <w:color w:val="000000"/>
                <w:sz w:val="24"/>
              </w:rPr>
            </w:pPr>
          </w:p>
        </w:tc>
      </w:tr>
      <w:tr w14:paraId="2E924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5" w:type="dxa"/>
            <w:gridSpan w:val="2"/>
            <w:vAlign w:val="center"/>
          </w:tcPr>
          <w:p w14:paraId="4D4447A0">
            <w:pPr>
              <w:pStyle w:val="4"/>
              <w:jc w:val="center"/>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质量保证</w:t>
            </w:r>
          </w:p>
        </w:tc>
        <w:tc>
          <w:tcPr>
            <w:tcW w:w="6379" w:type="dxa"/>
            <w:gridSpan w:val="4"/>
            <w:vAlign w:val="center"/>
          </w:tcPr>
          <w:p w14:paraId="2A39A832">
            <w:pPr>
              <w:pStyle w:val="4"/>
              <w:spacing w:line="400" w:lineRule="exact"/>
              <w:jc w:val="left"/>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1．采购货物必须满足采购需求的全部功能，一旦发现与招标参数不符，即使设备已交付使用，采购人有权中止合同，无条件退货，且成交供应商需赔偿采购人的相关损失。</w:t>
            </w:r>
          </w:p>
          <w:p w14:paraId="1F5E0D71">
            <w:pPr>
              <w:pStyle w:val="4"/>
              <w:spacing w:after="0" w:line="400" w:lineRule="exact"/>
              <w:jc w:val="left"/>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2．为保证设备的可靠性服务，按国家有关产品“三包”规定执行“三包”。</w:t>
            </w:r>
          </w:p>
        </w:tc>
        <w:tc>
          <w:tcPr>
            <w:tcW w:w="992" w:type="dxa"/>
            <w:vAlign w:val="center"/>
          </w:tcPr>
          <w:p w14:paraId="1401DB91">
            <w:pPr>
              <w:pStyle w:val="4"/>
              <w:spacing w:after="0" w:line="400" w:lineRule="exact"/>
              <w:jc w:val="center"/>
              <w:rPr>
                <w:rFonts w:hint="eastAsia" w:ascii="仿宋_GB2312" w:hAnsi="宋体" w:eastAsia="仿宋_GB2312" w:cs="Times New Roman"/>
                <w:color w:val="000000"/>
                <w:sz w:val="24"/>
              </w:rPr>
            </w:pPr>
          </w:p>
        </w:tc>
        <w:tc>
          <w:tcPr>
            <w:tcW w:w="748" w:type="dxa"/>
            <w:vAlign w:val="center"/>
          </w:tcPr>
          <w:p w14:paraId="3FF4D03E">
            <w:pPr>
              <w:pStyle w:val="4"/>
              <w:spacing w:after="0" w:line="400" w:lineRule="exact"/>
              <w:jc w:val="center"/>
              <w:rPr>
                <w:rFonts w:hint="eastAsia" w:ascii="仿宋_GB2312" w:hAnsi="宋体" w:eastAsia="仿宋_GB2312" w:cs="Times New Roman"/>
                <w:color w:val="000000"/>
                <w:sz w:val="24"/>
              </w:rPr>
            </w:pPr>
          </w:p>
        </w:tc>
      </w:tr>
      <w:tr w14:paraId="779FB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5" w:type="dxa"/>
            <w:gridSpan w:val="2"/>
            <w:vAlign w:val="center"/>
          </w:tcPr>
          <w:p w14:paraId="4E505D26">
            <w:pPr>
              <w:pStyle w:val="4"/>
              <w:jc w:val="center"/>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验收条件及标准</w:t>
            </w:r>
          </w:p>
        </w:tc>
        <w:tc>
          <w:tcPr>
            <w:tcW w:w="6379" w:type="dxa"/>
            <w:gridSpan w:val="4"/>
            <w:vAlign w:val="center"/>
          </w:tcPr>
          <w:p w14:paraId="0839B1B9">
            <w:pPr>
              <w:rPr>
                <w:rFonts w:hint="eastAsia" w:ascii="仿宋_GB2312" w:hAnsi="宋体" w:eastAsia="仿宋_GB2312"/>
                <w:color w:val="000000"/>
                <w:sz w:val="24"/>
              </w:rPr>
            </w:pPr>
            <w:r>
              <w:rPr>
                <w:rFonts w:hint="eastAsia" w:ascii="仿宋_GB2312" w:hAnsi="宋体" w:eastAsia="仿宋_GB2312"/>
                <w:color w:val="000000"/>
                <w:sz w:val="24"/>
              </w:rPr>
              <w:t>1.供货安装、调试完毕后，采购人依据采购文件实质要求及成交供应商响应和承诺的技术参数及性能等有关标准进行验收，达不到要求的不予验收，视为产品验收不合格，采购人可解除双方的供货合同，并上报采购监督部门，追究相关法律责任，对造成的损失采购人保留索赔的权利。</w:t>
            </w:r>
          </w:p>
          <w:p w14:paraId="73CD4CEA">
            <w:pPr>
              <w:rPr>
                <w:rFonts w:hint="eastAsia" w:ascii="仿宋_GB2312" w:hAnsi="宋体" w:eastAsia="仿宋_GB2312"/>
                <w:color w:val="000000"/>
                <w:sz w:val="24"/>
              </w:rPr>
            </w:pPr>
            <w:r>
              <w:rPr>
                <w:rFonts w:hint="eastAsia" w:ascii="仿宋_GB2312" w:hAnsi="宋体" w:eastAsia="仿宋_GB2312"/>
                <w:color w:val="000000"/>
                <w:sz w:val="24"/>
              </w:rPr>
              <w:t>2.成交供应商提供的产品必须是原厂生产的正品全新、完整、未使用过的合格产品，产品质量符合国家相关标准和规范，具备正规合法经销渠道。所有产品除满足《</w:t>
            </w:r>
            <w:r>
              <w:rPr>
                <w:rFonts w:hint="eastAsia" w:ascii="仿宋_GB2312" w:hAnsi="宋体" w:eastAsia="仿宋_GB2312"/>
                <w:color w:val="000000"/>
                <w:sz w:val="24"/>
                <w:lang w:eastAsia="zh-CN"/>
              </w:rPr>
              <w:t>反向竞价需求响应表</w:t>
            </w:r>
            <w:r>
              <w:rPr>
                <w:rFonts w:hint="eastAsia" w:ascii="仿宋_GB2312" w:hAnsi="宋体" w:eastAsia="仿宋_GB2312"/>
                <w:color w:val="000000"/>
                <w:sz w:val="24"/>
              </w:rPr>
              <w:t>》要求的技术参数外，其余均按国家标准及生产厂家出厂标准配置。成交供应商提供的产品品牌、型号、规格、技术参数、质量不符合合同规定及采购需求规定标准的，采购人有权拒收该产品。</w:t>
            </w:r>
          </w:p>
          <w:p w14:paraId="5858794D">
            <w:pPr>
              <w:rPr>
                <w:rFonts w:hint="eastAsia" w:ascii="仿宋_GB2312" w:hAnsi="宋体" w:eastAsia="仿宋_GB2312"/>
                <w:color w:val="000000"/>
                <w:sz w:val="24"/>
              </w:rPr>
            </w:pPr>
            <w:r>
              <w:rPr>
                <w:rFonts w:hint="eastAsia" w:ascii="仿宋_GB2312" w:hAnsi="宋体" w:eastAsia="仿宋_GB2312"/>
                <w:color w:val="000000"/>
                <w:sz w:val="24"/>
              </w:rPr>
              <w:t>3.成交供应商提供的产品必须符合竞标技术参数的标准，一旦发现与招标参数不符，即使设备已交付使用，采购人有权中止合同，无条件退货，且成交供应商需赔偿采购人的相关损失。</w:t>
            </w:r>
          </w:p>
          <w:p w14:paraId="34212BD2">
            <w:pPr>
              <w:rPr>
                <w:rFonts w:hint="eastAsia" w:ascii="仿宋_GB2312" w:hAnsi="宋体" w:eastAsia="仿宋_GB2312"/>
                <w:color w:val="000000"/>
                <w:sz w:val="24"/>
              </w:rPr>
            </w:pPr>
            <w:r>
              <w:rPr>
                <w:rFonts w:hint="eastAsia" w:ascii="仿宋_GB2312" w:hAnsi="宋体" w:eastAsia="仿宋_GB2312"/>
                <w:color w:val="000000"/>
                <w:sz w:val="24"/>
              </w:rPr>
              <w:t>4.中标人应提供产品的出厂合格证明，并提供原厂出货证明函（或同等效应的证明材料</w:t>
            </w:r>
            <w:r>
              <w:rPr>
                <w:rFonts w:hint="eastAsia" w:ascii="仿宋_GB2312" w:hAnsi="宋体" w:eastAsia="仿宋_GB2312"/>
                <w:color w:val="000000"/>
                <w:sz w:val="24"/>
                <w:lang w:eastAsia="zh-CN"/>
              </w:rPr>
              <w:t>）</w:t>
            </w:r>
            <w:r>
              <w:rPr>
                <w:rFonts w:hint="eastAsia" w:ascii="仿宋_GB2312" w:hAnsi="宋体" w:eastAsia="仿宋_GB2312"/>
                <w:color w:val="000000"/>
                <w:sz w:val="24"/>
              </w:rPr>
              <w:t>，否则采购人有权中止合同，无条件退货，且成交供应商需赔偿采购人的相关损失。</w:t>
            </w:r>
          </w:p>
        </w:tc>
        <w:tc>
          <w:tcPr>
            <w:tcW w:w="992" w:type="dxa"/>
            <w:vAlign w:val="center"/>
          </w:tcPr>
          <w:p w14:paraId="03B3C0FC">
            <w:pPr>
              <w:widowControl/>
              <w:jc w:val="center"/>
              <w:textAlignment w:val="center"/>
              <w:rPr>
                <w:rFonts w:hint="eastAsia" w:ascii="仿宋_GB2312" w:hAnsi="宋体" w:eastAsia="仿宋_GB2312"/>
                <w:color w:val="000000"/>
                <w:sz w:val="24"/>
              </w:rPr>
            </w:pPr>
          </w:p>
        </w:tc>
        <w:tc>
          <w:tcPr>
            <w:tcW w:w="748" w:type="dxa"/>
            <w:vAlign w:val="center"/>
          </w:tcPr>
          <w:p w14:paraId="6CA925EF">
            <w:pPr>
              <w:widowControl/>
              <w:jc w:val="center"/>
              <w:textAlignment w:val="center"/>
              <w:rPr>
                <w:rFonts w:hint="eastAsia" w:ascii="仿宋_GB2312" w:hAnsi="宋体" w:eastAsia="仿宋_GB2312"/>
                <w:color w:val="000000"/>
                <w:sz w:val="24"/>
              </w:rPr>
            </w:pPr>
          </w:p>
        </w:tc>
      </w:tr>
      <w:tr w14:paraId="417D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5" w:type="dxa"/>
            <w:gridSpan w:val="2"/>
            <w:vAlign w:val="center"/>
          </w:tcPr>
          <w:p w14:paraId="3ABD1197">
            <w:pPr>
              <w:pStyle w:val="4"/>
              <w:jc w:val="center"/>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送货方式及保修期</w:t>
            </w:r>
          </w:p>
        </w:tc>
        <w:tc>
          <w:tcPr>
            <w:tcW w:w="6379" w:type="dxa"/>
            <w:gridSpan w:val="4"/>
            <w:vAlign w:val="center"/>
          </w:tcPr>
          <w:p w14:paraId="6621960F">
            <w:pPr>
              <w:widowControl/>
              <w:jc w:val="left"/>
              <w:textAlignment w:val="center"/>
              <w:rPr>
                <w:rFonts w:hint="eastAsia" w:ascii="仿宋_GB2312" w:hAnsi="宋体" w:eastAsia="仿宋_GB2312"/>
                <w:color w:val="000000"/>
                <w:sz w:val="24"/>
              </w:rPr>
            </w:pPr>
            <w:r>
              <w:rPr>
                <w:rFonts w:hint="eastAsia" w:ascii="仿宋_GB2312" w:hAnsi="宋体" w:eastAsia="仿宋_GB2312"/>
                <w:color w:val="000000"/>
                <w:sz w:val="24"/>
              </w:rPr>
              <w:t>分项有质保要求的按分项分项质保要求，分项没有质保要求的质保不少于5年，其余按国家有关产品“三包”规定执行“三包”，质保期以通过项目最终验收的验收报告签字日开始计算</w:t>
            </w:r>
          </w:p>
        </w:tc>
        <w:tc>
          <w:tcPr>
            <w:tcW w:w="992" w:type="dxa"/>
            <w:vAlign w:val="center"/>
          </w:tcPr>
          <w:p w14:paraId="44005BDA">
            <w:pPr>
              <w:widowControl/>
              <w:jc w:val="center"/>
              <w:textAlignment w:val="center"/>
              <w:rPr>
                <w:rFonts w:hint="eastAsia" w:ascii="仿宋_GB2312" w:hAnsi="宋体" w:eastAsia="仿宋_GB2312"/>
                <w:color w:val="000000"/>
                <w:sz w:val="24"/>
              </w:rPr>
            </w:pPr>
          </w:p>
        </w:tc>
        <w:tc>
          <w:tcPr>
            <w:tcW w:w="748" w:type="dxa"/>
            <w:vAlign w:val="center"/>
          </w:tcPr>
          <w:p w14:paraId="7B843843">
            <w:pPr>
              <w:widowControl/>
              <w:jc w:val="center"/>
              <w:textAlignment w:val="center"/>
              <w:rPr>
                <w:rFonts w:hint="eastAsia" w:ascii="仿宋_GB2312" w:hAnsi="宋体" w:eastAsia="仿宋_GB2312"/>
                <w:color w:val="000000"/>
                <w:sz w:val="24"/>
              </w:rPr>
            </w:pPr>
          </w:p>
        </w:tc>
      </w:tr>
      <w:tr w14:paraId="46BF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5" w:type="dxa"/>
            <w:gridSpan w:val="2"/>
            <w:vAlign w:val="center"/>
          </w:tcPr>
          <w:p w14:paraId="2CF49AC4">
            <w:pPr>
              <w:pStyle w:val="4"/>
              <w:jc w:val="center"/>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售后服务</w:t>
            </w:r>
          </w:p>
        </w:tc>
        <w:tc>
          <w:tcPr>
            <w:tcW w:w="6379" w:type="dxa"/>
            <w:gridSpan w:val="4"/>
            <w:vAlign w:val="center"/>
          </w:tcPr>
          <w:p w14:paraId="55256B56">
            <w:pPr>
              <w:widowControl/>
              <w:jc w:val="left"/>
              <w:textAlignment w:val="center"/>
              <w:rPr>
                <w:rFonts w:hint="eastAsia" w:ascii="仿宋_GB2312" w:hAnsi="宋体" w:eastAsia="仿宋_GB2312"/>
                <w:color w:val="000000"/>
                <w:sz w:val="24"/>
              </w:rPr>
            </w:pPr>
            <w:r>
              <w:rPr>
                <w:rFonts w:hint="eastAsia" w:ascii="仿宋_GB2312" w:hAnsi="宋体" w:eastAsia="仿宋_GB2312"/>
                <w:color w:val="000000"/>
                <w:sz w:val="24"/>
              </w:rPr>
              <w:t>1．免费送货上门，免费安装调试合格；</w:t>
            </w:r>
          </w:p>
          <w:p w14:paraId="1061BC74">
            <w:pPr>
              <w:widowControl/>
              <w:jc w:val="left"/>
              <w:textAlignment w:val="center"/>
              <w:rPr>
                <w:rFonts w:hint="eastAsia" w:ascii="仿宋_GB2312" w:hAnsi="宋体" w:eastAsia="仿宋_GB2312"/>
                <w:color w:val="000000"/>
                <w:sz w:val="24"/>
              </w:rPr>
            </w:pPr>
            <w:r>
              <w:rPr>
                <w:rFonts w:hint="eastAsia" w:ascii="仿宋_GB2312" w:hAnsi="宋体" w:eastAsia="仿宋_GB2312"/>
                <w:color w:val="000000"/>
                <w:sz w:val="24"/>
              </w:rPr>
              <w:t>2．中标供应商必须负责项目设备送货、建设、安装调试与培训，免费提供设备操作培训，提供全套说明书；免费现场培训2～3名相关人员至掌握设备操作及日常维护；</w:t>
            </w:r>
          </w:p>
          <w:p w14:paraId="53B7BA21">
            <w:pPr>
              <w:widowControl/>
              <w:jc w:val="left"/>
              <w:textAlignment w:val="center"/>
              <w:rPr>
                <w:rFonts w:hint="eastAsia" w:ascii="仿宋_GB2312" w:hAnsi="宋体" w:eastAsia="仿宋_GB2312"/>
                <w:color w:val="000000"/>
                <w:sz w:val="24"/>
              </w:rPr>
            </w:pPr>
            <w:r>
              <w:rPr>
                <w:rFonts w:hint="eastAsia" w:ascii="仿宋_GB2312" w:hAnsi="宋体" w:eastAsia="仿宋_GB2312"/>
                <w:color w:val="000000"/>
                <w:sz w:val="24"/>
              </w:rPr>
              <w:t>3．设备如出现故障在接到采购人通知后在30分钟内响应，2小时内上门服务，12小时内解决故障；未能在规定时间内排除故障的，必须在接到采购人通知后48小时内提供同档次的备用机并提交故障解决处理方案；</w:t>
            </w:r>
          </w:p>
          <w:p w14:paraId="0D3FA225">
            <w:pPr>
              <w:widowControl/>
              <w:jc w:val="left"/>
              <w:textAlignment w:val="center"/>
              <w:rPr>
                <w:rFonts w:hint="eastAsia" w:ascii="仿宋_GB2312" w:hAnsi="宋体" w:eastAsia="仿宋_GB2312"/>
                <w:color w:val="000000"/>
                <w:sz w:val="24"/>
              </w:rPr>
            </w:pPr>
            <w:r>
              <w:rPr>
                <w:rFonts w:hint="eastAsia" w:ascii="仿宋_GB2312" w:hAnsi="宋体" w:eastAsia="仿宋_GB2312"/>
                <w:color w:val="000000"/>
                <w:sz w:val="24"/>
              </w:rPr>
              <w:t>4．提供定期回访及巡检服务；</w:t>
            </w:r>
          </w:p>
          <w:p w14:paraId="4D3CCFD8">
            <w:pPr>
              <w:widowControl/>
              <w:jc w:val="left"/>
              <w:textAlignment w:val="center"/>
              <w:rPr>
                <w:rFonts w:hint="eastAsia" w:ascii="仿宋_GB2312" w:hAnsi="宋体" w:eastAsia="仿宋_GB2312"/>
                <w:color w:val="000000"/>
                <w:sz w:val="24"/>
              </w:rPr>
            </w:pPr>
            <w:r>
              <w:rPr>
                <w:rFonts w:hint="eastAsia" w:ascii="仿宋_GB2312" w:hAnsi="宋体" w:eastAsia="仿宋_GB2312"/>
                <w:color w:val="000000"/>
                <w:sz w:val="24"/>
              </w:rPr>
              <w:t>5．项目供货及安装过程中产生的残留物或垃圾，需由中标供应商自行清理至校外国家有关部门指定堆放处，产品包装箱及有关产品说明书等处置需经采购人确认后处理。</w:t>
            </w:r>
          </w:p>
          <w:p w14:paraId="7192194A">
            <w:pPr>
              <w:widowControl/>
              <w:jc w:val="left"/>
              <w:textAlignment w:val="center"/>
              <w:rPr>
                <w:rFonts w:hint="eastAsia" w:ascii="仿宋_GB2312" w:hAnsi="宋体" w:eastAsia="仿宋_GB2312"/>
                <w:color w:val="000000"/>
                <w:sz w:val="24"/>
              </w:rPr>
            </w:pPr>
            <w:r>
              <w:rPr>
                <w:rFonts w:hint="eastAsia" w:ascii="仿宋_GB2312" w:hAnsi="宋体" w:eastAsia="仿宋_GB2312"/>
                <w:color w:val="000000"/>
                <w:sz w:val="24"/>
              </w:rPr>
              <w:t>6．对于软件系统存在的安全漏洞包括但不限于数据库安全的情形，中标供应商应提供终身免费系统升级补丁及做好安全策略。</w:t>
            </w:r>
          </w:p>
        </w:tc>
        <w:tc>
          <w:tcPr>
            <w:tcW w:w="992" w:type="dxa"/>
            <w:vAlign w:val="center"/>
          </w:tcPr>
          <w:p w14:paraId="09E4EEC3">
            <w:pPr>
              <w:widowControl/>
              <w:jc w:val="center"/>
              <w:textAlignment w:val="center"/>
              <w:rPr>
                <w:rFonts w:hint="eastAsia" w:ascii="仿宋_GB2312" w:hAnsi="宋体" w:eastAsia="仿宋_GB2312"/>
                <w:color w:val="000000"/>
                <w:sz w:val="24"/>
              </w:rPr>
            </w:pPr>
          </w:p>
        </w:tc>
        <w:tc>
          <w:tcPr>
            <w:tcW w:w="748" w:type="dxa"/>
            <w:vAlign w:val="center"/>
          </w:tcPr>
          <w:p w14:paraId="328B7515">
            <w:pPr>
              <w:widowControl/>
              <w:jc w:val="center"/>
              <w:textAlignment w:val="center"/>
              <w:rPr>
                <w:rFonts w:hint="eastAsia" w:ascii="仿宋_GB2312" w:hAnsi="宋体" w:eastAsia="仿宋_GB2312"/>
                <w:color w:val="000000"/>
                <w:sz w:val="24"/>
              </w:rPr>
            </w:pPr>
          </w:p>
        </w:tc>
      </w:tr>
      <w:tr w14:paraId="2118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4" w:type="dxa"/>
            <w:gridSpan w:val="8"/>
            <w:vAlign w:val="center"/>
          </w:tcPr>
          <w:p w14:paraId="7835DF5A">
            <w:pPr>
              <w:jc w:val="left"/>
              <w:rPr>
                <w:rFonts w:hint="eastAsia" w:ascii="仿宋_GB2312" w:hAnsi="宋体" w:eastAsia="仿宋_GB2312"/>
                <w:color w:val="000000"/>
                <w:sz w:val="24"/>
              </w:rPr>
            </w:pPr>
            <w:r>
              <w:rPr>
                <w:rFonts w:hint="eastAsia" w:ascii="仿宋_GB2312" w:hAnsi="宋体" w:eastAsia="仿宋_GB2312"/>
                <w:b/>
                <w:bCs/>
                <w:color w:val="000000"/>
                <w:sz w:val="24"/>
              </w:rPr>
              <w:t>三、其他要求：</w:t>
            </w:r>
          </w:p>
        </w:tc>
      </w:tr>
      <w:tr w14:paraId="74DD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5" w:type="dxa"/>
            <w:gridSpan w:val="2"/>
            <w:vAlign w:val="center"/>
          </w:tcPr>
          <w:p w14:paraId="19870481">
            <w:pPr>
              <w:widowControl/>
              <w:spacing w:line="400" w:lineRule="exact"/>
              <w:jc w:val="center"/>
              <w:textAlignment w:val="center"/>
              <w:rPr>
                <w:rFonts w:hint="eastAsia" w:ascii="仿宋_GB2312" w:hAnsi="宋体" w:eastAsia="仿宋_GB2312"/>
                <w:b/>
                <w:bCs/>
                <w:color w:val="000000"/>
                <w:sz w:val="24"/>
              </w:rPr>
            </w:pPr>
            <w:r>
              <w:rPr>
                <w:rFonts w:hint="eastAsia" w:ascii="仿宋_GB2312" w:hAnsi="宋体" w:eastAsia="仿宋_GB2312"/>
                <w:b/>
                <w:bCs/>
                <w:color w:val="000000"/>
                <w:sz w:val="24"/>
              </w:rPr>
              <w:t>要求名称</w:t>
            </w:r>
          </w:p>
        </w:tc>
        <w:tc>
          <w:tcPr>
            <w:tcW w:w="6379" w:type="dxa"/>
            <w:gridSpan w:val="4"/>
            <w:vAlign w:val="center"/>
          </w:tcPr>
          <w:p w14:paraId="3A8F9CE1">
            <w:pPr>
              <w:widowControl/>
              <w:spacing w:line="400" w:lineRule="exact"/>
              <w:jc w:val="center"/>
              <w:textAlignment w:val="center"/>
              <w:rPr>
                <w:rFonts w:hint="eastAsia" w:ascii="仿宋_GB2312" w:hAnsi="宋体" w:eastAsia="仿宋_GB2312"/>
                <w:b/>
                <w:bCs/>
                <w:color w:val="000000"/>
                <w:sz w:val="24"/>
              </w:rPr>
            </w:pPr>
            <w:r>
              <w:rPr>
                <w:rFonts w:hint="eastAsia" w:ascii="仿宋_GB2312" w:hAnsi="宋体" w:eastAsia="仿宋_GB2312"/>
                <w:b/>
                <w:bCs/>
                <w:color w:val="000000"/>
                <w:sz w:val="24"/>
              </w:rPr>
              <w:t>要求内容</w:t>
            </w:r>
          </w:p>
        </w:tc>
        <w:tc>
          <w:tcPr>
            <w:tcW w:w="992" w:type="dxa"/>
            <w:vAlign w:val="center"/>
          </w:tcPr>
          <w:p w14:paraId="052E5384">
            <w:pPr>
              <w:widowControl/>
              <w:spacing w:line="400" w:lineRule="exact"/>
              <w:jc w:val="center"/>
              <w:textAlignment w:val="center"/>
              <w:rPr>
                <w:rFonts w:hint="eastAsia" w:ascii="仿宋_GB2312" w:hAnsi="宋体" w:eastAsia="仿宋_GB2312"/>
                <w:b/>
                <w:bCs/>
                <w:color w:val="000000"/>
                <w:sz w:val="24"/>
              </w:rPr>
            </w:pPr>
            <w:r>
              <w:rPr>
                <w:rFonts w:hint="eastAsia" w:ascii="仿宋_GB2312" w:hAnsi="宋体" w:eastAsia="仿宋_GB2312"/>
                <w:b/>
                <w:bCs/>
                <w:color w:val="000000"/>
                <w:sz w:val="24"/>
              </w:rPr>
              <w:t>是否   响应</w:t>
            </w:r>
          </w:p>
        </w:tc>
        <w:tc>
          <w:tcPr>
            <w:tcW w:w="748" w:type="dxa"/>
            <w:vAlign w:val="center"/>
          </w:tcPr>
          <w:p w14:paraId="3749827D">
            <w:pPr>
              <w:jc w:val="center"/>
              <w:rPr>
                <w:rFonts w:hint="eastAsia" w:ascii="仿宋_GB2312" w:hAnsi="宋体" w:eastAsia="仿宋_GB2312"/>
                <w:color w:val="000000"/>
                <w:sz w:val="24"/>
              </w:rPr>
            </w:pPr>
            <w:r>
              <w:rPr>
                <w:rFonts w:hint="eastAsia" w:ascii="仿宋_GB2312" w:hAnsi="宋体" w:eastAsia="仿宋_GB2312"/>
                <w:b/>
                <w:bCs/>
                <w:color w:val="000000"/>
                <w:sz w:val="24"/>
              </w:rPr>
              <w:t>备注</w:t>
            </w:r>
          </w:p>
        </w:tc>
      </w:tr>
      <w:tr w14:paraId="0EC3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5" w:type="dxa"/>
            <w:gridSpan w:val="2"/>
            <w:vAlign w:val="center"/>
          </w:tcPr>
          <w:p w14:paraId="696BEBB7">
            <w:pPr>
              <w:pStyle w:val="4"/>
              <w:jc w:val="center"/>
              <w:rPr>
                <w:rFonts w:hint="eastAsia" w:ascii="仿宋_GB2312" w:hAnsi="宋体" w:eastAsia="仿宋_GB2312" w:cs="Times New Roman"/>
                <w:color w:val="000000"/>
                <w:sz w:val="24"/>
              </w:rPr>
            </w:pPr>
            <w:r>
              <w:rPr>
                <w:rFonts w:hint="eastAsia" w:ascii="仿宋_GB2312" w:hAnsi="宋体" w:eastAsia="仿宋_GB2312" w:cs="Times New Roman"/>
                <w:color w:val="000000"/>
                <w:sz w:val="24"/>
              </w:rPr>
              <w:t>供应商响应附件要求</w:t>
            </w:r>
          </w:p>
        </w:tc>
        <w:tc>
          <w:tcPr>
            <w:tcW w:w="6379" w:type="dxa"/>
            <w:gridSpan w:val="4"/>
            <w:vAlign w:val="center"/>
          </w:tcPr>
          <w:p w14:paraId="1B408698">
            <w:pPr>
              <w:jc w:val="left"/>
              <w:rPr>
                <w:rFonts w:hint="eastAsia" w:ascii="仿宋_GB2312" w:hAnsi="宋体" w:eastAsia="仿宋_GB2312"/>
                <w:color w:val="000000"/>
                <w:sz w:val="24"/>
              </w:rPr>
            </w:pPr>
            <w:r>
              <w:rPr>
                <w:rFonts w:hint="eastAsia" w:ascii="仿宋_GB2312" w:hAnsi="宋体" w:eastAsia="仿宋_GB2312"/>
                <w:color w:val="000000"/>
                <w:sz w:val="24"/>
              </w:rPr>
              <w:t>1．供应商首次竞价时必须按照附件1格式填写并上传《</w:t>
            </w:r>
            <w:r>
              <w:rPr>
                <w:rFonts w:hint="eastAsia" w:ascii="仿宋_GB2312" w:hAnsi="宋体" w:eastAsia="仿宋_GB2312"/>
                <w:color w:val="000000"/>
                <w:sz w:val="24"/>
                <w:lang w:eastAsia="zh-CN"/>
              </w:rPr>
              <w:t>反向竞价需求响应表</w:t>
            </w:r>
            <w:r>
              <w:rPr>
                <w:rFonts w:hint="eastAsia" w:ascii="仿宋_GB2312" w:hAnsi="宋体" w:eastAsia="仿宋_GB2312"/>
                <w:color w:val="000000"/>
                <w:sz w:val="24"/>
              </w:rPr>
              <w:t>》扫描件，否则视为响应无效。</w:t>
            </w:r>
          </w:p>
          <w:p w14:paraId="7694F3ED">
            <w:pPr>
              <w:jc w:val="left"/>
              <w:rPr>
                <w:rFonts w:hint="eastAsia" w:ascii="仿宋_GB2312" w:hAnsi="宋体" w:eastAsia="仿宋_GB2312"/>
                <w:color w:val="000000"/>
                <w:sz w:val="24"/>
              </w:rPr>
            </w:pPr>
            <w:r>
              <w:rPr>
                <w:rFonts w:hint="eastAsia" w:ascii="仿宋_GB2312" w:hAnsi="宋体" w:eastAsia="仿宋_GB2312"/>
                <w:color w:val="000000"/>
                <w:sz w:val="24"/>
              </w:rPr>
              <w:t>2．系统生成预成交供应商后，预成交供应商须在3日内按附件2格式填写《政采云反向竞价项目报价表》（报价总金额必须与系统预成交总价一致）并发送扫描件到采购人邮箱：13768883103@163.com。如果不能按时按要求提供，则视为预成交供应商响应无效，采购人有权取消其成交资格。</w:t>
            </w:r>
          </w:p>
          <w:p w14:paraId="7E191B9C">
            <w:pPr>
              <w:jc w:val="left"/>
              <w:rPr>
                <w:rFonts w:hint="eastAsia" w:ascii="仿宋_GB2312" w:hAnsi="宋体" w:eastAsia="仿宋_GB2312"/>
                <w:color w:val="000000"/>
                <w:sz w:val="24"/>
              </w:rPr>
            </w:pPr>
            <w:r>
              <w:rPr>
                <w:rFonts w:hint="eastAsia" w:ascii="仿宋_GB2312" w:hAnsi="宋体" w:eastAsia="仿宋_GB2312"/>
                <w:color w:val="000000"/>
                <w:sz w:val="24"/>
              </w:rPr>
              <w:t>3.供应商提交的《</w:t>
            </w:r>
            <w:r>
              <w:rPr>
                <w:rFonts w:hint="eastAsia" w:ascii="仿宋_GB2312" w:hAnsi="宋体" w:eastAsia="仿宋_GB2312"/>
                <w:color w:val="000000"/>
                <w:sz w:val="24"/>
                <w:lang w:eastAsia="zh-CN"/>
              </w:rPr>
              <w:t>反向竞价需求响应表</w:t>
            </w:r>
            <w:r>
              <w:rPr>
                <w:rFonts w:hint="eastAsia" w:ascii="仿宋_GB2312" w:hAnsi="宋体" w:eastAsia="仿宋_GB2312"/>
                <w:color w:val="000000"/>
                <w:sz w:val="24"/>
              </w:rPr>
              <w:t>》和《政采云反向竞价项目报价表》均需法定代表人或授权委托人签字并加盖单位公章（如为授权委托人签字则需按附件3格式填写上传授权委托书），否则视为响应无效。</w:t>
            </w:r>
          </w:p>
        </w:tc>
        <w:tc>
          <w:tcPr>
            <w:tcW w:w="992" w:type="dxa"/>
            <w:vAlign w:val="center"/>
          </w:tcPr>
          <w:p w14:paraId="2F3007E5">
            <w:pPr>
              <w:jc w:val="center"/>
              <w:rPr>
                <w:rFonts w:hint="eastAsia" w:ascii="仿宋_GB2312" w:hAnsi="宋体" w:eastAsia="仿宋_GB2312"/>
                <w:color w:val="000000"/>
                <w:sz w:val="24"/>
              </w:rPr>
            </w:pPr>
          </w:p>
        </w:tc>
        <w:tc>
          <w:tcPr>
            <w:tcW w:w="748" w:type="dxa"/>
            <w:vAlign w:val="center"/>
          </w:tcPr>
          <w:p w14:paraId="68A37592">
            <w:pPr>
              <w:jc w:val="center"/>
              <w:rPr>
                <w:rFonts w:hint="eastAsia" w:ascii="仿宋_GB2312" w:hAnsi="宋体" w:eastAsia="仿宋_GB2312"/>
                <w:color w:val="000000"/>
                <w:sz w:val="24"/>
              </w:rPr>
            </w:pPr>
          </w:p>
        </w:tc>
      </w:tr>
      <w:tr w14:paraId="6E2E4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6" w:type="dxa"/>
            <w:gridSpan w:val="7"/>
            <w:vAlign w:val="center"/>
          </w:tcPr>
          <w:p w14:paraId="230F7B7C">
            <w:pPr>
              <w:jc w:val="left"/>
              <w:rPr>
                <w:rFonts w:hint="eastAsia" w:ascii="仿宋_GB2312" w:hAnsi="宋体" w:eastAsia="仿宋_GB2312"/>
                <w:color w:val="000000"/>
                <w:sz w:val="24"/>
              </w:rPr>
            </w:pPr>
            <w:r>
              <w:rPr>
                <w:rFonts w:hint="eastAsia" w:ascii="仿宋_GB2312" w:hAnsi="宋体" w:eastAsia="仿宋_GB2312"/>
                <w:b/>
                <w:bCs/>
                <w:color w:val="000000"/>
                <w:sz w:val="24"/>
              </w:rPr>
              <w:t>四、违约责任</w:t>
            </w:r>
          </w:p>
        </w:tc>
        <w:tc>
          <w:tcPr>
            <w:tcW w:w="748" w:type="dxa"/>
            <w:vAlign w:val="center"/>
          </w:tcPr>
          <w:p w14:paraId="431997F6">
            <w:pPr>
              <w:jc w:val="center"/>
              <w:rPr>
                <w:rFonts w:hint="eastAsia" w:ascii="仿宋_GB2312" w:hAnsi="宋体" w:eastAsia="仿宋_GB2312"/>
                <w:color w:val="000000"/>
                <w:sz w:val="24"/>
              </w:rPr>
            </w:pPr>
            <w:r>
              <w:rPr>
                <w:rFonts w:hint="eastAsia" w:ascii="仿宋_GB2312" w:hAnsi="宋体" w:eastAsia="仿宋_GB2312"/>
                <w:b/>
                <w:bCs/>
                <w:color w:val="000000"/>
                <w:sz w:val="24"/>
              </w:rPr>
              <w:t>是否   响应</w:t>
            </w:r>
          </w:p>
        </w:tc>
      </w:tr>
      <w:tr w14:paraId="4C0F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6" w:type="dxa"/>
            <w:gridSpan w:val="7"/>
            <w:vAlign w:val="center"/>
          </w:tcPr>
          <w:p w14:paraId="45F5CAA4">
            <w:pPr>
              <w:adjustRightInd w:val="0"/>
              <w:snapToGrid w:val="0"/>
              <w:spacing w:line="4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bookmarkStart w:id="0" w:name="OLE_LINK2"/>
            <w:bookmarkStart w:id="1" w:name="OLE_LINK1"/>
            <w:r>
              <w:rPr>
                <w:rFonts w:hint="eastAsia" w:ascii="宋体" w:hAnsi="宋体" w:cs="宋体"/>
                <w:color w:val="000000" w:themeColor="text1"/>
                <w:szCs w:val="21"/>
                <w14:textFill>
                  <w14:solidFill>
                    <w14:schemeClr w14:val="tx1"/>
                  </w14:solidFill>
                </w14:textFill>
              </w:rPr>
              <w:t>若乙方最终未按采购文件要求和响应文件承诺提供相应产品，甲方将不予验收并可以单方面终止合同、没收履约保证金，而且由乙方按合同总金额的30%承担违约责任，并承担甲方在实现其合同权利过程中可能产生的</w:t>
            </w:r>
            <w:r>
              <w:rPr>
                <w:rFonts w:hint="eastAsia"/>
                <w:color w:val="000000" w:themeColor="text1"/>
                <w14:textFill>
                  <w14:solidFill>
                    <w14:schemeClr w14:val="tx1"/>
                  </w14:solidFill>
                </w14:textFill>
              </w:rPr>
              <w:t>实际损失</w:t>
            </w:r>
            <w:r>
              <w:rPr>
                <w:rFonts w:ascii="Segoe UI" w:hAnsi="Segoe UI" w:eastAsia="Segoe UI" w:cs="Segoe UI"/>
                <w:color w:val="000000" w:themeColor="text1"/>
                <w:szCs w:val="21"/>
                <w14:textFill>
                  <w14:solidFill>
                    <w14:schemeClr w14:val="tx1"/>
                  </w14:solidFill>
                </w14:textFill>
              </w:rPr>
              <w:t>包括但不限于直接</w:t>
            </w:r>
            <w:r>
              <w:rPr>
                <w:rFonts w:ascii="Segoe UI" w:hAnsi="Segoe UI" w:eastAsia="Segoe UI" w:cs="Segoe UI"/>
                <w:color w:val="000000" w:themeColor="text1"/>
                <w:szCs w:val="21"/>
                <w:shd w:val="clear" w:color="auto" w:fill="FFFFFF"/>
                <w14:textFill>
                  <w14:solidFill>
                    <w14:schemeClr w14:val="tx1"/>
                  </w14:solidFill>
                </w14:textFill>
              </w:rPr>
              <w:t>损失</w:t>
            </w:r>
            <w:r>
              <w:rPr>
                <w:rFonts w:ascii="Segoe UI" w:hAnsi="Segoe UI" w:eastAsia="Segoe UI" w:cs="Segoe UI"/>
                <w:color w:val="000000" w:themeColor="text1"/>
                <w:szCs w:val="21"/>
                <w14:textFill>
                  <w14:solidFill>
                    <w14:schemeClr w14:val="tx1"/>
                  </w14:solidFill>
                </w14:textFill>
              </w:rPr>
              <w:t>、预期利益损失、甲方向第三人支付的违约金、赔偿金及甲方为索赔支出的诉讼费、律师费、公证费、保全费、担保费、鉴定费、评估费等全部费用</w:t>
            </w:r>
            <w:r>
              <w:rPr>
                <w:rFonts w:ascii="Segoe UI" w:hAnsi="Segoe UI" w:eastAsia="Segoe UI" w:cs="Segoe UI"/>
                <w:color w:val="000000" w:themeColor="text1"/>
                <w:szCs w:val="21"/>
                <w:shd w:val="clear" w:color="auto" w:fill="FFFFFF"/>
                <w14:textFill>
                  <w14:solidFill>
                    <w14:schemeClr w14:val="tx1"/>
                  </w14:solidFill>
                </w14:textFill>
              </w:rPr>
              <w:t>。</w:t>
            </w:r>
          </w:p>
          <w:bookmarkEnd w:id="0"/>
          <w:bookmarkEnd w:id="1"/>
          <w:p w14:paraId="72FDC5C0">
            <w:pPr>
              <w:adjustRightInd w:val="0"/>
              <w:snapToGrid w:val="0"/>
              <w:spacing w:line="4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2.若乙方在合同履约过程中存在被判定有刑事违法犯罪行为</w:t>
            </w:r>
            <w:r>
              <w:rPr>
                <w:rFonts w:hint="eastAsia"/>
                <w:color w:val="000000" w:themeColor="text1"/>
                <w14:textFill>
                  <w14:solidFill>
                    <w14:schemeClr w14:val="tx1"/>
                  </w14:solidFill>
                </w14:textFill>
              </w:rPr>
              <w:t>（包括但不限于行贿受贿等）</w:t>
            </w:r>
            <w:r>
              <w:rPr>
                <w:rFonts w:hint="eastAsia" w:ascii="宋体" w:hAnsi="宋体" w:cs="宋体"/>
                <w:color w:val="000000" w:themeColor="text1"/>
                <w:szCs w:val="21"/>
                <w14:textFill>
                  <w14:solidFill>
                    <w14:schemeClr w14:val="tx1"/>
                  </w14:solidFill>
                </w14:textFill>
              </w:rPr>
              <w:t>情形，甲方可以单方面终止合同、没收履约保证金并按本合同总金额的30%收取违约金。乙方需无条件配合甲方遵守执行此条款。</w:t>
            </w:r>
          </w:p>
          <w:p w14:paraId="7E93B116">
            <w:pPr>
              <w:spacing w:line="4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3.若乙方未按本合同约定或甲方发货通知要求的期限</w:t>
            </w:r>
            <w:r>
              <w:rPr>
                <w:rFonts w:hint="eastAsia" w:ascii="宋体" w:hAnsi="宋体" w:cs="宋体"/>
                <w:color w:val="000000" w:themeColor="text1"/>
                <w:szCs w:val="21"/>
                <w:lang w:val="en-US" w:eastAsia="zh-CN"/>
                <w14:textFill>
                  <w14:solidFill>
                    <w14:schemeClr w14:val="tx1"/>
                  </w14:solidFill>
                </w14:textFill>
              </w:rPr>
              <w:t>完成</w:t>
            </w:r>
            <w:r>
              <w:rPr>
                <w:rFonts w:hint="eastAsia" w:ascii="宋体" w:hAnsi="宋体" w:cs="宋体"/>
                <w:color w:val="000000" w:themeColor="text1"/>
                <w:szCs w:val="21"/>
                <w14:textFill>
                  <w14:solidFill>
                    <w14:schemeClr w14:val="tx1"/>
                  </w14:solidFill>
                </w14:textFill>
              </w:rPr>
              <w:t>安装或完成本合同约定的其他工作的，每逾期一天，乙方应按本合同总价款的万分之</w:t>
            </w:r>
            <w:r>
              <w:rPr>
                <w:rFonts w:hint="eastAsia" w:ascii="宋体" w:hAnsi="宋体" w:cs="宋体"/>
                <w:color w:val="000000" w:themeColor="text1"/>
                <w:szCs w:val="21"/>
                <w:lang w:val="en-US" w:eastAsia="zh-CN"/>
                <w14:textFill>
                  <w14:solidFill>
                    <w14:schemeClr w14:val="tx1"/>
                  </w14:solidFill>
                </w14:textFill>
              </w:rPr>
              <w:t>十</w:t>
            </w:r>
            <w:r>
              <w:rPr>
                <w:rFonts w:hint="eastAsia" w:ascii="宋体" w:hAnsi="宋体" w:cs="宋体"/>
                <w:color w:val="000000" w:themeColor="text1"/>
                <w:szCs w:val="21"/>
                <w14:textFill>
                  <w14:solidFill>
                    <w14:schemeClr w14:val="tx1"/>
                  </w14:solidFill>
                </w14:textFill>
              </w:rPr>
              <w:t>向甲方支付违约金，违约金上限为合同总价的30%；逾期15天，甲方有权单方解除本合同并要求支付合同总金额10%的违约金。若甲方未按本合同约定无故延期支付货款的，每逾期一天，甲方应按本合同总价款的万分之</w:t>
            </w:r>
            <w:r>
              <w:rPr>
                <w:rFonts w:hint="eastAsia" w:ascii="宋体" w:hAnsi="宋体" w:cs="宋体"/>
                <w:color w:val="000000" w:themeColor="text1"/>
                <w:szCs w:val="21"/>
                <w:lang w:val="en-US" w:eastAsia="zh-CN"/>
                <w14:textFill>
                  <w14:solidFill>
                    <w14:schemeClr w14:val="tx1"/>
                  </w14:solidFill>
                </w14:textFill>
              </w:rPr>
              <w:t>十</w:t>
            </w:r>
            <w:r>
              <w:rPr>
                <w:rFonts w:hint="eastAsia" w:ascii="宋体" w:hAnsi="宋体" w:cs="宋体"/>
                <w:color w:val="000000" w:themeColor="text1"/>
                <w:szCs w:val="21"/>
                <w14:textFill>
                  <w14:solidFill>
                    <w14:schemeClr w14:val="tx1"/>
                  </w14:solidFill>
                </w14:textFill>
              </w:rPr>
              <w:t>向乙方支付违约金，违约金上限为合同总价的30%；逾期15天，乙方有权单方解除本合同并要求支付合同总金额10%的违约金。</w:t>
            </w:r>
          </w:p>
          <w:p w14:paraId="750A3F90">
            <w:pPr>
              <w:spacing w:line="4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4.经过甲方验收，乙方交付的产品数量、包装、规格、品牌、质量、随附单证等与合同约定不一致的，视为交付不合格，甲方有权采取下列任何一种措施追究乙方违约责任：</w:t>
            </w:r>
          </w:p>
          <w:p w14:paraId="5F7A8231">
            <w:pPr>
              <w:spacing w:line="4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拒绝接受不合格产品，要求乙方在5日内无条件更换、补足或修理、重做，由此产生的费用由乙方承担，因此延误交货期的乙方承担相应的违约责任，逾期15日仍未更换、补足或更换、补足后仍不符合合同约定的，甲方有权选择单方解除本合同或部分解除本合同并要求乙方支付解除合同部分价款30%作为违约金；</w:t>
            </w:r>
          </w:p>
          <w:p w14:paraId="63B34C40">
            <w:pPr>
              <w:spacing w:line="4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（2）已经接收的产品要求乙方在5日内无条件退货并退还甲方已支付的全部价款并支付退货部分价款30%的违约金；</w:t>
            </w:r>
          </w:p>
          <w:p w14:paraId="2455164F">
            <w:pPr>
              <w:spacing w:line="4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（3）选择不退换货的，甲方有权根据情况以质论价减少价款并要求乙方支付本合同总金额的30%作为违约金。</w:t>
            </w:r>
          </w:p>
          <w:p w14:paraId="63F92CDE">
            <w:pPr>
              <w:adjustRightInd w:val="0"/>
              <w:snapToGrid w:val="0"/>
              <w:spacing w:line="4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乙方对其交付产品的质量承担保证责任，因产品设计、生产、存储、运输、工艺、材料缺陷或安装、质保不当等原因发生质量故障的，无论产品的保修期是否经过，均由乙方承担责任，赔偿由此给甲方、第三人造成的全部损失。</w:t>
            </w:r>
          </w:p>
          <w:p w14:paraId="748C66EB">
            <w:pPr>
              <w:adjustRightInd w:val="0"/>
              <w:snapToGrid w:val="0"/>
              <w:spacing w:line="4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乙方应当保证有权销售本合同的所有产品，不会因此侵犯到第三人的所有权、知识产权等一切权利也未对产品设置任何负担，属于第三人拥有知识产权的已经取得第三人合法授权，甲方有权不受限制的使用。若因违反本款约定引起的第三方权利纠纷的由乙方负责解决，包括甲方使用该产品所需的授权费以及解决争议发生的一切费用（包括但不限于</w:t>
            </w:r>
            <w:r>
              <w:rPr>
                <w:rFonts w:ascii="Segoe UI" w:hAnsi="Segoe UI" w:eastAsia="Segoe UI" w:cs="Segoe UI"/>
                <w:color w:val="000000" w:themeColor="text1"/>
                <w:szCs w:val="21"/>
                <w14:textFill>
                  <w14:solidFill>
                    <w14:schemeClr w14:val="tx1"/>
                  </w14:solidFill>
                </w14:textFill>
              </w:rPr>
              <w:t>诉讼费、律师费、公证费、保全费、担保费、鉴定费、评估费等全部费用</w:t>
            </w:r>
            <w:r>
              <w:rPr>
                <w:rFonts w:hint="eastAsia" w:ascii="宋体" w:hAnsi="宋体" w:cs="宋体"/>
                <w:color w:val="000000" w:themeColor="text1"/>
                <w:szCs w:val="21"/>
                <w14:textFill>
                  <w14:solidFill>
                    <w14:schemeClr w14:val="tx1"/>
                  </w14:solidFill>
                </w14:textFill>
              </w:rPr>
              <w:t>）均由乙方承担。如果不能取得使用许可需要另行购买产品的，所需费用由乙方承担，并赔偿甲方因此受到的损失。</w:t>
            </w:r>
          </w:p>
          <w:p w14:paraId="4DA64475">
            <w:pPr>
              <w:adjustRightInd w:val="0"/>
              <w:snapToGrid w:val="0"/>
              <w:spacing w:line="4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7.本合同签订及履行过程中，未经甲方书面同意，乙方不得将本合同的权利义务以任何方式转让给第三人，否则甲方有权单方解除本合同并要求乙方支付合同总金额30%的违约金。</w:t>
            </w:r>
          </w:p>
          <w:p w14:paraId="6E6164A7">
            <w:pPr>
              <w:adjustRightInd w:val="0"/>
              <w:snapToGrid w:val="0"/>
              <w:spacing w:line="4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8.本合同签订后，乙方要求提前解除合同的，应向甲方支付本合同总金额30%的违约金，退还甲方已支付的全部费用并赔偿由此给甲方造成的全部损失。</w:t>
            </w:r>
          </w:p>
          <w:p w14:paraId="3DCCC653">
            <w:pPr>
              <w:adjustRightInd w:val="0"/>
              <w:snapToGrid w:val="0"/>
              <w:spacing w:line="440" w:lineRule="exact"/>
              <w:ind w:firstLine="420" w:firstLineChars="200"/>
              <w:rPr>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9.</w:t>
            </w:r>
            <w:r>
              <w:rPr>
                <w:rFonts w:hint="eastAsia" w:ascii="宋体" w:hAnsi="宋体" w:cs="宋体"/>
                <w:color w:val="000000" w:themeColor="text1"/>
                <w:szCs w:val="21"/>
                <w14:textFill>
                  <w14:solidFill>
                    <w14:schemeClr w14:val="tx1"/>
                  </w14:solidFill>
                </w14:textFill>
              </w:rPr>
              <w:t>若乙方违反保密义务，应向甲方支付本合同总金额30%的违约金，并赔偿甲方因此遭受的全部损失。</w:t>
            </w:r>
          </w:p>
          <w:p w14:paraId="0EA9A4F8">
            <w:pPr>
              <w:adjustRightInd w:val="0"/>
              <w:snapToGrid w:val="0"/>
              <w:spacing w:line="440" w:lineRule="exact"/>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.乙方应当支付给甲方的违约金、赔偿金，甲方有权从履约保证金（如有）及未支付的货款中扣除，违约金不足以赔偿给甲方造成损失的，甲方仍有权向乙方进行追偿。</w:t>
            </w:r>
          </w:p>
          <w:p w14:paraId="4D7DD356">
            <w:pPr>
              <w:adjustRightInd w:val="0"/>
              <w:snapToGrid w:val="0"/>
              <w:spacing w:line="440" w:lineRule="exact"/>
              <w:ind w:firstLine="420" w:firstLineChars="200"/>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.按本合同约定甲方解除合同的，自甲方解除合同的书面通知送达乙方之日起合同解除，乙方应赔偿由此给甲方造成的全部损失。甲方不支付乙方任何费用。</w:t>
            </w:r>
            <w:r>
              <w:rPr>
                <w:rFonts w:hint="eastAsia"/>
                <w:color w:val="000000" w:themeColor="text1"/>
                <w14:textFill>
                  <w14:solidFill>
                    <w14:schemeClr w14:val="tx1"/>
                  </w14:solidFill>
                </w14:textFill>
              </w:rPr>
              <w:t>乙方应当退还甲方支付的所有费用（如有）和按合同约定应付的违约金及赔偿金等费用，并在合同解除后的5日内自费运回所交付的货物。</w:t>
            </w:r>
          </w:p>
          <w:p w14:paraId="47467173">
            <w:pPr>
              <w:adjustRightInd w:val="0"/>
              <w:snapToGrid w:val="0"/>
              <w:spacing w:line="4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乙方违反本合同约定或法律规定的，应当赔偿给甲方造成的全部损失，包括但不限于直接损失、预期利益损失、甲方向第三人支付的违约金、赔偿金及甲方为索赔支出的诉讼费、律师费、公证费、保全费、担保费、鉴定费、评估费等全部费用。</w:t>
            </w:r>
          </w:p>
          <w:p w14:paraId="254D5FAB">
            <w:pPr>
              <w:adjustRightInd w:val="0"/>
              <w:snapToGrid w:val="0"/>
              <w:spacing w:line="4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13.若乙方未按采购文件要求和响应文件承诺提供检验报告复印件，甲方将不予验收并可以单方面终止合同、没收履约保证金，并按本合同总金额20%收取违约金。</w:t>
            </w:r>
          </w:p>
        </w:tc>
        <w:tc>
          <w:tcPr>
            <w:tcW w:w="748" w:type="dxa"/>
            <w:vAlign w:val="center"/>
          </w:tcPr>
          <w:p w14:paraId="26536E19">
            <w:pPr>
              <w:jc w:val="center"/>
              <w:rPr>
                <w:rFonts w:hint="eastAsia" w:ascii="仿宋_GB2312" w:hAnsi="宋体" w:eastAsia="仿宋_GB2312"/>
                <w:color w:val="000000"/>
                <w:sz w:val="24"/>
              </w:rPr>
            </w:pPr>
          </w:p>
        </w:tc>
      </w:tr>
    </w:tbl>
    <w:p w14:paraId="6260A2C7">
      <w:pPr>
        <w:pStyle w:val="4"/>
        <w:ind w:firstLine="480" w:firstLineChars="200"/>
        <w:rPr>
          <w:rFonts w:hint="eastAsia" w:ascii="仿宋_GB2312" w:eastAsia="仿宋_GB2312"/>
          <w:color w:val="000000"/>
          <w:sz w:val="24"/>
        </w:rPr>
      </w:pPr>
    </w:p>
    <w:p w14:paraId="6BC63F5B">
      <w:pPr>
        <w:pStyle w:val="4"/>
        <w:ind w:firstLine="480" w:firstLineChars="200"/>
        <w:rPr>
          <w:rFonts w:ascii="仿宋_GB2312" w:eastAsia="仿宋_GB2312"/>
          <w:color w:val="000000"/>
          <w:sz w:val="24"/>
        </w:rPr>
      </w:pPr>
      <w:r>
        <w:rPr>
          <w:rFonts w:hint="eastAsia" w:ascii="仿宋_GB2312" w:eastAsia="仿宋_GB2312"/>
          <w:color w:val="000000"/>
          <w:sz w:val="24"/>
        </w:rPr>
        <w:t xml:space="preserve">供应商名称（盖单位公章）：                   </w:t>
      </w:r>
    </w:p>
    <w:p w14:paraId="329039E4">
      <w:pPr>
        <w:pStyle w:val="4"/>
        <w:ind w:firstLine="480" w:firstLineChars="200"/>
        <w:rPr>
          <w:rFonts w:ascii="仿宋_GB2312" w:eastAsia="仿宋_GB2312"/>
          <w:color w:val="000000"/>
          <w:sz w:val="24"/>
        </w:rPr>
      </w:pPr>
      <w:r>
        <w:rPr>
          <w:rFonts w:hint="eastAsia" w:ascii="仿宋_GB2312" w:eastAsia="仿宋_GB2312"/>
          <w:color w:val="000000"/>
          <w:sz w:val="24"/>
        </w:rPr>
        <w:t xml:space="preserve">法定代表人或授权委托人（签字或盖章）：                                                                                    </w:t>
      </w:r>
    </w:p>
    <w:p w14:paraId="44E87030">
      <w:pPr>
        <w:pStyle w:val="4"/>
        <w:ind w:firstLine="480" w:firstLineChars="200"/>
        <w:rPr>
          <w:rFonts w:ascii="仿宋_GB2312" w:eastAsia="仿宋_GB2312"/>
          <w:color w:val="000000"/>
          <w:sz w:val="24"/>
        </w:rPr>
      </w:pPr>
      <w:r>
        <w:rPr>
          <w:rFonts w:hint="eastAsia" w:ascii="仿宋_GB2312" w:eastAsia="仿宋_GB2312"/>
          <w:color w:val="000000"/>
          <w:sz w:val="24"/>
        </w:rPr>
        <w:t>联系人及电话：</w:t>
      </w:r>
    </w:p>
    <w:p w14:paraId="23AABBB8">
      <w:pPr>
        <w:pStyle w:val="4"/>
        <w:ind w:firstLine="480" w:firstLineChars="200"/>
      </w:pPr>
      <w:r>
        <w:rPr>
          <w:rFonts w:hint="eastAsia" w:ascii="仿宋_GB2312" w:eastAsia="仿宋_GB2312"/>
          <w:color w:val="000000"/>
          <w:sz w:val="24"/>
        </w:rPr>
        <w:t>时间：</w:t>
      </w:r>
    </w:p>
    <w:p w14:paraId="7E355B11"/>
    <w:p w14:paraId="7D8FB6B6"/>
    <w:p w14:paraId="59232184">
      <w:bookmarkStart w:id="2" w:name="_GoBack"/>
      <w:bookmarkEnd w:id="2"/>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CF5060D-39D1-43B8-8870-256B753F0EFE}"/>
  </w:font>
  <w:font w:name="仿宋_GB2312">
    <w:panose1 w:val="02010609030101010101"/>
    <w:charset w:val="86"/>
    <w:family w:val="modern"/>
    <w:pitch w:val="default"/>
    <w:sig w:usb0="00000001" w:usb1="080E0000" w:usb2="00000000" w:usb3="00000000" w:csb0="00040000" w:csb1="00000000"/>
    <w:embedRegular r:id="rId2" w:fontKey="{1B2812DD-07DC-4743-A9A9-E8321EFC6FE1}"/>
  </w:font>
  <w:font w:name="方正小标宋_GBK">
    <w:panose1 w:val="03000509000000000000"/>
    <w:charset w:val="86"/>
    <w:family w:val="script"/>
    <w:pitch w:val="default"/>
    <w:sig w:usb0="00000001" w:usb1="080E0000" w:usb2="00000000" w:usb3="00000000" w:csb0="00040000" w:csb1="00000000"/>
    <w:embedRegular r:id="rId3" w:fontKey="{0AF6884C-3C96-4B5F-9FA6-C7867858AD2E}"/>
  </w:font>
  <w:font w:name="Segoe UI">
    <w:panose1 w:val="020B0502040204020203"/>
    <w:charset w:val="00"/>
    <w:family w:val="swiss"/>
    <w:pitch w:val="default"/>
    <w:sig w:usb0="E4002EFF" w:usb1="C000E47F" w:usb2="00000009" w:usb3="00000000" w:csb0="200001FF" w:csb1="00000000"/>
    <w:embedRegular r:id="rId4" w:fontKey="{DE574D75-8C07-4621-AABE-7687BD3D0CE1}"/>
  </w:font>
  <w:font w:name="WPSEMBED1">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5" w:fontKey="{4607FD06-48E7-4FF6-AEEB-DC7A73E058E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86A"/>
    <w:rsid w:val="00001ACF"/>
    <w:rsid w:val="00002182"/>
    <w:rsid w:val="00003A4C"/>
    <w:rsid w:val="000060A8"/>
    <w:rsid w:val="00006114"/>
    <w:rsid w:val="000061C3"/>
    <w:rsid w:val="00006872"/>
    <w:rsid w:val="000072FB"/>
    <w:rsid w:val="000079DD"/>
    <w:rsid w:val="00010B68"/>
    <w:rsid w:val="000113AB"/>
    <w:rsid w:val="00012AE8"/>
    <w:rsid w:val="000132C2"/>
    <w:rsid w:val="00014329"/>
    <w:rsid w:val="0001583F"/>
    <w:rsid w:val="00015951"/>
    <w:rsid w:val="00015F6B"/>
    <w:rsid w:val="0001671E"/>
    <w:rsid w:val="000170C0"/>
    <w:rsid w:val="000177F9"/>
    <w:rsid w:val="00020713"/>
    <w:rsid w:val="00020B43"/>
    <w:rsid w:val="00021C7C"/>
    <w:rsid w:val="00023582"/>
    <w:rsid w:val="0002381D"/>
    <w:rsid w:val="0002428A"/>
    <w:rsid w:val="00024932"/>
    <w:rsid w:val="00024AAA"/>
    <w:rsid w:val="00025070"/>
    <w:rsid w:val="000265B4"/>
    <w:rsid w:val="000278E1"/>
    <w:rsid w:val="0002791F"/>
    <w:rsid w:val="00027FD7"/>
    <w:rsid w:val="000317D6"/>
    <w:rsid w:val="00031CAD"/>
    <w:rsid w:val="00032649"/>
    <w:rsid w:val="00035146"/>
    <w:rsid w:val="00036FEE"/>
    <w:rsid w:val="00040279"/>
    <w:rsid w:val="0004126C"/>
    <w:rsid w:val="00041B6D"/>
    <w:rsid w:val="00042FC1"/>
    <w:rsid w:val="0004380E"/>
    <w:rsid w:val="00043E86"/>
    <w:rsid w:val="00043F70"/>
    <w:rsid w:val="000442D1"/>
    <w:rsid w:val="00045E28"/>
    <w:rsid w:val="000466B3"/>
    <w:rsid w:val="00047F88"/>
    <w:rsid w:val="00050A03"/>
    <w:rsid w:val="0005115F"/>
    <w:rsid w:val="00051A52"/>
    <w:rsid w:val="00052580"/>
    <w:rsid w:val="000533B8"/>
    <w:rsid w:val="00053B05"/>
    <w:rsid w:val="0005488F"/>
    <w:rsid w:val="0005502C"/>
    <w:rsid w:val="0006343D"/>
    <w:rsid w:val="00065D82"/>
    <w:rsid w:val="000663CE"/>
    <w:rsid w:val="000664D1"/>
    <w:rsid w:val="00067664"/>
    <w:rsid w:val="00071433"/>
    <w:rsid w:val="00071BF4"/>
    <w:rsid w:val="000723AA"/>
    <w:rsid w:val="000725AA"/>
    <w:rsid w:val="00072C84"/>
    <w:rsid w:val="0007334D"/>
    <w:rsid w:val="000733B5"/>
    <w:rsid w:val="0007384F"/>
    <w:rsid w:val="00074B2C"/>
    <w:rsid w:val="00075CF5"/>
    <w:rsid w:val="00076952"/>
    <w:rsid w:val="00076FB4"/>
    <w:rsid w:val="00080E16"/>
    <w:rsid w:val="00081AC0"/>
    <w:rsid w:val="00082C08"/>
    <w:rsid w:val="00083B6B"/>
    <w:rsid w:val="00085D95"/>
    <w:rsid w:val="00085ECB"/>
    <w:rsid w:val="000860AB"/>
    <w:rsid w:val="00087CB9"/>
    <w:rsid w:val="00092965"/>
    <w:rsid w:val="00092E39"/>
    <w:rsid w:val="00092EEA"/>
    <w:rsid w:val="000940B4"/>
    <w:rsid w:val="00094B2D"/>
    <w:rsid w:val="0009658D"/>
    <w:rsid w:val="00097238"/>
    <w:rsid w:val="000A05C8"/>
    <w:rsid w:val="000A063F"/>
    <w:rsid w:val="000A10B8"/>
    <w:rsid w:val="000A1B39"/>
    <w:rsid w:val="000A2632"/>
    <w:rsid w:val="000A3148"/>
    <w:rsid w:val="000A45B1"/>
    <w:rsid w:val="000A490D"/>
    <w:rsid w:val="000A4ECD"/>
    <w:rsid w:val="000A505C"/>
    <w:rsid w:val="000A670B"/>
    <w:rsid w:val="000A68D6"/>
    <w:rsid w:val="000A6DDC"/>
    <w:rsid w:val="000A75DA"/>
    <w:rsid w:val="000A7D57"/>
    <w:rsid w:val="000B50C6"/>
    <w:rsid w:val="000B700F"/>
    <w:rsid w:val="000C2976"/>
    <w:rsid w:val="000C29ED"/>
    <w:rsid w:val="000C2EAD"/>
    <w:rsid w:val="000C4787"/>
    <w:rsid w:val="000C7000"/>
    <w:rsid w:val="000D0BC2"/>
    <w:rsid w:val="000D0E17"/>
    <w:rsid w:val="000D103C"/>
    <w:rsid w:val="000D1496"/>
    <w:rsid w:val="000D1E36"/>
    <w:rsid w:val="000D25C2"/>
    <w:rsid w:val="000D31B8"/>
    <w:rsid w:val="000D50F2"/>
    <w:rsid w:val="000D5219"/>
    <w:rsid w:val="000D704F"/>
    <w:rsid w:val="000E04A7"/>
    <w:rsid w:val="000E0971"/>
    <w:rsid w:val="000E1D0C"/>
    <w:rsid w:val="000E3880"/>
    <w:rsid w:val="000E3C4A"/>
    <w:rsid w:val="000E403F"/>
    <w:rsid w:val="000E47E3"/>
    <w:rsid w:val="000E4FCB"/>
    <w:rsid w:val="000E5396"/>
    <w:rsid w:val="000E670A"/>
    <w:rsid w:val="000E69C6"/>
    <w:rsid w:val="000E73F7"/>
    <w:rsid w:val="000F103F"/>
    <w:rsid w:val="000F2550"/>
    <w:rsid w:val="000F29D8"/>
    <w:rsid w:val="000F305B"/>
    <w:rsid w:val="000F4335"/>
    <w:rsid w:val="000F4622"/>
    <w:rsid w:val="000F5C2B"/>
    <w:rsid w:val="000F7AF9"/>
    <w:rsid w:val="00100433"/>
    <w:rsid w:val="00100DDA"/>
    <w:rsid w:val="001016BC"/>
    <w:rsid w:val="00102888"/>
    <w:rsid w:val="00103408"/>
    <w:rsid w:val="00104E28"/>
    <w:rsid w:val="0010671C"/>
    <w:rsid w:val="00107C9C"/>
    <w:rsid w:val="001110AF"/>
    <w:rsid w:val="00112550"/>
    <w:rsid w:val="001140B4"/>
    <w:rsid w:val="00114274"/>
    <w:rsid w:val="001164F7"/>
    <w:rsid w:val="00117117"/>
    <w:rsid w:val="00117FB2"/>
    <w:rsid w:val="00120FC9"/>
    <w:rsid w:val="00121E84"/>
    <w:rsid w:val="001226FC"/>
    <w:rsid w:val="00122F08"/>
    <w:rsid w:val="00122F73"/>
    <w:rsid w:val="001237C4"/>
    <w:rsid w:val="0012393D"/>
    <w:rsid w:val="00124672"/>
    <w:rsid w:val="0012498B"/>
    <w:rsid w:val="001258D1"/>
    <w:rsid w:val="0012602E"/>
    <w:rsid w:val="00127285"/>
    <w:rsid w:val="0012766B"/>
    <w:rsid w:val="001277AC"/>
    <w:rsid w:val="00127B1E"/>
    <w:rsid w:val="00132622"/>
    <w:rsid w:val="00134B47"/>
    <w:rsid w:val="0013538B"/>
    <w:rsid w:val="00135A65"/>
    <w:rsid w:val="0013610C"/>
    <w:rsid w:val="001367E3"/>
    <w:rsid w:val="00137441"/>
    <w:rsid w:val="00137551"/>
    <w:rsid w:val="001400C5"/>
    <w:rsid w:val="00141F90"/>
    <w:rsid w:val="00142B5F"/>
    <w:rsid w:val="00143205"/>
    <w:rsid w:val="0014382D"/>
    <w:rsid w:val="0014450E"/>
    <w:rsid w:val="00145530"/>
    <w:rsid w:val="001479A6"/>
    <w:rsid w:val="0015077E"/>
    <w:rsid w:val="001526B6"/>
    <w:rsid w:val="00152A23"/>
    <w:rsid w:val="001530C5"/>
    <w:rsid w:val="0015380E"/>
    <w:rsid w:val="00153C41"/>
    <w:rsid w:val="001540B4"/>
    <w:rsid w:val="001541E8"/>
    <w:rsid w:val="0015421C"/>
    <w:rsid w:val="001549F5"/>
    <w:rsid w:val="0015693A"/>
    <w:rsid w:val="00156BB5"/>
    <w:rsid w:val="00156CB8"/>
    <w:rsid w:val="00157908"/>
    <w:rsid w:val="00160B63"/>
    <w:rsid w:val="00161EE0"/>
    <w:rsid w:val="001621E3"/>
    <w:rsid w:val="001634DA"/>
    <w:rsid w:val="00170444"/>
    <w:rsid w:val="001713EE"/>
    <w:rsid w:val="00171D2A"/>
    <w:rsid w:val="00174598"/>
    <w:rsid w:val="0017466A"/>
    <w:rsid w:val="00175BA9"/>
    <w:rsid w:val="00176176"/>
    <w:rsid w:val="0018006A"/>
    <w:rsid w:val="00182D8D"/>
    <w:rsid w:val="001840FD"/>
    <w:rsid w:val="001869B0"/>
    <w:rsid w:val="001900DC"/>
    <w:rsid w:val="00190517"/>
    <w:rsid w:val="00190C25"/>
    <w:rsid w:val="00190F73"/>
    <w:rsid w:val="00190FCF"/>
    <w:rsid w:val="0019251A"/>
    <w:rsid w:val="00192D05"/>
    <w:rsid w:val="0019316C"/>
    <w:rsid w:val="0019335F"/>
    <w:rsid w:val="0019339B"/>
    <w:rsid w:val="00193EF4"/>
    <w:rsid w:val="001952A5"/>
    <w:rsid w:val="00195554"/>
    <w:rsid w:val="00195E46"/>
    <w:rsid w:val="001961C8"/>
    <w:rsid w:val="001A00B8"/>
    <w:rsid w:val="001A21DD"/>
    <w:rsid w:val="001A3F17"/>
    <w:rsid w:val="001A4132"/>
    <w:rsid w:val="001A4D20"/>
    <w:rsid w:val="001A58D8"/>
    <w:rsid w:val="001B035D"/>
    <w:rsid w:val="001B0AB8"/>
    <w:rsid w:val="001B0C0A"/>
    <w:rsid w:val="001B0F26"/>
    <w:rsid w:val="001B1788"/>
    <w:rsid w:val="001B1D80"/>
    <w:rsid w:val="001B2455"/>
    <w:rsid w:val="001B3439"/>
    <w:rsid w:val="001B3EA4"/>
    <w:rsid w:val="001B44EC"/>
    <w:rsid w:val="001B6A3E"/>
    <w:rsid w:val="001B71A6"/>
    <w:rsid w:val="001C2262"/>
    <w:rsid w:val="001C2FD6"/>
    <w:rsid w:val="001C3171"/>
    <w:rsid w:val="001C3871"/>
    <w:rsid w:val="001C4EFB"/>
    <w:rsid w:val="001C584C"/>
    <w:rsid w:val="001C6FAE"/>
    <w:rsid w:val="001D054E"/>
    <w:rsid w:val="001D2A98"/>
    <w:rsid w:val="001D340F"/>
    <w:rsid w:val="001D3701"/>
    <w:rsid w:val="001D3C87"/>
    <w:rsid w:val="001D4396"/>
    <w:rsid w:val="001D4F16"/>
    <w:rsid w:val="001D6139"/>
    <w:rsid w:val="001D69A8"/>
    <w:rsid w:val="001E0280"/>
    <w:rsid w:val="001E15BE"/>
    <w:rsid w:val="001E26E3"/>
    <w:rsid w:val="001E30EA"/>
    <w:rsid w:val="001E3181"/>
    <w:rsid w:val="001E3A67"/>
    <w:rsid w:val="001E3E27"/>
    <w:rsid w:val="001E546B"/>
    <w:rsid w:val="001E6B13"/>
    <w:rsid w:val="001E78B5"/>
    <w:rsid w:val="001E79DF"/>
    <w:rsid w:val="001E7DA5"/>
    <w:rsid w:val="001F004F"/>
    <w:rsid w:val="001F0BE7"/>
    <w:rsid w:val="001F26CE"/>
    <w:rsid w:val="001F2EBD"/>
    <w:rsid w:val="001F2FB3"/>
    <w:rsid w:val="001F3550"/>
    <w:rsid w:val="001F3866"/>
    <w:rsid w:val="001F3F6D"/>
    <w:rsid w:val="001F4DDA"/>
    <w:rsid w:val="001F53A4"/>
    <w:rsid w:val="001F5FAE"/>
    <w:rsid w:val="00200424"/>
    <w:rsid w:val="00200840"/>
    <w:rsid w:val="0020095F"/>
    <w:rsid w:val="00201046"/>
    <w:rsid w:val="0020196A"/>
    <w:rsid w:val="00201997"/>
    <w:rsid w:val="002030CC"/>
    <w:rsid w:val="00203363"/>
    <w:rsid w:val="00203BE8"/>
    <w:rsid w:val="00204D5D"/>
    <w:rsid w:val="0020587B"/>
    <w:rsid w:val="00207160"/>
    <w:rsid w:val="00207D59"/>
    <w:rsid w:val="00207D8A"/>
    <w:rsid w:val="0021019C"/>
    <w:rsid w:val="00210353"/>
    <w:rsid w:val="002104C6"/>
    <w:rsid w:val="00210A02"/>
    <w:rsid w:val="00210A0D"/>
    <w:rsid w:val="00211995"/>
    <w:rsid w:val="0021232E"/>
    <w:rsid w:val="0021317B"/>
    <w:rsid w:val="00213D28"/>
    <w:rsid w:val="00214AD0"/>
    <w:rsid w:val="002151DB"/>
    <w:rsid w:val="0021589C"/>
    <w:rsid w:val="00215B87"/>
    <w:rsid w:val="0021692E"/>
    <w:rsid w:val="00220262"/>
    <w:rsid w:val="00220BEE"/>
    <w:rsid w:val="00221DDF"/>
    <w:rsid w:val="00222515"/>
    <w:rsid w:val="002239D4"/>
    <w:rsid w:val="00223F95"/>
    <w:rsid w:val="002244D1"/>
    <w:rsid w:val="0022458D"/>
    <w:rsid w:val="00226CD9"/>
    <w:rsid w:val="00227B09"/>
    <w:rsid w:val="00230A88"/>
    <w:rsid w:val="00230BB9"/>
    <w:rsid w:val="00231AA8"/>
    <w:rsid w:val="00231C53"/>
    <w:rsid w:val="002327E9"/>
    <w:rsid w:val="00232E08"/>
    <w:rsid w:val="002332D9"/>
    <w:rsid w:val="00235133"/>
    <w:rsid w:val="002352A5"/>
    <w:rsid w:val="00236173"/>
    <w:rsid w:val="00236E13"/>
    <w:rsid w:val="00242861"/>
    <w:rsid w:val="002433A2"/>
    <w:rsid w:val="00244143"/>
    <w:rsid w:val="00245B5B"/>
    <w:rsid w:val="00245F47"/>
    <w:rsid w:val="00246E19"/>
    <w:rsid w:val="0025029E"/>
    <w:rsid w:val="00250BF5"/>
    <w:rsid w:val="002516A8"/>
    <w:rsid w:val="00252CE2"/>
    <w:rsid w:val="00253569"/>
    <w:rsid w:val="00253B17"/>
    <w:rsid w:val="00254E5E"/>
    <w:rsid w:val="00254EE1"/>
    <w:rsid w:val="00255490"/>
    <w:rsid w:val="00256363"/>
    <w:rsid w:val="002564E5"/>
    <w:rsid w:val="00256843"/>
    <w:rsid w:val="00260F69"/>
    <w:rsid w:val="00262500"/>
    <w:rsid w:val="00263AAE"/>
    <w:rsid w:val="00264A88"/>
    <w:rsid w:val="002663B0"/>
    <w:rsid w:val="00266DA9"/>
    <w:rsid w:val="00270044"/>
    <w:rsid w:val="00270B47"/>
    <w:rsid w:val="002718D3"/>
    <w:rsid w:val="00272D88"/>
    <w:rsid w:val="002754AB"/>
    <w:rsid w:val="00275A96"/>
    <w:rsid w:val="00275C47"/>
    <w:rsid w:val="00277AFA"/>
    <w:rsid w:val="00280D14"/>
    <w:rsid w:val="00280D7C"/>
    <w:rsid w:val="00281FB7"/>
    <w:rsid w:val="00282124"/>
    <w:rsid w:val="00282AA4"/>
    <w:rsid w:val="00283EFB"/>
    <w:rsid w:val="00284DD7"/>
    <w:rsid w:val="00285CFE"/>
    <w:rsid w:val="002903F7"/>
    <w:rsid w:val="002911DA"/>
    <w:rsid w:val="002920A2"/>
    <w:rsid w:val="0029392B"/>
    <w:rsid w:val="00295079"/>
    <w:rsid w:val="002950B8"/>
    <w:rsid w:val="00296307"/>
    <w:rsid w:val="00296D6B"/>
    <w:rsid w:val="00297AC1"/>
    <w:rsid w:val="002A062F"/>
    <w:rsid w:val="002A2CB3"/>
    <w:rsid w:val="002A4DAF"/>
    <w:rsid w:val="002A4E31"/>
    <w:rsid w:val="002A53C1"/>
    <w:rsid w:val="002A6894"/>
    <w:rsid w:val="002A6F31"/>
    <w:rsid w:val="002A7528"/>
    <w:rsid w:val="002A7E84"/>
    <w:rsid w:val="002B02EB"/>
    <w:rsid w:val="002B14FE"/>
    <w:rsid w:val="002B189A"/>
    <w:rsid w:val="002B4ECA"/>
    <w:rsid w:val="002B5311"/>
    <w:rsid w:val="002B5FB7"/>
    <w:rsid w:val="002B65C3"/>
    <w:rsid w:val="002B6C0A"/>
    <w:rsid w:val="002B7857"/>
    <w:rsid w:val="002C131D"/>
    <w:rsid w:val="002C142F"/>
    <w:rsid w:val="002C21B9"/>
    <w:rsid w:val="002C3D1C"/>
    <w:rsid w:val="002C3DDD"/>
    <w:rsid w:val="002C3EBE"/>
    <w:rsid w:val="002C5BAF"/>
    <w:rsid w:val="002C6203"/>
    <w:rsid w:val="002C6565"/>
    <w:rsid w:val="002C6D7A"/>
    <w:rsid w:val="002D12B4"/>
    <w:rsid w:val="002D156A"/>
    <w:rsid w:val="002D15E7"/>
    <w:rsid w:val="002D77D5"/>
    <w:rsid w:val="002D7B3B"/>
    <w:rsid w:val="002E0934"/>
    <w:rsid w:val="002E1F15"/>
    <w:rsid w:val="002E2F10"/>
    <w:rsid w:val="002E381A"/>
    <w:rsid w:val="002E3F8D"/>
    <w:rsid w:val="002E466A"/>
    <w:rsid w:val="002E482A"/>
    <w:rsid w:val="002E4E07"/>
    <w:rsid w:val="002E528D"/>
    <w:rsid w:val="002E58AD"/>
    <w:rsid w:val="002E6983"/>
    <w:rsid w:val="002E7127"/>
    <w:rsid w:val="002E77E3"/>
    <w:rsid w:val="002E7D4E"/>
    <w:rsid w:val="002F0471"/>
    <w:rsid w:val="002F0EBB"/>
    <w:rsid w:val="002F143C"/>
    <w:rsid w:val="002F269B"/>
    <w:rsid w:val="002F2B4C"/>
    <w:rsid w:val="002F2BC6"/>
    <w:rsid w:val="002F30B4"/>
    <w:rsid w:val="002F4BCA"/>
    <w:rsid w:val="002F5DEA"/>
    <w:rsid w:val="002F6417"/>
    <w:rsid w:val="002F6C1F"/>
    <w:rsid w:val="002F7075"/>
    <w:rsid w:val="002F755B"/>
    <w:rsid w:val="003004C5"/>
    <w:rsid w:val="00300E9F"/>
    <w:rsid w:val="00300F8D"/>
    <w:rsid w:val="00302E30"/>
    <w:rsid w:val="00303976"/>
    <w:rsid w:val="00304072"/>
    <w:rsid w:val="00305181"/>
    <w:rsid w:val="0030553B"/>
    <w:rsid w:val="00306162"/>
    <w:rsid w:val="00306A2E"/>
    <w:rsid w:val="00306D97"/>
    <w:rsid w:val="003076C2"/>
    <w:rsid w:val="003120BF"/>
    <w:rsid w:val="00312C11"/>
    <w:rsid w:val="00314522"/>
    <w:rsid w:val="0031672A"/>
    <w:rsid w:val="00316767"/>
    <w:rsid w:val="0031738D"/>
    <w:rsid w:val="00320601"/>
    <w:rsid w:val="00321446"/>
    <w:rsid w:val="003228C3"/>
    <w:rsid w:val="00324CEB"/>
    <w:rsid w:val="00325119"/>
    <w:rsid w:val="00325A88"/>
    <w:rsid w:val="0032626A"/>
    <w:rsid w:val="003263DB"/>
    <w:rsid w:val="003265F7"/>
    <w:rsid w:val="00326FCA"/>
    <w:rsid w:val="0032772D"/>
    <w:rsid w:val="0033077B"/>
    <w:rsid w:val="00330CED"/>
    <w:rsid w:val="00332E4E"/>
    <w:rsid w:val="00333B39"/>
    <w:rsid w:val="00335A84"/>
    <w:rsid w:val="00336A84"/>
    <w:rsid w:val="0033706F"/>
    <w:rsid w:val="0033729E"/>
    <w:rsid w:val="0034081B"/>
    <w:rsid w:val="00340A57"/>
    <w:rsid w:val="00341434"/>
    <w:rsid w:val="00341597"/>
    <w:rsid w:val="00341C74"/>
    <w:rsid w:val="00341EB5"/>
    <w:rsid w:val="0034205F"/>
    <w:rsid w:val="0034252C"/>
    <w:rsid w:val="00342D8E"/>
    <w:rsid w:val="00343080"/>
    <w:rsid w:val="00344B70"/>
    <w:rsid w:val="0034517D"/>
    <w:rsid w:val="0034557F"/>
    <w:rsid w:val="0034675A"/>
    <w:rsid w:val="003503C2"/>
    <w:rsid w:val="00352230"/>
    <w:rsid w:val="00352640"/>
    <w:rsid w:val="00353E28"/>
    <w:rsid w:val="00354DDB"/>
    <w:rsid w:val="00354DE7"/>
    <w:rsid w:val="00355218"/>
    <w:rsid w:val="00355E2E"/>
    <w:rsid w:val="00356059"/>
    <w:rsid w:val="00356884"/>
    <w:rsid w:val="0035790B"/>
    <w:rsid w:val="00357E96"/>
    <w:rsid w:val="003620AE"/>
    <w:rsid w:val="00363E07"/>
    <w:rsid w:val="0036466B"/>
    <w:rsid w:val="003647AC"/>
    <w:rsid w:val="003663D2"/>
    <w:rsid w:val="00366E88"/>
    <w:rsid w:val="003672C9"/>
    <w:rsid w:val="0036733C"/>
    <w:rsid w:val="0036769C"/>
    <w:rsid w:val="0037038B"/>
    <w:rsid w:val="0037049A"/>
    <w:rsid w:val="00372345"/>
    <w:rsid w:val="00372A4E"/>
    <w:rsid w:val="003757F7"/>
    <w:rsid w:val="00376A92"/>
    <w:rsid w:val="00376A98"/>
    <w:rsid w:val="003774B5"/>
    <w:rsid w:val="00380892"/>
    <w:rsid w:val="00380DD2"/>
    <w:rsid w:val="00381F2E"/>
    <w:rsid w:val="0038208B"/>
    <w:rsid w:val="003825C6"/>
    <w:rsid w:val="003854AA"/>
    <w:rsid w:val="0038581C"/>
    <w:rsid w:val="00385AB2"/>
    <w:rsid w:val="0039027C"/>
    <w:rsid w:val="00390622"/>
    <w:rsid w:val="00390BFA"/>
    <w:rsid w:val="00390C56"/>
    <w:rsid w:val="003916AB"/>
    <w:rsid w:val="00391A97"/>
    <w:rsid w:val="0039429B"/>
    <w:rsid w:val="00394A4F"/>
    <w:rsid w:val="0039563A"/>
    <w:rsid w:val="0039576F"/>
    <w:rsid w:val="003966CA"/>
    <w:rsid w:val="00397430"/>
    <w:rsid w:val="003A1FA5"/>
    <w:rsid w:val="003A203A"/>
    <w:rsid w:val="003A2128"/>
    <w:rsid w:val="003A2239"/>
    <w:rsid w:val="003A267F"/>
    <w:rsid w:val="003A3F07"/>
    <w:rsid w:val="003A482F"/>
    <w:rsid w:val="003A5DF0"/>
    <w:rsid w:val="003A64E9"/>
    <w:rsid w:val="003A70BF"/>
    <w:rsid w:val="003A73AC"/>
    <w:rsid w:val="003A7601"/>
    <w:rsid w:val="003B0075"/>
    <w:rsid w:val="003B02B1"/>
    <w:rsid w:val="003B15AC"/>
    <w:rsid w:val="003B2AAD"/>
    <w:rsid w:val="003B3518"/>
    <w:rsid w:val="003B4B40"/>
    <w:rsid w:val="003B5329"/>
    <w:rsid w:val="003B57D7"/>
    <w:rsid w:val="003B5A26"/>
    <w:rsid w:val="003B5ACA"/>
    <w:rsid w:val="003B6B3F"/>
    <w:rsid w:val="003C0034"/>
    <w:rsid w:val="003C097A"/>
    <w:rsid w:val="003C16C8"/>
    <w:rsid w:val="003C1FF3"/>
    <w:rsid w:val="003C237D"/>
    <w:rsid w:val="003C2801"/>
    <w:rsid w:val="003C2B60"/>
    <w:rsid w:val="003C3FF9"/>
    <w:rsid w:val="003C45CF"/>
    <w:rsid w:val="003C565E"/>
    <w:rsid w:val="003C71D7"/>
    <w:rsid w:val="003C7278"/>
    <w:rsid w:val="003C7650"/>
    <w:rsid w:val="003C7BE3"/>
    <w:rsid w:val="003D0292"/>
    <w:rsid w:val="003D1301"/>
    <w:rsid w:val="003D1DA5"/>
    <w:rsid w:val="003D26BB"/>
    <w:rsid w:val="003D3E5B"/>
    <w:rsid w:val="003D4086"/>
    <w:rsid w:val="003D41C9"/>
    <w:rsid w:val="003D64D5"/>
    <w:rsid w:val="003D71AC"/>
    <w:rsid w:val="003D7493"/>
    <w:rsid w:val="003D7A18"/>
    <w:rsid w:val="003D7AFB"/>
    <w:rsid w:val="003E047D"/>
    <w:rsid w:val="003E08AA"/>
    <w:rsid w:val="003E2942"/>
    <w:rsid w:val="003E3697"/>
    <w:rsid w:val="003E39E3"/>
    <w:rsid w:val="003E3B1C"/>
    <w:rsid w:val="003E4CE1"/>
    <w:rsid w:val="003E58DF"/>
    <w:rsid w:val="003E5C45"/>
    <w:rsid w:val="003E6DA1"/>
    <w:rsid w:val="003E6DBB"/>
    <w:rsid w:val="003E7FEA"/>
    <w:rsid w:val="003F0DF2"/>
    <w:rsid w:val="003F17F2"/>
    <w:rsid w:val="003F333F"/>
    <w:rsid w:val="003F39AB"/>
    <w:rsid w:val="003F4079"/>
    <w:rsid w:val="003F40A9"/>
    <w:rsid w:val="003F4933"/>
    <w:rsid w:val="003F4AA7"/>
    <w:rsid w:val="003F5D2E"/>
    <w:rsid w:val="003F6806"/>
    <w:rsid w:val="0040140A"/>
    <w:rsid w:val="004019E3"/>
    <w:rsid w:val="0040217F"/>
    <w:rsid w:val="0040462F"/>
    <w:rsid w:val="004062D9"/>
    <w:rsid w:val="0040648A"/>
    <w:rsid w:val="0041002E"/>
    <w:rsid w:val="00410EEC"/>
    <w:rsid w:val="004118F9"/>
    <w:rsid w:val="0041305A"/>
    <w:rsid w:val="00413D81"/>
    <w:rsid w:val="004148C3"/>
    <w:rsid w:val="00414FBE"/>
    <w:rsid w:val="00415D1F"/>
    <w:rsid w:val="004178B7"/>
    <w:rsid w:val="00417D46"/>
    <w:rsid w:val="00417EC7"/>
    <w:rsid w:val="004204C5"/>
    <w:rsid w:val="004235C4"/>
    <w:rsid w:val="00423841"/>
    <w:rsid w:val="004245DA"/>
    <w:rsid w:val="00425643"/>
    <w:rsid w:val="00425B19"/>
    <w:rsid w:val="00426719"/>
    <w:rsid w:val="0042727F"/>
    <w:rsid w:val="004275FF"/>
    <w:rsid w:val="00431777"/>
    <w:rsid w:val="004327B7"/>
    <w:rsid w:val="0043288C"/>
    <w:rsid w:val="0043442F"/>
    <w:rsid w:val="00434AA1"/>
    <w:rsid w:val="004362C5"/>
    <w:rsid w:val="00441614"/>
    <w:rsid w:val="00441B08"/>
    <w:rsid w:val="004440A6"/>
    <w:rsid w:val="00444C76"/>
    <w:rsid w:val="00444F38"/>
    <w:rsid w:val="0044522A"/>
    <w:rsid w:val="00445641"/>
    <w:rsid w:val="00445CDC"/>
    <w:rsid w:val="004460EA"/>
    <w:rsid w:val="0044767F"/>
    <w:rsid w:val="0044774F"/>
    <w:rsid w:val="00447901"/>
    <w:rsid w:val="00447C63"/>
    <w:rsid w:val="00447F3B"/>
    <w:rsid w:val="00450AFD"/>
    <w:rsid w:val="004510C4"/>
    <w:rsid w:val="00454B99"/>
    <w:rsid w:val="00454EFF"/>
    <w:rsid w:val="004551BB"/>
    <w:rsid w:val="0045539A"/>
    <w:rsid w:val="0045540E"/>
    <w:rsid w:val="00455888"/>
    <w:rsid w:val="00456176"/>
    <w:rsid w:val="0045669D"/>
    <w:rsid w:val="004576B3"/>
    <w:rsid w:val="00457B3A"/>
    <w:rsid w:val="00461203"/>
    <w:rsid w:val="004619D8"/>
    <w:rsid w:val="00461AF4"/>
    <w:rsid w:val="00461F6F"/>
    <w:rsid w:val="0046245A"/>
    <w:rsid w:val="00464036"/>
    <w:rsid w:val="0046448E"/>
    <w:rsid w:val="00465D85"/>
    <w:rsid w:val="004664A5"/>
    <w:rsid w:val="00466E5A"/>
    <w:rsid w:val="00466FAF"/>
    <w:rsid w:val="00467FD0"/>
    <w:rsid w:val="00470CF2"/>
    <w:rsid w:val="004720BB"/>
    <w:rsid w:val="004737A5"/>
    <w:rsid w:val="00473F9C"/>
    <w:rsid w:val="00473FBD"/>
    <w:rsid w:val="00474F29"/>
    <w:rsid w:val="00480744"/>
    <w:rsid w:val="00480C53"/>
    <w:rsid w:val="00481827"/>
    <w:rsid w:val="00482866"/>
    <w:rsid w:val="00483451"/>
    <w:rsid w:val="00484D66"/>
    <w:rsid w:val="00484E10"/>
    <w:rsid w:val="00484F93"/>
    <w:rsid w:val="00485369"/>
    <w:rsid w:val="004853B1"/>
    <w:rsid w:val="004865E0"/>
    <w:rsid w:val="00486CE6"/>
    <w:rsid w:val="00487576"/>
    <w:rsid w:val="00490985"/>
    <w:rsid w:val="00490BF1"/>
    <w:rsid w:val="00491A84"/>
    <w:rsid w:val="00493804"/>
    <w:rsid w:val="004954F4"/>
    <w:rsid w:val="00495EF3"/>
    <w:rsid w:val="00496C68"/>
    <w:rsid w:val="004A0036"/>
    <w:rsid w:val="004A0588"/>
    <w:rsid w:val="004A1251"/>
    <w:rsid w:val="004A27E9"/>
    <w:rsid w:val="004A3229"/>
    <w:rsid w:val="004A39EB"/>
    <w:rsid w:val="004A4836"/>
    <w:rsid w:val="004A6027"/>
    <w:rsid w:val="004A606B"/>
    <w:rsid w:val="004A65F5"/>
    <w:rsid w:val="004A6FA3"/>
    <w:rsid w:val="004A71E9"/>
    <w:rsid w:val="004B015A"/>
    <w:rsid w:val="004B07FC"/>
    <w:rsid w:val="004B1507"/>
    <w:rsid w:val="004B24C1"/>
    <w:rsid w:val="004B3476"/>
    <w:rsid w:val="004B4BCD"/>
    <w:rsid w:val="004B5D98"/>
    <w:rsid w:val="004C1B97"/>
    <w:rsid w:val="004C5083"/>
    <w:rsid w:val="004C5500"/>
    <w:rsid w:val="004C5AEE"/>
    <w:rsid w:val="004C79EA"/>
    <w:rsid w:val="004C7C16"/>
    <w:rsid w:val="004D17BD"/>
    <w:rsid w:val="004D25AB"/>
    <w:rsid w:val="004D2953"/>
    <w:rsid w:val="004D424D"/>
    <w:rsid w:val="004D6715"/>
    <w:rsid w:val="004E0468"/>
    <w:rsid w:val="004E1A5F"/>
    <w:rsid w:val="004E239A"/>
    <w:rsid w:val="004E338E"/>
    <w:rsid w:val="004E351B"/>
    <w:rsid w:val="004E37C8"/>
    <w:rsid w:val="004E469B"/>
    <w:rsid w:val="004E4ED1"/>
    <w:rsid w:val="004E6977"/>
    <w:rsid w:val="004F0F7B"/>
    <w:rsid w:val="004F1696"/>
    <w:rsid w:val="004F193B"/>
    <w:rsid w:val="004F1E41"/>
    <w:rsid w:val="004F2650"/>
    <w:rsid w:val="004F35AD"/>
    <w:rsid w:val="004F4153"/>
    <w:rsid w:val="004F56F0"/>
    <w:rsid w:val="004F6FD8"/>
    <w:rsid w:val="004F7CC7"/>
    <w:rsid w:val="00500B85"/>
    <w:rsid w:val="0050180B"/>
    <w:rsid w:val="00501B62"/>
    <w:rsid w:val="00502C83"/>
    <w:rsid w:val="005031F0"/>
    <w:rsid w:val="0050321E"/>
    <w:rsid w:val="00503A22"/>
    <w:rsid w:val="0050614B"/>
    <w:rsid w:val="00506FF1"/>
    <w:rsid w:val="00507585"/>
    <w:rsid w:val="00511F4F"/>
    <w:rsid w:val="00512271"/>
    <w:rsid w:val="005135CA"/>
    <w:rsid w:val="00513673"/>
    <w:rsid w:val="00513BC2"/>
    <w:rsid w:val="0051410A"/>
    <w:rsid w:val="0051454C"/>
    <w:rsid w:val="005148F0"/>
    <w:rsid w:val="00515148"/>
    <w:rsid w:val="0051528F"/>
    <w:rsid w:val="0051605A"/>
    <w:rsid w:val="005179C4"/>
    <w:rsid w:val="0052105C"/>
    <w:rsid w:val="00521768"/>
    <w:rsid w:val="005230FD"/>
    <w:rsid w:val="005238DA"/>
    <w:rsid w:val="005240F2"/>
    <w:rsid w:val="0052458A"/>
    <w:rsid w:val="005252AE"/>
    <w:rsid w:val="00526533"/>
    <w:rsid w:val="00526628"/>
    <w:rsid w:val="00527DE3"/>
    <w:rsid w:val="00531952"/>
    <w:rsid w:val="00531BD2"/>
    <w:rsid w:val="00532E1F"/>
    <w:rsid w:val="0053346F"/>
    <w:rsid w:val="00534D88"/>
    <w:rsid w:val="00535385"/>
    <w:rsid w:val="00537209"/>
    <w:rsid w:val="00537BE1"/>
    <w:rsid w:val="00540970"/>
    <w:rsid w:val="00541336"/>
    <w:rsid w:val="005416FB"/>
    <w:rsid w:val="005418F1"/>
    <w:rsid w:val="00541D60"/>
    <w:rsid w:val="005421AA"/>
    <w:rsid w:val="00542876"/>
    <w:rsid w:val="0054441E"/>
    <w:rsid w:val="005450CA"/>
    <w:rsid w:val="00545154"/>
    <w:rsid w:val="0054600E"/>
    <w:rsid w:val="005503D7"/>
    <w:rsid w:val="00554A73"/>
    <w:rsid w:val="00554ECD"/>
    <w:rsid w:val="00555C24"/>
    <w:rsid w:val="00557480"/>
    <w:rsid w:val="00557518"/>
    <w:rsid w:val="00564659"/>
    <w:rsid w:val="005649B5"/>
    <w:rsid w:val="00565CE1"/>
    <w:rsid w:val="00565CEE"/>
    <w:rsid w:val="00565F93"/>
    <w:rsid w:val="00566987"/>
    <w:rsid w:val="00567718"/>
    <w:rsid w:val="00567AF7"/>
    <w:rsid w:val="0057026B"/>
    <w:rsid w:val="005705AA"/>
    <w:rsid w:val="005714DA"/>
    <w:rsid w:val="00571624"/>
    <w:rsid w:val="00575C66"/>
    <w:rsid w:val="00576406"/>
    <w:rsid w:val="00577844"/>
    <w:rsid w:val="00581C0B"/>
    <w:rsid w:val="00583AAA"/>
    <w:rsid w:val="0058403C"/>
    <w:rsid w:val="00584C90"/>
    <w:rsid w:val="005868BD"/>
    <w:rsid w:val="00586B08"/>
    <w:rsid w:val="0058722D"/>
    <w:rsid w:val="00587CD9"/>
    <w:rsid w:val="00587E46"/>
    <w:rsid w:val="0059166A"/>
    <w:rsid w:val="00591CDC"/>
    <w:rsid w:val="005925DA"/>
    <w:rsid w:val="00592862"/>
    <w:rsid w:val="005941B3"/>
    <w:rsid w:val="00594F90"/>
    <w:rsid w:val="00596CF3"/>
    <w:rsid w:val="005971A8"/>
    <w:rsid w:val="00597C00"/>
    <w:rsid w:val="005A1424"/>
    <w:rsid w:val="005A1593"/>
    <w:rsid w:val="005A15E7"/>
    <w:rsid w:val="005A1DE2"/>
    <w:rsid w:val="005A25B5"/>
    <w:rsid w:val="005A53EB"/>
    <w:rsid w:val="005A5BA7"/>
    <w:rsid w:val="005A6C59"/>
    <w:rsid w:val="005A7A80"/>
    <w:rsid w:val="005B075E"/>
    <w:rsid w:val="005B14A2"/>
    <w:rsid w:val="005B25FC"/>
    <w:rsid w:val="005B2792"/>
    <w:rsid w:val="005B34BF"/>
    <w:rsid w:val="005B4489"/>
    <w:rsid w:val="005B5532"/>
    <w:rsid w:val="005B5E70"/>
    <w:rsid w:val="005B6414"/>
    <w:rsid w:val="005B7013"/>
    <w:rsid w:val="005B7516"/>
    <w:rsid w:val="005B7C19"/>
    <w:rsid w:val="005C098E"/>
    <w:rsid w:val="005C4EC7"/>
    <w:rsid w:val="005C5CD2"/>
    <w:rsid w:val="005C639C"/>
    <w:rsid w:val="005C7BCE"/>
    <w:rsid w:val="005D15FA"/>
    <w:rsid w:val="005D2051"/>
    <w:rsid w:val="005D39BB"/>
    <w:rsid w:val="005D6314"/>
    <w:rsid w:val="005D653A"/>
    <w:rsid w:val="005E1075"/>
    <w:rsid w:val="005E157A"/>
    <w:rsid w:val="005E1713"/>
    <w:rsid w:val="005E208C"/>
    <w:rsid w:val="005E2432"/>
    <w:rsid w:val="005E2EA7"/>
    <w:rsid w:val="005E3525"/>
    <w:rsid w:val="005E3FB7"/>
    <w:rsid w:val="005E5011"/>
    <w:rsid w:val="005E61D8"/>
    <w:rsid w:val="005E6EC4"/>
    <w:rsid w:val="005E74A0"/>
    <w:rsid w:val="005E76EB"/>
    <w:rsid w:val="005F0687"/>
    <w:rsid w:val="005F0D6C"/>
    <w:rsid w:val="005F1B98"/>
    <w:rsid w:val="005F320E"/>
    <w:rsid w:val="005F32A8"/>
    <w:rsid w:val="005F3EBD"/>
    <w:rsid w:val="005F6B24"/>
    <w:rsid w:val="005F7DB9"/>
    <w:rsid w:val="00600448"/>
    <w:rsid w:val="006005DA"/>
    <w:rsid w:val="006011C6"/>
    <w:rsid w:val="00601707"/>
    <w:rsid w:val="00601B7D"/>
    <w:rsid w:val="00602E0C"/>
    <w:rsid w:val="00603D77"/>
    <w:rsid w:val="00604FD8"/>
    <w:rsid w:val="00606125"/>
    <w:rsid w:val="006076B7"/>
    <w:rsid w:val="006077A2"/>
    <w:rsid w:val="006100E5"/>
    <w:rsid w:val="00612A77"/>
    <w:rsid w:val="0061326F"/>
    <w:rsid w:val="00613DE4"/>
    <w:rsid w:val="00614A5D"/>
    <w:rsid w:val="00614BD4"/>
    <w:rsid w:val="00614F95"/>
    <w:rsid w:val="00617EF4"/>
    <w:rsid w:val="00620620"/>
    <w:rsid w:val="00621ED8"/>
    <w:rsid w:val="00622CB9"/>
    <w:rsid w:val="006244C8"/>
    <w:rsid w:val="00624E79"/>
    <w:rsid w:val="00626C0C"/>
    <w:rsid w:val="00626D3E"/>
    <w:rsid w:val="00630389"/>
    <w:rsid w:val="0063045E"/>
    <w:rsid w:val="00632CE3"/>
    <w:rsid w:val="00633BF2"/>
    <w:rsid w:val="0063411F"/>
    <w:rsid w:val="0063502D"/>
    <w:rsid w:val="006353B5"/>
    <w:rsid w:val="00635F3D"/>
    <w:rsid w:val="00636757"/>
    <w:rsid w:val="00636A74"/>
    <w:rsid w:val="00636B6A"/>
    <w:rsid w:val="00641444"/>
    <w:rsid w:val="00641CD9"/>
    <w:rsid w:val="00641EE0"/>
    <w:rsid w:val="00642344"/>
    <w:rsid w:val="00643A43"/>
    <w:rsid w:val="00645685"/>
    <w:rsid w:val="00645E8F"/>
    <w:rsid w:val="00646C24"/>
    <w:rsid w:val="00646D77"/>
    <w:rsid w:val="00647EA7"/>
    <w:rsid w:val="00652213"/>
    <w:rsid w:val="006527AB"/>
    <w:rsid w:val="00652C94"/>
    <w:rsid w:val="00653C22"/>
    <w:rsid w:val="00653E5F"/>
    <w:rsid w:val="00655309"/>
    <w:rsid w:val="0065536F"/>
    <w:rsid w:val="00656660"/>
    <w:rsid w:val="00656F95"/>
    <w:rsid w:val="006609B0"/>
    <w:rsid w:val="00661168"/>
    <w:rsid w:val="00662286"/>
    <w:rsid w:val="00662D4A"/>
    <w:rsid w:val="00664263"/>
    <w:rsid w:val="00664921"/>
    <w:rsid w:val="0066685E"/>
    <w:rsid w:val="00667205"/>
    <w:rsid w:val="00670F89"/>
    <w:rsid w:val="00671CC7"/>
    <w:rsid w:val="00673529"/>
    <w:rsid w:val="0067427E"/>
    <w:rsid w:val="006760EE"/>
    <w:rsid w:val="00676710"/>
    <w:rsid w:val="0067712F"/>
    <w:rsid w:val="006777E9"/>
    <w:rsid w:val="00677BF2"/>
    <w:rsid w:val="00681A8E"/>
    <w:rsid w:val="00681E3B"/>
    <w:rsid w:val="006830B0"/>
    <w:rsid w:val="00684194"/>
    <w:rsid w:val="00684759"/>
    <w:rsid w:val="00684A7D"/>
    <w:rsid w:val="006852A0"/>
    <w:rsid w:val="00686394"/>
    <w:rsid w:val="00686761"/>
    <w:rsid w:val="00686FF4"/>
    <w:rsid w:val="00687560"/>
    <w:rsid w:val="00692080"/>
    <w:rsid w:val="0069217C"/>
    <w:rsid w:val="006923A8"/>
    <w:rsid w:val="006926DA"/>
    <w:rsid w:val="006927DF"/>
    <w:rsid w:val="00693293"/>
    <w:rsid w:val="006944A5"/>
    <w:rsid w:val="0069537E"/>
    <w:rsid w:val="006959A9"/>
    <w:rsid w:val="00695DB0"/>
    <w:rsid w:val="00695F1C"/>
    <w:rsid w:val="00697B0D"/>
    <w:rsid w:val="006A3756"/>
    <w:rsid w:val="006A3D74"/>
    <w:rsid w:val="006A4197"/>
    <w:rsid w:val="006A423B"/>
    <w:rsid w:val="006A44B4"/>
    <w:rsid w:val="006A485E"/>
    <w:rsid w:val="006A55B8"/>
    <w:rsid w:val="006B07C6"/>
    <w:rsid w:val="006B0D5E"/>
    <w:rsid w:val="006B17D2"/>
    <w:rsid w:val="006B1F9C"/>
    <w:rsid w:val="006B2D62"/>
    <w:rsid w:val="006B53A7"/>
    <w:rsid w:val="006B6F62"/>
    <w:rsid w:val="006C2208"/>
    <w:rsid w:val="006C222A"/>
    <w:rsid w:val="006C2778"/>
    <w:rsid w:val="006C3800"/>
    <w:rsid w:val="006C3BFE"/>
    <w:rsid w:val="006C484C"/>
    <w:rsid w:val="006C4F63"/>
    <w:rsid w:val="006C59F6"/>
    <w:rsid w:val="006C62BA"/>
    <w:rsid w:val="006C7814"/>
    <w:rsid w:val="006D025C"/>
    <w:rsid w:val="006D10BB"/>
    <w:rsid w:val="006D28D3"/>
    <w:rsid w:val="006D3565"/>
    <w:rsid w:val="006D492B"/>
    <w:rsid w:val="006D4B9C"/>
    <w:rsid w:val="006D4DCC"/>
    <w:rsid w:val="006D51A8"/>
    <w:rsid w:val="006D51D2"/>
    <w:rsid w:val="006D5F0B"/>
    <w:rsid w:val="006D6566"/>
    <w:rsid w:val="006D7034"/>
    <w:rsid w:val="006D7519"/>
    <w:rsid w:val="006D7E5F"/>
    <w:rsid w:val="006E0896"/>
    <w:rsid w:val="006E19BC"/>
    <w:rsid w:val="006E2097"/>
    <w:rsid w:val="006E2351"/>
    <w:rsid w:val="006E3DE1"/>
    <w:rsid w:val="006E697A"/>
    <w:rsid w:val="006E798A"/>
    <w:rsid w:val="006E7C6E"/>
    <w:rsid w:val="006F05A1"/>
    <w:rsid w:val="006F070F"/>
    <w:rsid w:val="006F14F2"/>
    <w:rsid w:val="006F288E"/>
    <w:rsid w:val="006F2981"/>
    <w:rsid w:val="006F3C5D"/>
    <w:rsid w:val="006F43CE"/>
    <w:rsid w:val="006F667D"/>
    <w:rsid w:val="006F6D80"/>
    <w:rsid w:val="006F7202"/>
    <w:rsid w:val="00700C07"/>
    <w:rsid w:val="007011F1"/>
    <w:rsid w:val="007017EF"/>
    <w:rsid w:val="0070329B"/>
    <w:rsid w:val="00703C4F"/>
    <w:rsid w:val="00704FF4"/>
    <w:rsid w:val="00706069"/>
    <w:rsid w:val="007109E5"/>
    <w:rsid w:val="0071230D"/>
    <w:rsid w:val="00712CF4"/>
    <w:rsid w:val="00713FA9"/>
    <w:rsid w:val="00714EE3"/>
    <w:rsid w:val="00715A0C"/>
    <w:rsid w:val="0071775C"/>
    <w:rsid w:val="00721F2E"/>
    <w:rsid w:val="00723020"/>
    <w:rsid w:val="00726386"/>
    <w:rsid w:val="00726AE1"/>
    <w:rsid w:val="007272A8"/>
    <w:rsid w:val="00727537"/>
    <w:rsid w:val="00727D76"/>
    <w:rsid w:val="007302F7"/>
    <w:rsid w:val="007312B5"/>
    <w:rsid w:val="0073431F"/>
    <w:rsid w:val="00735B5A"/>
    <w:rsid w:val="00736B21"/>
    <w:rsid w:val="007370B7"/>
    <w:rsid w:val="00737342"/>
    <w:rsid w:val="00737E85"/>
    <w:rsid w:val="00741805"/>
    <w:rsid w:val="00742925"/>
    <w:rsid w:val="007434AF"/>
    <w:rsid w:val="007445B7"/>
    <w:rsid w:val="007445D2"/>
    <w:rsid w:val="0074671D"/>
    <w:rsid w:val="007475B6"/>
    <w:rsid w:val="00747AED"/>
    <w:rsid w:val="00751AF4"/>
    <w:rsid w:val="0075220E"/>
    <w:rsid w:val="00752B33"/>
    <w:rsid w:val="00752B95"/>
    <w:rsid w:val="00752F72"/>
    <w:rsid w:val="00753D24"/>
    <w:rsid w:val="007552B9"/>
    <w:rsid w:val="00755BEA"/>
    <w:rsid w:val="007560F0"/>
    <w:rsid w:val="00761A3C"/>
    <w:rsid w:val="00761D20"/>
    <w:rsid w:val="00770ACE"/>
    <w:rsid w:val="007717AA"/>
    <w:rsid w:val="00772251"/>
    <w:rsid w:val="00772389"/>
    <w:rsid w:val="00772B6F"/>
    <w:rsid w:val="00772E8E"/>
    <w:rsid w:val="007730B2"/>
    <w:rsid w:val="0077317A"/>
    <w:rsid w:val="00774351"/>
    <w:rsid w:val="00774C19"/>
    <w:rsid w:val="00774D81"/>
    <w:rsid w:val="00774EC4"/>
    <w:rsid w:val="00775B89"/>
    <w:rsid w:val="0077695A"/>
    <w:rsid w:val="00776DF5"/>
    <w:rsid w:val="0077705A"/>
    <w:rsid w:val="007803B3"/>
    <w:rsid w:val="0078149C"/>
    <w:rsid w:val="00782079"/>
    <w:rsid w:val="00782C15"/>
    <w:rsid w:val="00783D77"/>
    <w:rsid w:val="0078631E"/>
    <w:rsid w:val="00790813"/>
    <w:rsid w:val="00792491"/>
    <w:rsid w:val="00792527"/>
    <w:rsid w:val="00792B78"/>
    <w:rsid w:val="00794D41"/>
    <w:rsid w:val="00795FD6"/>
    <w:rsid w:val="00797357"/>
    <w:rsid w:val="007A0897"/>
    <w:rsid w:val="007A114B"/>
    <w:rsid w:val="007A1A6B"/>
    <w:rsid w:val="007A1EF5"/>
    <w:rsid w:val="007A2058"/>
    <w:rsid w:val="007A26CB"/>
    <w:rsid w:val="007A3345"/>
    <w:rsid w:val="007A43A8"/>
    <w:rsid w:val="007B0702"/>
    <w:rsid w:val="007B285E"/>
    <w:rsid w:val="007B2F23"/>
    <w:rsid w:val="007B3A65"/>
    <w:rsid w:val="007B426E"/>
    <w:rsid w:val="007B7AF4"/>
    <w:rsid w:val="007C012C"/>
    <w:rsid w:val="007C0D68"/>
    <w:rsid w:val="007C2652"/>
    <w:rsid w:val="007C2D0F"/>
    <w:rsid w:val="007C2D79"/>
    <w:rsid w:val="007C3858"/>
    <w:rsid w:val="007C44AC"/>
    <w:rsid w:val="007C6108"/>
    <w:rsid w:val="007C6C75"/>
    <w:rsid w:val="007D183B"/>
    <w:rsid w:val="007D1C9B"/>
    <w:rsid w:val="007D1E5B"/>
    <w:rsid w:val="007D39E7"/>
    <w:rsid w:val="007D4983"/>
    <w:rsid w:val="007D6EDF"/>
    <w:rsid w:val="007D7211"/>
    <w:rsid w:val="007E15E1"/>
    <w:rsid w:val="007E2363"/>
    <w:rsid w:val="007E6B0A"/>
    <w:rsid w:val="007E7E39"/>
    <w:rsid w:val="007F1140"/>
    <w:rsid w:val="007F150D"/>
    <w:rsid w:val="007F18CD"/>
    <w:rsid w:val="007F2BCB"/>
    <w:rsid w:val="007F2F99"/>
    <w:rsid w:val="007F357F"/>
    <w:rsid w:val="007F3A3A"/>
    <w:rsid w:val="007F40D3"/>
    <w:rsid w:val="007F4186"/>
    <w:rsid w:val="007F4A52"/>
    <w:rsid w:val="007F4BEE"/>
    <w:rsid w:val="007F5207"/>
    <w:rsid w:val="007F5A0F"/>
    <w:rsid w:val="007F5B03"/>
    <w:rsid w:val="007F5D6E"/>
    <w:rsid w:val="007F62BA"/>
    <w:rsid w:val="007F6FB5"/>
    <w:rsid w:val="00800592"/>
    <w:rsid w:val="0080504D"/>
    <w:rsid w:val="008052B4"/>
    <w:rsid w:val="00805894"/>
    <w:rsid w:val="00805CC9"/>
    <w:rsid w:val="00805D69"/>
    <w:rsid w:val="00805E9D"/>
    <w:rsid w:val="00806B69"/>
    <w:rsid w:val="00807C15"/>
    <w:rsid w:val="00812D67"/>
    <w:rsid w:val="00814E33"/>
    <w:rsid w:val="008153C5"/>
    <w:rsid w:val="00815931"/>
    <w:rsid w:val="00815D83"/>
    <w:rsid w:val="00816157"/>
    <w:rsid w:val="008173A0"/>
    <w:rsid w:val="0081753A"/>
    <w:rsid w:val="00820180"/>
    <w:rsid w:val="00820995"/>
    <w:rsid w:val="00820AA9"/>
    <w:rsid w:val="00823306"/>
    <w:rsid w:val="00823335"/>
    <w:rsid w:val="00823678"/>
    <w:rsid w:val="00826EAA"/>
    <w:rsid w:val="008279A9"/>
    <w:rsid w:val="0083024D"/>
    <w:rsid w:val="00830568"/>
    <w:rsid w:val="00830B11"/>
    <w:rsid w:val="0083267B"/>
    <w:rsid w:val="00834088"/>
    <w:rsid w:val="00834629"/>
    <w:rsid w:val="0083496D"/>
    <w:rsid w:val="0083572A"/>
    <w:rsid w:val="00835800"/>
    <w:rsid w:val="00835A6B"/>
    <w:rsid w:val="008363B8"/>
    <w:rsid w:val="00836F20"/>
    <w:rsid w:val="008373D0"/>
    <w:rsid w:val="008400DB"/>
    <w:rsid w:val="00843292"/>
    <w:rsid w:val="00843A59"/>
    <w:rsid w:val="00844BCB"/>
    <w:rsid w:val="00845F1E"/>
    <w:rsid w:val="00846081"/>
    <w:rsid w:val="008460EF"/>
    <w:rsid w:val="0084664E"/>
    <w:rsid w:val="00846B15"/>
    <w:rsid w:val="00846D7B"/>
    <w:rsid w:val="00850243"/>
    <w:rsid w:val="00850A6D"/>
    <w:rsid w:val="00850BE9"/>
    <w:rsid w:val="00851A36"/>
    <w:rsid w:val="00852002"/>
    <w:rsid w:val="00852C57"/>
    <w:rsid w:val="00853108"/>
    <w:rsid w:val="00853FD2"/>
    <w:rsid w:val="00854140"/>
    <w:rsid w:val="00854317"/>
    <w:rsid w:val="008544F6"/>
    <w:rsid w:val="00855899"/>
    <w:rsid w:val="0085667B"/>
    <w:rsid w:val="00857F97"/>
    <w:rsid w:val="00860FC2"/>
    <w:rsid w:val="008615F6"/>
    <w:rsid w:val="00861913"/>
    <w:rsid w:val="00861DAA"/>
    <w:rsid w:val="008624FE"/>
    <w:rsid w:val="00864C0D"/>
    <w:rsid w:val="0086536A"/>
    <w:rsid w:val="00870809"/>
    <w:rsid w:val="00871CBD"/>
    <w:rsid w:val="008727C0"/>
    <w:rsid w:val="00872C3F"/>
    <w:rsid w:val="0087453F"/>
    <w:rsid w:val="00874552"/>
    <w:rsid w:val="008746C8"/>
    <w:rsid w:val="008750F9"/>
    <w:rsid w:val="008756A2"/>
    <w:rsid w:val="00875FC5"/>
    <w:rsid w:val="00876232"/>
    <w:rsid w:val="00876EF8"/>
    <w:rsid w:val="00881506"/>
    <w:rsid w:val="00882314"/>
    <w:rsid w:val="00884BEA"/>
    <w:rsid w:val="00885D69"/>
    <w:rsid w:val="00885DC9"/>
    <w:rsid w:val="00886151"/>
    <w:rsid w:val="00886501"/>
    <w:rsid w:val="008902B7"/>
    <w:rsid w:val="0089056F"/>
    <w:rsid w:val="008916EF"/>
    <w:rsid w:val="008919A9"/>
    <w:rsid w:val="00891EB1"/>
    <w:rsid w:val="00891EF8"/>
    <w:rsid w:val="0089208A"/>
    <w:rsid w:val="0089337C"/>
    <w:rsid w:val="00894EB0"/>
    <w:rsid w:val="00895C53"/>
    <w:rsid w:val="00897D89"/>
    <w:rsid w:val="008A01E7"/>
    <w:rsid w:val="008A1FDE"/>
    <w:rsid w:val="008A226C"/>
    <w:rsid w:val="008A3251"/>
    <w:rsid w:val="008A3334"/>
    <w:rsid w:val="008A401B"/>
    <w:rsid w:val="008A4AFD"/>
    <w:rsid w:val="008A4C43"/>
    <w:rsid w:val="008A7DC2"/>
    <w:rsid w:val="008B186B"/>
    <w:rsid w:val="008B3321"/>
    <w:rsid w:val="008B5242"/>
    <w:rsid w:val="008B5547"/>
    <w:rsid w:val="008B6C32"/>
    <w:rsid w:val="008B7839"/>
    <w:rsid w:val="008B7A09"/>
    <w:rsid w:val="008C04F7"/>
    <w:rsid w:val="008C0C85"/>
    <w:rsid w:val="008C1380"/>
    <w:rsid w:val="008C1CFC"/>
    <w:rsid w:val="008C23B0"/>
    <w:rsid w:val="008C2EB8"/>
    <w:rsid w:val="008C33DB"/>
    <w:rsid w:val="008C44B6"/>
    <w:rsid w:val="008C49FC"/>
    <w:rsid w:val="008C58C5"/>
    <w:rsid w:val="008C6EFB"/>
    <w:rsid w:val="008C7702"/>
    <w:rsid w:val="008D336D"/>
    <w:rsid w:val="008D4A40"/>
    <w:rsid w:val="008D4DDA"/>
    <w:rsid w:val="008D75F0"/>
    <w:rsid w:val="008E0B42"/>
    <w:rsid w:val="008E0F43"/>
    <w:rsid w:val="008E334F"/>
    <w:rsid w:val="008E35C2"/>
    <w:rsid w:val="008E46B5"/>
    <w:rsid w:val="008E4EF2"/>
    <w:rsid w:val="008E5739"/>
    <w:rsid w:val="008E7334"/>
    <w:rsid w:val="008E7D77"/>
    <w:rsid w:val="008F00F4"/>
    <w:rsid w:val="008F0B3C"/>
    <w:rsid w:val="008F4B5D"/>
    <w:rsid w:val="008F4F2C"/>
    <w:rsid w:val="008F4FC6"/>
    <w:rsid w:val="008F7895"/>
    <w:rsid w:val="008F78F6"/>
    <w:rsid w:val="009004EB"/>
    <w:rsid w:val="009009B4"/>
    <w:rsid w:val="00900C0E"/>
    <w:rsid w:val="00902679"/>
    <w:rsid w:val="009038C3"/>
    <w:rsid w:val="00903E80"/>
    <w:rsid w:val="009043B5"/>
    <w:rsid w:val="00904734"/>
    <w:rsid w:val="009049E8"/>
    <w:rsid w:val="009052EE"/>
    <w:rsid w:val="00906888"/>
    <w:rsid w:val="00906CDE"/>
    <w:rsid w:val="00906E30"/>
    <w:rsid w:val="00907BE5"/>
    <w:rsid w:val="00910D10"/>
    <w:rsid w:val="00912456"/>
    <w:rsid w:val="009129EC"/>
    <w:rsid w:val="009138A0"/>
    <w:rsid w:val="009143A4"/>
    <w:rsid w:val="00914F46"/>
    <w:rsid w:val="0091563F"/>
    <w:rsid w:val="009161EE"/>
    <w:rsid w:val="00916357"/>
    <w:rsid w:val="0091672A"/>
    <w:rsid w:val="00916768"/>
    <w:rsid w:val="009176E8"/>
    <w:rsid w:val="00917727"/>
    <w:rsid w:val="00917998"/>
    <w:rsid w:val="00920B02"/>
    <w:rsid w:val="00922C15"/>
    <w:rsid w:val="00923999"/>
    <w:rsid w:val="00923BC4"/>
    <w:rsid w:val="0092490B"/>
    <w:rsid w:val="00924EBF"/>
    <w:rsid w:val="009265EB"/>
    <w:rsid w:val="00927471"/>
    <w:rsid w:val="00927788"/>
    <w:rsid w:val="00930CE7"/>
    <w:rsid w:val="00931EDD"/>
    <w:rsid w:val="00932C6C"/>
    <w:rsid w:val="00933637"/>
    <w:rsid w:val="00933816"/>
    <w:rsid w:val="00934E67"/>
    <w:rsid w:val="0093507D"/>
    <w:rsid w:val="00935B15"/>
    <w:rsid w:val="009364F7"/>
    <w:rsid w:val="009367A4"/>
    <w:rsid w:val="00940ED8"/>
    <w:rsid w:val="009411F1"/>
    <w:rsid w:val="00941A34"/>
    <w:rsid w:val="00942426"/>
    <w:rsid w:val="0094246D"/>
    <w:rsid w:val="0094419A"/>
    <w:rsid w:val="00944214"/>
    <w:rsid w:val="009447D2"/>
    <w:rsid w:val="00944D17"/>
    <w:rsid w:val="0094645A"/>
    <w:rsid w:val="00947883"/>
    <w:rsid w:val="0095080B"/>
    <w:rsid w:val="00952B6A"/>
    <w:rsid w:val="00954FC0"/>
    <w:rsid w:val="00955DEA"/>
    <w:rsid w:val="00955E26"/>
    <w:rsid w:val="00956072"/>
    <w:rsid w:val="009567F7"/>
    <w:rsid w:val="00956BA4"/>
    <w:rsid w:val="00957843"/>
    <w:rsid w:val="00957AE4"/>
    <w:rsid w:val="0096012F"/>
    <w:rsid w:val="0096246C"/>
    <w:rsid w:val="00963011"/>
    <w:rsid w:val="00966C77"/>
    <w:rsid w:val="009670FC"/>
    <w:rsid w:val="00970782"/>
    <w:rsid w:val="009709AA"/>
    <w:rsid w:val="009709AE"/>
    <w:rsid w:val="0097102C"/>
    <w:rsid w:val="00971860"/>
    <w:rsid w:val="00974AD5"/>
    <w:rsid w:val="00975A27"/>
    <w:rsid w:val="00976036"/>
    <w:rsid w:val="0097629F"/>
    <w:rsid w:val="0098140E"/>
    <w:rsid w:val="009816A4"/>
    <w:rsid w:val="00982046"/>
    <w:rsid w:val="00983D8B"/>
    <w:rsid w:val="0098533D"/>
    <w:rsid w:val="0098557F"/>
    <w:rsid w:val="009858DD"/>
    <w:rsid w:val="00985960"/>
    <w:rsid w:val="00987FB0"/>
    <w:rsid w:val="009901FB"/>
    <w:rsid w:val="00991838"/>
    <w:rsid w:val="0099218D"/>
    <w:rsid w:val="00992474"/>
    <w:rsid w:val="00992BA4"/>
    <w:rsid w:val="00994152"/>
    <w:rsid w:val="00994CAC"/>
    <w:rsid w:val="00995B53"/>
    <w:rsid w:val="009973A9"/>
    <w:rsid w:val="009A02DA"/>
    <w:rsid w:val="009A0B0E"/>
    <w:rsid w:val="009A12F0"/>
    <w:rsid w:val="009A2148"/>
    <w:rsid w:val="009A28EC"/>
    <w:rsid w:val="009A2D73"/>
    <w:rsid w:val="009A3185"/>
    <w:rsid w:val="009A327A"/>
    <w:rsid w:val="009A3597"/>
    <w:rsid w:val="009A3A6D"/>
    <w:rsid w:val="009A42AC"/>
    <w:rsid w:val="009A5BF4"/>
    <w:rsid w:val="009A6549"/>
    <w:rsid w:val="009A77F7"/>
    <w:rsid w:val="009A7BD2"/>
    <w:rsid w:val="009B274D"/>
    <w:rsid w:val="009B2DA7"/>
    <w:rsid w:val="009B343C"/>
    <w:rsid w:val="009B3E20"/>
    <w:rsid w:val="009B48CD"/>
    <w:rsid w:val="009B583A"/>
    <w:rsid w:val="009B589D"/>
    <w:rsid w:val="009B7956"/>
    <w:rsid w:val="009C0133"/>
    <w:rsid w:val="009C2375"/>
    <w:rsid w:val="009C358C"/>
    <w:rsid w:val="009C518A"/>
    <w:rsid w:val="009D01BF"/>
    <w:rsid w:val="009D1231"/>
    <w:rsid w:val="009D19BA"/>
    <w:rsid w:val="009D1AFD"/>
    <w:rsid w:val="009D2267"/>
    <w:rsid w:val="009D24A1"/>
    <w:rsid w:val="009D2FAA"/>
    <w:rsid w:val="009D3871"/>
    <w:rsid w:val="009D54B5"/>
    <w:rsid w:val="009D57B5"/>
    <w:rsid w:val="009D5EC1"/>
    <w:rsid w:val="009D6D7C"/>
    <w:rsid w:val="009D72C0"/>
    <w:rsid w:val="009D7599"/>
    <w:rsid w:val="009D7689"/>
    <w:rsid w:val="009E0217"/>
    <w:rsid w:val="009E0254"/>
    <w:rsid w:val="009E056A"/>
    <w:rsid w:val="009E0958"/>
    <w:rsid w:val="009E252A"/>
    <w:rsid w:val="009E49B9"/>
    <w:rsid w:val="009E533C"/>
    <w:rsid w:val="009E6D15"/>
    <w:rsid w:val="009E6E9B"/>
    <w:rsid w:val="009E78B6"/>
    <w:rsid w:val="009F14EC"/>
    <w:rsid w:val="009F20DD"/>
    <w:rsid w:val="009F2291"/>
    <w:rsid w:val="009F276D"/>
    <w:rsid w:val="009F4BB1"/>
    <w:rsid w:val="009F4C9E"/>
    <w:rsid w:val="009F61BE"/>
    <w:rsid w:val="009F67F5"/>
    <w:rsid w:val="00A00248"/>
    <w:rsid w:val="00A012DB"/>
    <w:rsid w:val="00A02288"/>
    <w:rsid w:val="00A024E3"/>
    <w:rsid w:val="00A02A51"/>
    <w:rsid w:val="00A02C21"/>
    <w:rsid w:val="00A0313B"/>
    <w:rsid w:val="00A045B6"/>
    <w:rsid w:val="00A04648"/>
    <w:rsid w:val="00A05464"/>
    <w:rsid w:val="00A05A8E"/>
    <w:rsid w:val="00A0679B"/>
    <w:rsid w:val="00A11DC2"/>
    <w:rsid w:val="00A1203D"/>
    <w:rsid w:val="00A13879"/>
    <w:rsid w:val="00A1518C"/>
    <w:rsid w:val="00A156F2"/>
    <w:rsid w:val="00A15D47"/>
    <w:rsid w:val="00A171FA"/>
    <w:rsid w:val="00A2001E"/>
    <w:rsid w:val="00A20B68"/>
    <w:rsid w:val="00A20D38"/>
    <w:rsid w:val="00A21390"/>
    <w:rsid w:val="00A21500"/>
    <w:rsid w:val="00A21871"/>
    <w:rsid w:val="00A23F7A"/>
    <w:rsid w:val="00A240E2"/>
    <w:rsid w:val="00A256DF"/>
    <w:rsid w:val="00A25968"/>
    <w:rsid w:val="00A25B07"/>
    <w:rsid w:val="00A27028"/>
    <w:rsid w:val="00A27D2A"/>
    <w:rsid w:val="00A31614"/>
    <w:rsid w:val="00A3317E"/>
    <w:rsid w:val="00A349EA"/>
    <w:rsid w:val="00A37158"/>
    <w:rsid w:val="00A400B5"/>
    <w:rsid w:val="00A40E9F"/>
    <w:rsid w:val="00A41BDD"/>
    <w:rsid w:val="00A4330C"/>
    <w:rsid w:val="00A4362E"/>
    <w:rsid w:val="00A44C70"/>
    <w:rsid w:val="00A460B9"/>
    <w:rsid w:val="00A46E48"/>
    <w:rsid w:val="00A4753B"/>
    <w:rsid w:val="00A477A9"/>
    <w:rsid w:val="00A51627"/>
    <w:rsid w:val="00A51D0A"/>
    <w:rsid w:val="00A5268C"/>
    <w:rsid w:val="00A53A1C"/>
    <w:rsid w:val="00A53BA9"/>
    <w:rsid w:val="00A54D75"/>
    <w:rsid w:val="00A553FD"/>
    <w:rsid w:val="00A563D3"/>
    <w:rsid w:val="00A564EE"/>
    <w:rsid w:val="00A56D77"/>
    <w:rsid w:val="00A56FD2"/>
    <w:rsid w:val="00A57971"/>
    <w:rsid w:val="00A601FC"/>
    <w:rsid w:val="00A6026F"/>
    <w:rsid w:val="00A610FF"/>
    <w:rsid w:val="00A65D57"/>
    <w:rsid w:val="00A66084"/>
    <w:rsid w:val="00A663DD"/>
    <w:rsid w:val="00A7093D"/>
    <w:rsid w:val="00A70AE4"/>
    <w:rsid w:val="00A70AEA"/>
    <w:rsid w:val="00A711E6"/>
    <w:rsid w:val="00A728B2"/>
    <w:rsid w:val="00A73544"/>
    <w:rsid w:val="00A741B0"/>
    <w:rsid w:val="00A75377"/>
    <w:rsid w:val="00A75512"/>
    <w:rsid w:val="00A76162"/>
    <w:rsid w:val="00A762D6"/>
    <w:rsid w:val="00A80364"/>
    <w:rsid w:val="00A81BF3"/>
    <w:rsid w:val="00A81D9F"/>
    <w:rsid w:val="00A83524"/>
    <w:rsid w:val="00A8368C"/>
    <w:rsid w:val="00A84015"/>
    <w:rsid w:val="00A847B0"/>
    <w:rsid w:val="00A863CE"/>
    <w:rsid w:val="00A910D2"/>
    <w:rsid w:val="00A913BB"/>
    <w:rsid w:val="00A91AF4"/>
    <w:rsid w:val="00A9311B"/>
    <w:rsid w:val="00A9316A"/>
    <w:rsid w:val="00A941A8"/>
    <w:rsid w:val="00A94509"/>
    <w:rsid w:val="00A9598B"/>
    <w:rsid w:val="00A960B0"/>
    <w:rsid w:val="00A96ECA"/>
    <w:rsid w:val="00A97078"/>
    <w:rsid w:val="00A97A42"/>
    <w:rsid w:val="00A97B49"/>
    <w:rsid w:val="00AA247C"/>
    <w:rsid w:val="00AA7CA8"/>
    <w:rsid w:val="00AA7E6D"/>
    <w:rsid w:val="00AB06C9"/>
    <w:rsid w:val="00AB0765"/>
    <w:rsid w:val="00AB0D7B"/>
    <w:rsid w:val="00AB2081"/>
    <w:rsid w:val="00AB2520"/>
    <w:rsid w:val="00AB2A9D"/>
    <w:rsid w:val="00AB3CDF"/>
    <w:rsid w:val="00AB4A44"/>
    <w:rsid w:val="00AB53A2"/>
    <w:rsid w:val="00AB5AB4"/>
    <w:rsid w:val="00AB612B"/>
    <w:rsid w:val="00AB6C43"/>
    <w:rsid w:val="00AB795E"/>
    <w:rsid w:val="00AC0373"/>
    <w:rsid w:val="00AC3354"/>
    <w:rsid w:val="00AC5529"/>
    <w:rsid w:val="00AC60BD"/>
    <w:rsid w:val="00AC7440"/>
    <w:rsid w:val="00AC75C6"/>
    <w:rsid w:val="00AD0FA4"/>
    <w:rsid w:val="00AD2368"/>
    <w:rsid w:val="00AD2CFA"/>
    <w:rsid w:val="00AD326D"/>
    <w:rsid w:val="00AD3B8E"/>
    <w:rsid w:val="00AD3EF3"/>
    <w:rsid w:val="00AD4107"/>
    <w:rsid w:val="00AD4C4F"/>
    <w:rsid w:val="00AD4E2E"/>
    <w:rsid w:val="00AD74FB"/>
    <w:rsid w:val="00AD7F0D"/>
    <w:rsid w:val="00AE0C2B"/>
    <w:rsid w:val="00AE13A3"/>
    <w:rsid w:val="00AE3160"/>
    <w:rsid w:val="00AE3F11"/>
    <w:rsid w:val="00AE506F"/>
    <w:rsid w:val="00AE5078"/>
    <w:rsid w:val="00AE65E3"/>
    <w:rsid w:val="00AF0D66"/>
    <w:rsid w:val="00AF13B5"/>
    <w:rsid w:val="00AF2B92"/>
    <w:rsid w:val="00AF3598"/>
    <w:rsid w:val="00AF42E9"/>
    <w:rsid w:val="00AF4374"/>
    <w:rsid w:val="00AF5C62"/>
    <w:rsid w:val="00AF6A2B"/>
    <w:rsid w:val="00B015D5"/>
    <w:rsid w:val="00B01786"/>
    <w:rsid w:val="00B0194D"/>
    <w:rsid w:val="00B01E1E"/>
    <w:rsid w:val="00B01FE1"/>
    <w:rsid w:val="00B02FC2"/>
    <w:rsid w:val="00B0318D"/>
    <w:rsid w:val="00B03534"/>
    <w:rsid w:val="00B0403A"/>
    <w:rsid w:val="00B058C2"/>
    <w:rsid w:val="00B05FBF"/>
    <w:rsid w:val="00B07258"/>
    <w:rsid w:val="00B0786A"/>
    <w:rsid w:val="00B07D47"/>
    <w:rsid w:val="00B10553"/>
    <w:rsid w:val="00B1132D"/>
    <w:rsid w:val="00B12B62"/>
    <w:rsid w:val="00B13905"/>
    <w:rsid w:val="00B13E4B"/>
    <w:rsid w:val="00B142E7"/>
    <w:rsid w:val="00B14CC6"/>
    <w:rsid w:val="00B15CA2"/>
    <w:rsid w:val="00B22404"/>
    <w:rsid w:val="00B22D7A"/>
    <w:rsid w:val="00B23073"/>
    <w:rsid w:val="00B230D5"/>
    <w:rsid w:val="00B23606"/>
    <w:rsid w:val="00B23A5C"/>
    <w:rsid w:val="00B24421"/>
    <w:rsid w:val="00B276C7"/>
    <w:rsid w:val="00B27E26"/>
    <w:rsid w:val="00B30570"/>
    <w:rsid w:val="00B32105"/>
    <w:rsid w:val="00B32971"/>
    <w:rsid w:val="00B32D2A"/>
    <w:rsid w:val="00B342FE"/>
    <w:rsid w:val="00B361BC"/>
    <w:rsid w:val="00B36757"/>
    <w:rsid w:val="00B36C53"/>
    <w:rsid w:val="00B36FF4"/>
    <w:rsid w:val="00B37045"/>
    <w:rsid w:val="00B3766E"/>
    <w:rsid w:val="00B377CB"/>
    <w:rsid w:val="00B40989"/>
    <w:rsid w:val="00B41EB0"/>
    <w:rsid w:val="00B42054"/>
    <w:rsid w:val="00B4321A"/>
    <w:rsid w:val="00B43775"/>
    <w:rsid w:val="00B4579D"/>
    <w:rsid w:val="00B458E8"/>
    <w:rsid w:val="00B45DBD"/>
    <w:rsid w:val="00B466CD"/>
    <w:rsid w:val="00B46EAB"/>
    <w:rsid w:val="00B47416"/>
    <w:rsid w:val="00B47E15"/>
    <w:rsid w:val="00B51FBD"/>
    <w:rsid w:val="00B521B8"/>
    <w:rsid w:val="00B528A0"/>
    <w:rsid w:val="00B53150"/>
    <w:rsid w:val="00B542B5"/>
    <w:rsid w:val="00B54B0C"/>
    <w:rsid w:val="00B55D73"/>
    <w:rsid w:val="00B60645"/>
    <w:rsid w:val="00B61D58"/>
    <w:rsid w:val="00B62459"/>
    <w:rsid w:val="00B6257C"/>
    <w:rsid w:val="00B63D13"/>
    <w:rsid w:val="00B63DAC"/>
    <w:rsid w:val="00B63DC7"/>
    <w:rsid w:val="00B64860"/>
    <w:rsid w:val="00B65208"/>
    <w:rsid w:val="00B6526B"/>
    <w:rsid w:val="00B66D1E"/>
    <w:rsid w:val="00B67410"/>
    <w:rsid w:val="00B714A8"/>
    <w:rsid w:val="00B724AF"/>
    <w:rsid w:val="00B72A34"/>
    <w:rsid w:val="00B72EE4"/>
    <w:rsid w:val="00B756EC"/>
    <w:rsid w:val="00B75A7C"/>
    <w:rsid w:val="00B763B8"/>
    <w:rsid w:val="00B769B4"/>
    <w:rsid w:val="00B77693"/>
    <w:rsid w:val="00B77A4C"/>
    <w:rsid w:val="00B77DA1"/>
    <w:rsid w:val="00B8062A"/>
    <w:rsid w:val="00B820CD"/>
    <w:rsid w:val="00B82399"/>
    <w:rsid w:val="00B82914"/>
    <w:rsid w:val="00B82F8A"/>
    <w:rsid w:val="00B85045"/>
    <w:rsid w:val="00B856BC"/>
    <w:rsid w:val="00B87738"/>
    <w:rsid w:val="00B87E68"/>
    <w:rsid w:val="00B90D86"/>
    <w:rsid w:val="00B9114E"/>
    <w:rsid w:val="00B91604"/>
    <w:rsid w:val="00B91965"/>
    <w:rsid w:val="00B91D68"/>
    <w:rsid w:val="00B93723"/>
    <w:rsid w:val="00B96AE1"/>
    <w:rsid w:val="00B978D5"/>
    <w:rsid w:val="00BA0090"/>
    <w:rsid w:val="00BA25C5"/>
    <w:rsid w:val="00BA3D15"/>
    <w:rsid w:val="00BA7779"/>
    <w:rsid w:val="00BA7D95"/>
    <w:rsid w:val="00BB0CAC"/>
    <w:rsid w:val="00BB12E7"/>
    <w:rsid w:val="00BB1AF9"/>
    <w:rsid w:val="00BB202B"/>
    <w:rsid w:val="00BB23C4"/>
    <w:rsid w:val="00BB2780"/>
    <w:rsid w:val="00BB643B"/>
    <w:rsid w:val="00BB6CE3"/>
    <w:rsid w:val="00BB6DF6"/>
    <w:rsid w:val="00BB7325"/>
    <w:rsid w:val="00BB7654"/>
    <w:rsid w:val="00BB7EFE"/>
    <w:rsid w:val="00BC289E"/>
    <w:rsid w:val="00BC42CE"/>
    <w:rsid w:val="00BC4A1A"/>
    <w:rsid w:val="00BC5288"/>
    <w:rsid w:val="00BC553A"/>
    <w:rsid w:val="00BC5851"/>
    <w:rsid w:val="00BC5D65"/>
    <w:rsid w:val="00BC7B24"/>
    <w:rsid w:val="00BC7C5D"/>
    <w:rsid w:val="00BC7F05"/>
    <w:rsid w:val="00BD0410"/>
    <w:rsid w:val="00BD078D"/>
    <w:rsid w:val="00BD214E"/>
    <w:rsid w:val="00BD2846"/>
    <w:rsid w:val="00BD393C"/>
    <w:rsid w:val="00BD509E"/>
    <w:rsid w:val="00BD6BD1"/>
    <w:rsid w:val="00BD6F8C"/>
    <w:rsid w:val="00BD7895"/>
    <w:rsid w:val="00BE021D"/>
    <w:rsid w:val="00BE02B9"/>
    <w:rsid w:val="00BE03A0"/>
    <w:rsid w:val="00BE080E"/>
    <w:rsid w:val="00BE164A"/>
    <w:rsid w:val="00BE18CB"/>
    <w:rsid w:val="00BE643A"/>
    <w:rsid w:val="00BE74A7"/>
    <w:rsid w:val="00BF0741"/>
    <w:rsid w:val="00BF07DB"/>
    <w:rsid w:val="00BF17F8"/>
    <w:rsid w:val="00BF56E0"/>
    <w:rsid w:val="00BF5E28"/>
    <w:rsid w:val="00BF5F35"/>
    <w:rsid w:val="00BF6E5A"/>
    <w:rsid w:val="00BF70D4"/>
    <w:rsid w:val="00C00687"/>
    <w:rsid w:val="00C00CBF"/>
    <w:rsid w:val="00C02BA0"/>
    <w:rsid w:val="00C03F6C"/>
    <w:rsid w:val="00C0544F"/>
    <w:rsid w:val="00C07996"/>
    <w:rsid w:val="00C102E4"/>
    <w:rsid w:val="00C104D8"/>
    <w:rsid w:val="00C108A1"/>
    <w:rsid w:val="00C11B99"/>
    <w:rsid w:val="00C124B8"/>
    <w:rsid w:val="00C12D92"/>
    <w:rsid w:val="00C167E0"/>
    <w:rsid w:val="00C16AA6"/>
    <w:rsid w:val="00C16AC9"/>
    <w:rsid w:val="00C16C47"/>
    <w:rsid w:val="00C17908"/>
    <w:rsid w:val="00C17DF3"/>
    <w:rsid w:val="00C20027"/>
    <w:rsid w:val="00C20405"/>
    <w:rsid w:val="00C2122B"/>
    <w:rsid w:val="00C2147C"/>
    <w:rsid w:val="00C21556"/>
    <w:rsid w:val="00C21A48"/>
    <w:rsid w:val="00C22A5D"/>
    <w:rsid w:val="00C22FEC"/>
    <w:rsid w:val="00C23893"/>
    <w:rsid w:val="00C23921"/>
    <w:rsid w:val="00C2464A"/>
    <w:rsid w:val="00C24E76"/>
    <w:rsid w:val="00C265C4"/>
    <w:rsid w:val="00C2675D"/>
    <w:rsid w:val="00C3052E"/>
    <w:rsid w:val="00C336B2"/>
    <w:rsid w:val="00C341F5"/>
    <w:rsid w:val="00C3471C"/>
    <w:rsid w:val="00C34F0B"/>
    <w:rsid w:val="00C37A9B"/>
    <w:rsid w:val="00C40D78"/>
    <w:rsid w:val="00C44828"/>
    <w:rsid w:val="00C44C86"/>
    <w:rsid w:val="00C458EA"/>
    <w:rsid w:val="00C504A7"/>
    <w:rsid w:val="00C519A1"/>
    <w:rsid w:val="00C51C62"/>
    <w:rsid w:val="00C53268"/>
    <w:rsid w:val="00C534AE"/>
    <w:rsid w:val="00C539A7"/>
    <w:rsid w:val="00C53A79"/>
    <w:rsid w:val="00C5419C"/>
    <w:rsid w:val="00C54CD9"/>
    <w:rsid w:val="00C56C0E"/>
    <w:rsid w:val="00C56D86"/>
    <w:rsid w:val="00C5762F"/>
    <w:rsid w:val="00C6013C"/>
    <w:rsid w:val="00C61843"/>
    <w:rsid w:val="00C631F5"/>
    <w:rsid w:val="00C63F68"/>
    <w:rsid w:val="00C63FD6"/>
    <w:rsid w:val="00C64E2A"/>
    <w:rsid w:val="00C65C3E"/>
    <w:rsid w:val="00C66A54"/>
    <w:rsid w:val="00C6746D"/>
    <w:rsid w:val="00C7199E"/>
    <w:rsid w:val="00C72853"/>
    <w:rsid w:val="00C73269"/>
    <w:rsid w:val="00C741A7"/>
    <w:rsid w:val="00C749C4"/>
    <w:rsid w:val="00C74CA3"/>
    <w:rsid w:val="00C750BF"/>
    <w:rsid w:val="00C7697E"/>
    <w:rsid w:val="00C76DA3"/>
    <w:rsid w:val="00C7729B"/>
    <w:rsid w:val="00C80A83"/>
    <w:rsid w:val="00C81AA0"/>
    <w:rsid w:val="00C82949"/>
    <w:rsid w:val="00C835C6"/>
    <w:rsid w:val="00C8407C"/>
    <w:rsid w:val="00C846E5"/>
    <w:rsid w:val="00C84B65"/>
    <w:rsid w:val="00C854B7"/>
    <w:rsid w:val="00C85698"/>
    <w:rsid w:val="00C86AEC"/>
    <w:rsid w:val="00C90024"/>
    <w:rsid w:val="00C9004E"/>
    <w:rsid w:val="00C90153"/>
    <w:rsid w:val="00C902FD"/>
    <w:rsid w:val="00C91BE3"/>
    <w:rsid w:val="00C95877"/>
    <w:rsid w:val="00C959D6"/>
    <w:rsid w:val="00C975E4"/>
    <w:rsid w:val="00CA0EFF"/>
    <w:rsid w:val="00CA13A1"/>
    <w:rsid w:val="00CA153D"/>
    <w:rsid w:val="00CA301E"/>
    <w:rsid w:val="00CA36F8"/>
    <w:rsid w:val="00CA41C2"/>
    <w:rsid w:val="00CA4DEF"/>
    <w:rsid w:val="00CA4EC3"/>
    <w:rsid w:val="00CA5842"/>
    <w:rsid w:val="00CA6D3E"/>
    <w:rsid w:val="00CA71CE"/>
    <w:rsid w:val="00CA7BFD"/>
    <w:rsid w:val="00CA7F21"/>
    <w:rsid w:val="00CB0322"/>
    <w:rsid w:val="00CB3329"/>
    <w:rsid w:val="00CB5922"/>
    <w:rsid w:val="00CB5D75"/>
    <w:rsid w:val="00CB6398"/>
    <w:rsid w:val="00CB6EBB"/>
    <w:rsid w:val="00CC05A7"/>
    <w:rsid w:val="00CC05F0"/>
    <w:rsid w:val="00CC689F"/>
    <w:rsid w:val="00CD0549"/>
    <w:rsid w:val="00CD1166"/>
    <w:rsid w:val="00CD13B5"/>
    <w:rsid w:val="00CD13E2"/>
    <w:rsid w:val="00CD1B80"/>
    <w:rsid w:val="00CD289E"/>
    <w:rsid w:val="00CD37F0"/>
    <w:rsid w:val="00CD3F5E"/>
    <w:rsid w:val="00CD4A82"/>
    <w:rsid w:val="00CD5CE3"/>
    <w:rsid w:val="00CD6695"/>
    <w:rsid w:val="00CE178D"/>
    <w:rsid w:val="00CE2086"/>
    <w:rsid w:val="00CE2F7B"/>
    <w:rsid w:val="00CE3599"/>
    <w:rsid w:val="00CE39D0"/>
    <w:rsid w:val="00CE4773"/>
    <w:rsid w:val="00CE5368"/>
    <w:rsid w:val="00CF06D6"/>
    <w:rsid w:val="00CF0752"/>
    <w:rsid w:val="00CF0F25"/>
    <w:rsid w:val="00CF12B2"/>
    <w:rsid w:val="00CF1611"/>
    <w:rsid w:val="00CF242D"/>
    <w:rsid w:val="00CF3A25"/>
    <w:rsid w:val="00CF72F4"/>
    <w:rsid w:val="00D00055"/>
    <w:rsid w:val="00D01EDB"/>
    <w:rsid w:val="00D01F65"/>
    <w:rsid w:val="00D02363"/>
    <w:rsid w:val="00D02FDB"/>
    <w:rsid w:val="00D037CE"/>
    <w:rsid w:val="00D043FD"/>
    <w:rsid w:val="00D048B2"/>
    <w:rsid w:val="00D054AB"/>
    <w:rsid w:val="00D1096B"/>
    <w:rsid w:val="00D11884"/>
    <w:rsid w:val="00D11A0D"/>
    <w:rsid w:val="00D12BB9"/>
    <w:rsid w:val="00D13F93"/>
    <w:rsid w:val="00D15949"/>
    <w:rsid w:val="00D1792F"/>
    <w:rsid w:val="00D17D83"/>
    <w:rsid w:val="00D21155"/>
    <w:rsid w:val="00D218B2"/>
    <w:rsid w:val="00D21F85"/>
    <w:rsid w:val="00D228FC"/>
    <w:rsid w:val="00D22DFB"/>
    <w:rsid w:val="00D2338E"/>
    <w:rsid w:val="00D234BD"/>
    <w:rsid w:val="00D23D16"/>
    <w:rsid w:val="00D24F5F"/>
    <w:rsid w:val="00D26009"/>
    <w:rsid w:val="00D30BC7"/>
    <w:rsid w:val="00D3126D"/>
    <w:rsid w:val="00D31507"/>
    <w:rsid w:val="00D32B71"/>
    <w:rsid w:val="00D33317"/>
    <w:rsid w:val="00D34C6A"/>
    <w:rsid w:val="00D3591D"/>
    <w:rsid w:val="00D35981"/>
    <w:rsid w:val="00D4076C"/>
    <w:rsid w:val="00D4085F"/>
    <w:rsid w:val="00D424EE"/>
    <w:rsid w:val="00D4254E"/>
    <w:rsid w:val="00D43132"/>
    <w:rsid w:val="00D43E95"/>
    <w:rsid w:val="00D44663"/>
    <w:rsid w:val="00D4653D"/>
    <w:rsid w:val="00D474A5"/>
    <w:rsid w:val="00D47D98"/>
    <w:rsid w:val="00D550AB"/>
    <w:rsid w:val="00D5544E"/>
    <w:rsid w:val="00D5568A"/>
    <w:rsid w:val="00D55CDD"/>
    <w:rsid w:val="00D56F29"/>
    <w:rsid w:val="00D60575"/>
    <w:rsid w:val="00D60C44"/>
    <w:rsid w:val="00D63000"/>
    <w:rsid w:val="00D63AD9"/>
    <w:rsid w:val="00D63BF1"/>
    <w:rsid w:val="00D64088"/>
    <w:rsid w:val="00D643B7"/>
    <w:rsid w:val="00D6494D"/>
    <w:rsid w:val="00D675CF"/>
    <w:rsid w:val="00D67873"/>
    <w:rsid w:val="00D67A69"/>
    <w:rsid w:val="00D67EE5"/>
    <w:rsid w:val="00D702C7"/>
    <w:rsid w:val="00D712E4"/>
    <w:rsid w:val="00D71F19"/>
    <w:rsid w:val="00D72049"/>
    <w:rsid w:val="00D72289"/>
    <w:rsid w:val="00D7469A"/>
    <w:rsid w:val="00D76CF5"/>
    <w:rsid w:val="00D8000E"/>
    <w:rsid w:val="00D81021"/>
    <w:rsid w:val="00D816AB"/>
    <w:rsid w:val="00D81ECE"/>
    <w:rsid w:val="00D826D3"/>
    <w:rsid w:val="00D82D46"/>
    <w:rsid w:val="00D84204"/>
    <w:rsid w:val="00D8427B"/>
    <w:rsid w:val="00D85374"/>
    <w:rsid w:val="00D8685D"/>
    <w:rsid w:val="00D87D35"/>
    <w:rsid w:val="00D91DAC"/>
    <w:rsid w:val="00D931BE"/>
    <w:rsid w:val="00D935C1"/>
    <w:rsid w:val="00D93BC4"/>
    <w:rsid w:val="00D93C10"/>
    <w:rsid w:val="00D9405C"/>
    <w:rsid w:val="00D94604"/>
    <w:rsid w:val="00D964F5"/>
    <w:rsid w:val="00D9732F"/>
    <w:rsid w:val="00D97C76"/>
    <w:rsid w:val="00DA01D3"/>
    <w:rsid w:val="00DA02D5"/>
    <w:rsid w:val="00DA1742"/>
    <w:rsid w:val="00DA1C3F"/>
    <w:rsid w:val="00DA6657"/>
    <w:rsid w:val="00DA7D46"/>
    <w:rsid w:val="00DB1232"/>
    <w:rsid w:val="00DB287D"/>
    <w:rsid w:val="00DB4F98"/>
    <w:rsid w:val="00DB59D6"/>
    <w:rsid w:val="00DB78BD"/>
    <w:rsid w:val="00DC0A83"/>
    <w:rsid w:val="00DC1F21"/>
    <w:rsid w:val="00DC2356"/>
    <w:rsid w:val="00DC37E0"/>
    <w:rsid w:val="00DC3CE7"/>
    <w:rsid w:val="00DC49D4"/>
    <w:rsid w:val="00DC5ECF"/>
    <w:rsid w:val="00DC7471"/>
    <w:rsid w:val="00DC77EE"/>
    <w:rsid w:val="00DC77F1"/>
    <w:rsid w:val="00DD054D"/>
    <w:rsid w:val="00DD1F9E"/>
    <w:rsid w:val="00DD2398"/>
    <w:rsid w:val="00DD2611"/>
    <w:rsid w:val="00DD2997"/>
    <w:rsid w:val="00DD29B2"/>
    <w:rsid w:val="00DD2CFA"/>
    <w:rsid w:val="00DD4411"/>
    <w:rsid w:val="00DD560F"/>
    <w:rsid w:val="00DD586E"/>
    <w:rsid w:val="00DD5D5D"/>
    <w:rsid w:val="00DD7DA1"/>
    <w:rsid w:val="00DE0044"/>
    <w:rsid w:val="00DE0851"/>
    <w:rsid w:val="00DE10AB"/>
    <w:rsid w:val="00DE1381"/>
    <w:rsid w:val="00DE18E1"/>
    <w:rsid w:val="00DE2983"/>
    <w:rsid w:val="00DE4455"/>
    <w:rsid w:val="00DE4562"/>
    <w:rsid w:val="00DE60AB"/>
    <w:rsid w:val="00DE6B36"/>
    <w:rsid w:val="00DE7524"/>
    <w:rsid w:val="00DF1B67"/>
    <w:rsid w:val="00DF2C80"/>
    <w:rsid w:val="00DF2D24"/>
    <w:rsid w:val="00DF3633"/>
    <w:rsid w:val="00DF3A95"/>
    <w:rsid w:val="00DF5488"/>
    <w:rsid w:val="00DF6E43"/>
    <w:rsid w:val="00DF7D68"/>
    <w:rsid w:val="00E014BF"/>
    <w:rsid w:val="00E015E2"/>
    <w:rsid w:val="00E01A0C"/>
    <w:rsid w:val="00E037E1"/>
    <w:rsid w:val="00E058E1"/>
    <w:rsid w:val="00E06CA4"/>
    <w:rsid w:val="00E06D23"/>
    <w:rsid w:val="00E06E9A"/>
    <w:rsid w:val="00E078F2"/>
    <w:rsid w:val="00E07979"/>
    <w:rsid w:val="00E103A6"/>
    <w:rsid w:val="00E10F09"/>
    <w:rsid w:val="00E113A8"/>
    <w:rsid w:val="00E1214D"/>
    <w:rsid w:val="00E12CF5"/>
    <w:rsid w:val="00E14ED1"/>
    <w:rsid w:val="00E161BD"/>
    <w:rsid w:val="00E17153"/>
    <w:rsid w:val="00E1780E"/>
    <w:rsid w:val="00E17BE6"/>
    <w:rsid w:val="00E17FE0"/>
    <w:rsid w:val="00E22C1E"/>
    <w:rsid w:val="00E233EF"/>
    <w:rsid w:val="00E24B05"/>
    <w:rsid w:val="00E305D0"/>
    <w:rsid w:val="00E33896"/>
    <w:rsid w:val="00E34B55"/>
    <w:rsid w:val="00E35B2E"/>
    <w:rsid w:val="00E3774A"/>
    <w:rsid w:val="00E40C52"/>
    <w:rsid w:val="00E42447"/>
    <w:rsid w:val="00E425D1"/>
    <w:rsid w:val="00E428F5"/>
    <w:rsid w:val="00E44BA0"/>
    <w:rsid w:val="00E46A52"/>
    <w:rsid w:val="00E473EA"/>
    <w:rsid w:val="00E47B14"/>
    <w:rsid w:val="00E523D7"/>
    <w:rsid w:val="00E53B9E"/>
    <w:rsid w:val="00E54288"/>
    <w:rsid w:val="00E55798"/>
    <w:rsid w:val="00E55A35"/>
    <w:rsid w:val="00E57FC4"/>
    <w:rsid w:val="00E60460"/>
    <w:rsid w:val="00E61203"/>
    <w:rsid w:val="00E62275"/>
    <w:rsid w:val="00E6239D"/>
    <w:rsid w:val="00E636F3"/>
    <w:rsid w:val="00E63D70"/>
    <w:rsid w:val="00E6409D"/>
    <w:rsid w:val="00E65028"/>
    <w:rsid w:val="00E65A69"/>
    <w:rsid w:val="00E66F37"/>
    <w:rsid w:val="00E70505"/>
    <w:rsid w:val="00E705C4"/>
    <w:rsid w:val="00E72EBC"/>
    <w:rsid w:val="00E73499"/>
    <w:rsid w:val="00E738CD"/>
    <w:rsid w:val="00E73DAC"/>
    <w:rsid w:val="00E76350"/>
    <w:rsid w:val="00E7646E"/>
    <w:rsid w:val="00E768C1"/>
    <w:rsid w:val="00E76A19"/>
    <w:rsid w:val="00E77095"/>
    <w:rsid w:val="00E77124"/>
    <w:rsid w:val="00E77453"/>
    <w:rsid w:val="00E77F5C"/>
    <w:rsid w:val="00E80DB6"/>
    <w:rsid w:val="00E820B8"/>
    <w:rsid w:val="00E82404"/>
    <w:rsid w:val="00E82F36"/>
    <w:rsid w:val="00E8312C"/>
    <w:rsid w:val="00E83458"/>
    <w:rsid w:val="00E83E4A"/>
    <w:rsid w:val="00E840B6"/>
    <w:rsid w:val="00E84212"/>
    <w:rsid w:val="00E84DF1"/>
    <w:rsid w:val="00E9180E"/>
    <w:rsid w:val="00E91BE7"/>
    <w:rsid w:val="00E94289"/>
    <w:rsid w:val="00E955CF"/>
    <w:rsid w:val="00E95FF1"/>
    <w:rsid w:val="00E963AE"/>
    <w:rsid w:val="00E97264"/>
    <w:rsid w:val="00E97F9A"/>
    <w:rsid w:val="00EA20FD"/>
    <w:rsid w:val="00EA458C"/>
    <w:rsid w:val="00EA4710"/>
    <w:rsid w:val="00EA5519"/>
    <w:rsid w:val="00EA59DA"/>
    <w:rsid w:val="00EB180A"/>
    <w:rsid w:val="00EB40D2"/>
    <w:rsid w:val="00EB469A"/>
    <w:rsid w:val="00EB5B98"/>
    <w:rsid w:val="00EB61F0"/>
    <w:rsid w:val="00EB6ACD"/>
    <w:rsid w:val="00EB76A1"/>
    <w:rsid w:val="00EC0D5C"/>
    <w:rsid w:val="00EC134C"/>
    <w:rsid w:val="00EC2F4E"/>
    <w:rsid w:val="00EC3076"/>
    <w:rsid w:val="00EC31FD"/>
    <w:rsid w:val="00EC3329"/>
    <w:rsid w:val="00EC3E84"/>
    <w:rsid w:val="00EC3F33"/>
    <w:rsid w:val="00EC4E94"/>
    <w:rsid w:val="00EC63A1"/>
    <w:rsid w:val="00EC6A6D"/>
    <w:rsid w:val="00EC6E08"/>
    <w:rsid w:val="00EC774D"/>
    <w:rsid w:val="00EC7FEF"/>
    <w:rsid w:val="00ED000F"/>
    <w:rsid w:val="00ED166B"/>
    <w:rsid w:val="00ED19FF"/>
    <w:rsid w:val="00ED1C0A"/>
    <w:rsid w:val="00ED29D0"/>
    <w:rsid w:val="00ED41A7"/>
    <w:rsid w:val="00ED62B2"/>
    <w:rsid w:val="00ED6A69"/>
    <w:rsid w:val="00ED7610"/>
    <w:rsid w:val="00EE01A8"/>
    <w:rsid w:val="00EE071A"/>
    <w:rsid w:val="00EE1840"/>
    <w:rsid w:val="00EE210A"/>
    <w:rsid w:val="00EE2C81"/>
    <w:rsid w:val="00EE5EAC"/>
    <w:rsid w:val="00EE63B9"/>
    <w:rsid w:val="00EE6666"/>
    <w:rsid w:val="00EE672C"/>
    <w:rsid w:val="00EE6C2C"/>
    <w:rsid w:val="00EE7118"/>
    <w:rsid w:val="00EE7229"/>
    <w:rsid w:val="00EE7AA2"/>
    <w:rsid w:val="00EE7B05"/>
    <w:rsid w:val="00EE7F74"/>
    <w:rsid w:val="00EF10B8"/>
    <w:rsid w:val="00EF1407"/>
    <w:rsid w:val="00EF15AD"/>
    <w:rsid w:val="00EF1E8D"/>
    <w:rsid w:val="00EF3608"/>
    <w:rsid w:val="00EF426D"/>
    <w:rsid w:val="00EF4C10"/>
    <w:rsid w:val="00EF5AA3"/>
    <w:rsid w:val="00EF6EBD"/>
    <w:rsid w:val="00EF6EFF"/>
    <w:rsid w:val="00EF7063"/>
    <w:rsid w:val="00EF71C9"/>
    <w:rsid w:val="00F00884"/>
    <w:rsid w:val="00F013D6"/>
    <w:rsid w:val="00F0306E"/>
    <w:rsid w:val="00F0328B"/>
    <w:rsid w:val="00F03659"/>
    <w:rsid w:val="00F053FF"/>
    <w:rsid w:val="00F056F8"/>
    <w:rsid w:val="00F057D7"/>
    <w:rsid w:val="00F066DA"/>
    <w:rsid w:val="00F06D77"/>
    <w:rsid w:val="00F07773"/>
    <w:rsid w:val="00F115C6"/>
    <w:rsid w:val="00F11C5C"/>
    <w:rsid w:val="00F1357C"/>
    <w:rsid w:val="00F137CD"/>
    <w:rsid w:val="00F13B7E"/>
    <w:rsid w:val="00F151F5"/>
    <w:rsid w:val="00F1524B"/>
    <w:rsid w:val="00F16F34"/>
    <w:rsid w:val="00F20552"/>
    <w:rsid w:val="00F205B5"/>
    <w:rsid w:val="00F220BB"/>
    <w:rsid w:val="00F233D0"/>
    <w:rsid w:val="00F25EE4"/>
    <w:rsid w:val="00F25FEF"/>
    <w:rsid w:val="00F2673B"/>
    <w:rsid w:val="00F26DF1"/>
    <w:rsid w:val="00F306E0"/>
    <w:rsid w:val="00F30CF1"/>
    <w:rsid w:val="00F31275"/>
    <w:rsid w:val="00F343C3"/>
    <w:rsid w:val="00F35B75"/>
    <w:rsid w:val="00F36285"/>
    <w:rsid w:val="00F379A2"/>
    <w:rsid w:val="00F4037F"/>
    <w:rsid w:val="00F40A6A"/>
    <w:rsid w:val="00F40A73"/>
    <w:rsid w:val="00F40C33"/>
    <w:rsid w:val="00F4190B"/>
    <w:rsid w:val="00F41CE0"/>
    <w:rsid w:val="00F4329C"/>
    <w:rsid w:val="00F43B19"/>
    <w:rsid w:val="00F443E7"/>
    <w:rsid w:val="00F4481E"/>
    <w:rsid w:val="00F44B52"/>
    <w:rsid w:val="00F45306"/>
    <w:rsid w:val="00F45BCA"/>
    <w:rsid w:val="00F46203"/>
    <w:rsid w:val="00F462E7"/>
    <w:rsid w:val="00F47E69"/>
    <w:rsid w:val="00F47FE8"/>
    <w:rsid w:val="00F51398"/>
    <w:rsid w:val="00F51E43"/>
    <w:rsid w:val="00F51EE3"/>
    <w:rsid w:val="00F52B2B"/>
    <w:rsid w:val="00F53DDA"/>
    <w:rsid w:val="00F5692F"/>
    <w:rsid w:val="00F57C80"/>
    <w:rsid w:val="00F601AF"/>
    <w:rsid w:val="00F62216"/>
    <w:rsid w:val="00F6287C"/>
    <w:rsid w:val="00F6312D"/>
    <w:rsid w:val="00F64AEB"/>
    <w:rsid w:val="00F64D8E"/>
    <w:rsid w:val="00F64F25"/>
    <w:rsid w:val="00F6528D"/>
    <w:rsid w:val="00F669E1"/>
    <w:rsid w:val="00F66BE6"/>
    <w:rsid w:val="00F67095"/>
    <w:rsid w:val="00F670E9"/>
    <w:rsid w:val="00F671F0"/>
    <w:rsid w:val="00F71207"/>
    <w:rsid w:val="00F71782"/>
    <w:rsid w:val="00F7224C"/>
    <w:rsid w:val="00F7358C"/>
    <w:rsid w:val="00F7527D"/>
    <w:rsid w:val="00F76AB8"/>
    <w:rsid w:val="00F802D3"/>
    <w:rsid w:val="00F811C3"/>
    <w:rsid w:val="00F8271C"/>
    <w:rsid w:val="00F82F56"/>
    <w:rsid w:val="00F85507"/>
    <w:rsid w:val="00F85899"/>
    <w:rsid w:val="00F860BE"/>
    <w:rsid w:val="00F8618C"/>
    <w:rsid w:val="00F86617"/>
    <w:rsid w:val="00F86C1E"/>
    <w:rsid w:val="00F87D5E"/>
    <w:rsid w:val="00F912B3"/>
    <w:rsid w:val="00F931A4"/>
    <w:rsid w:val="00F93925"/>
    <w:rsid w:val="00F94413"/>
    <w:rsid w:val="00F94A8F"/>
    <w:rsid w:val="00F953FE"/>
    <w:rsid w:val="00F95797"/>
    <w:rsid w:val="00F9680F"/>
    <w:rsid w:val="00F9690B"/>
    <w:rsid w:val="00F97EEC"/>
    <w:rsid w:val="00FA0164"/>
    <w:rsid w:val="00FA075E"/>
    <w:rsid w:val="00FA0914"/>
    <w:rsid w:val="00FA1F60"/>
    <w:rsid w:val="00FA1FA1"/>
    <w:rsid w:val="00FA2596"/>
    <w:rsid w:val="00FA272A"/>
    <w:rsid w:val="00FA2CFC"/>
    <w:rsid w:val="00FA31AA"/>
    <w:rsid w:val="00FA359F"/>
    <w:rsid w:val="00FA3D2F"/>
    <w:rsid w:val="00FA3F92"/>
    <w:rsid w:val="00FA441D"/>
    <w:rsid w:val="00FA49DF"/>
    <w:rsid w:val="00FA5965"/>
    <w:rsid w:val="00FA5CE2"/>
    <w:rsid w:val="00FB174A"/>
    <w:rsid w:val="00FB1C63"/>
    <w:rsid w:val="00FB21CE"/>
    <w:rsid w:val="00FB2DC7"/>
    <w:rsid w:val="00FB3072"/>
    <w:rsid w:val="00FB3259"/>
    <w:rsid w:val="00FB336B"/>
    <w:rsid w:val="00FB348F"/>
    <w:rsid w:val="00FB37B4"/>
    <w:rsid w:val="00FB37BB"/>
    <w:rsid w:val="00FB3904"/>
    <w:rsid w:val="00FB6465"/>
    <w:rsid w:val="00FB7D41"/>
    <w:rsid w:val="00FC2968"/>
    <w:rsid w:val="00FC46B9"/>
    <w:rsid w:val="00FC475C"/>
    <w:rsid w:val="00FC5BCC"/>
    <w:rsid w:val="00FC60C2"/>
    <w:rsid w:val="00FC75EF"/>
    <w:rsid w:val="00FD0692"/>
    <w:rsid w:val="00FD1D50"/>
    <w:rsid w:val="00FD2465"/>
    <w:rsid w:val="00FD2550"/>
    <w:rsid w:val="00FD2AD3"/>
    <w:rsid w:val="00FD3E64"/>
    <w:rsid w:val="00FD5150"/>
    <w:rsid w:val="00FD6380"/>
    <w:rsid w:val="00FD6735"/>
    <w:rsid w:val="00FD7DEC"/>
    <w:rsid w:val="00FE053D"/>
    <w:rsid w:val="00FE0C67"/>
    <w:rsid w:val="00FE25E9"/>
    <w:rsid w:val="00FE2747"/>
    <w:rsid w:val="00FE2B82"/>
    <w:rsid w:val="00FE2E6A"/>
    <w:rsid w:val="00FE3971"/>
    <w:rsid w:val="00FE482C"/>
    <w:rsid w:val="00FE57B2"/>
    <w:rsid w:val="00FE60D9"/>
    <w:rsid w:val="00FF042C"/>
    <w:rsid w:val="00FF0C78"/>
    <w:rsid w:val="00FF14C7"/>
    <w:rsid w:val="00FF1702"/>
    <w:rsid w:val="00FF1AC8"/>
    <w:rsid w:val="00FF1DF3"/>
    <w:rsid w:val="00FF5E12"/>
    <w:rsid w:val="00FF600E"/>
    <w:rsid w:val="00FF63A9"/>
    <w:rsid w:val="00FF671F"/>
    <w:rsid w:val="00FF72C0"/>
    <w:rsid w:val="025F548D"/>
    <w:rsid w:val="032064E7"/>
    <w:rsid w:val="075C73C2"/>
    <w:rsid w:val="0F6A4598"/>
    <w:rsid w:val="10563548"/>
    <w:rsid w:val="116671C5"/>
    <w:rsid w:val="14CA7A1A"/>
    <w:rsid w:val="14F74BCE"/>
    <w:rsid w:val="1A965A97"/>
    <w:rsid w:val="1B1F09DB"/>
    <w:rsid w:val="1ED20CD3"/>
    <w:rsid w:val="21932D06"/>
    <w:rsid w:val="263C4B36"/>
    <w:rsid w:val="343378F7"/>
    <w:rsid w:val="3AEE6979"/>
    <w:rsid w:val="3B6751D7"/>
    <w:rsid w:val="41285F8B"/>
    <w:rsid w:val="483B1E1A"/>
    <w:rsid w:val="4DE84AD8"/>
    <w:rsid w:val="525D67B1"/>
    <w:rsid w:val="52833022"/>
    <w:rsid w:val="542F40BE"/>
    <w:rsid w:val="566043C2"/>
    <w:rsid w:val="58BD6B62"/>
    <w:rsid w:val="66DA2034"/>
    <w:rsid w:val="705D07EF"/>
    <w:rsid w:val="72565E26"/>
    <w:rsid w:val="72C52467"/>
    <w:rsid w:val="766A1AF6"/>
    <w:rsid w:val="77215633"/>
    <w:rsid w:val="7B2F49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annotation text"/>
    <w:basedOn w:val="1"/>
    <w:link w:val="12"/>
    <w:qFormat/>
    <w:uiPriority w:val="0"/>
    <w:pPr>
      <w:jc w:val="left"/>
    </w:pPr>
  </w:style>
  <w:style w:type="paragraph" w:styleId="4">
    <w:name w:val="Body Text"/>
    <w:basedOn w:val="1"/>
    <w:link w:val="13"/>
    <w:unhideWhenUsed/>
    <w:qFormat/>
    <w:uiPriority w:val="99"/>
    <w:pPr>
      <w:spacing w:after="120"/>
    </w:pPr>
    <w:rPr>
      <w:rFonts w:asciiTheme="minorHAnsi" w:hAnsiTheme="minorHAnsi" w:eastAsiaTheme="minorEastAsia" w:cstheme="minorBidi"/>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annotation reference"/>
    <w:basedOn w:val="8"/>
    <w:semiHidden/>
    <w:unhideWhenUsed/>
    <w:qFormat/>
    <w:uiPriority w:val="99"/>
    <w:rPr>
      <w:sz w:val="21"/>
      <w:szCs w:val="21"/>
    </w:rPr>
  </w:style>
  <w:style w:type="character" w:customStyle="1" w:styleId="10">
    <w:name w:val="页脚 字符"/>
    <w:basedOn w:val="8"/>
    <w:link w:val="5"/>
    <w:qFormat/>
    <w:uiPriority w:val="99"/>
    <w:rPr>
      <w:rFonts w:ascii="Times New Roman" w:hAnsi="Times New Roman" w:eastAsia="宋体" w:cs="Times New Roman"/>
      <w:sz w:val="18"/>
      <w:szCs w:val="18"/>
    </w:rPr>
  </w:style>
  <w:style w:type="character" w:customStyle="1" w:styleId="11">
    <w:name w:val="批注文字 Char"/>
    <w:basedOn w:val="8"/>
    <w:qFormat/>
    <w:uiPriority w:val="99"/>
    <w:rPr>
      <w:rFonts w:ascii="Times New Roman" w:hAnsi="Times New Roman" w:eastAsia="宋体" w:cs="Times New Roman"/>
      <w:szCs w:val="24"/>
    </w:rPr>
  </w:style>
  <w:style w:type="character" w:customStyle="1" w:styleId="12">
    <w:name w:val="批注文字 字符"/>
    <w:link w:val="3"/>
    <w:qFormat/>
    <w:uiPriority w:val="0"/>
    <w:rPr>
      <w:rFonts w:ascii="Times New Roman" w:hAnsi="Times New Roman" w:eastAsia="宋体" w:cs="Times New Roman"/>
      <w:szCs w:val="24"/>
    </w:rPr>
  </w:style>
  <w:style w:type="character" w:customStyle="1" w:styleId="13">
    <w:name w:val="正文文本 字符"/>
    <w:basedOn w:val="8"/>
    <w:link w:val="4"/>
    <w:qFormat/>
    <w:uiPriority w:val="99"/>
    <w:rPr>
      <w:szCs w:val="24"/>
    </w:rPr>
  </w:style>
  <w:style w:type="character" w:customStyle="1" w:styleId="14">
    <w:name w:val="页眉 字符"/>
    <w:basedOn w:val="8"/>
    <w:link w:val="6"/>
    <w:qFormat/>
    <w:uiPriority w:val="99"/>
    <w:rPr>
      <w:rFonts w:ascii="Times New Roman" w:hAnsi="Times New Roman" w:eastAsia="宋体" w:cs="Times New Roman"/>
      <w:sz w:val="18"/>
      <w:szCs w:val="18"/>
    </w:rPr>
  </w:style>
  <w:style w:type="paragraph" w:customStyle="1" w:styleId="15">
    <w:name w:val="表格文字"/>
    <w:basedOn w:val="1"/>
    <w:qFormat/>
    <w:uiPriority w:val="0"/>
    <w:pPr>
      <w:spacing w:before="25" w:after="25"/>
      <w:jc w:val="left"/>
    </w:pPr>
    <w:rPr>
      <w:bCs/>
      <w:spacing w:val="10"/>
      <w:kern w:val="0"/>
      <w:sz w:val="24"/>
      <w:szCs w:val="20"/>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5387</Words>
  <Characters>5685</Characters>
  <Lines>48</Lines>
  <Paragraphs>13</Paragraphs>
  <TotalTime>2</TotalTime>
  <ScaleCrop>false</ScaleCrop>
  <LinksUpToDate>false</LinksUpToDate>
  <CharactersWithSpaces>5814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2024-08-21T16:51:00Z</dcterms:created>
  <dc:creator>简擎炬</dc:creator>
  <cp:lastModifiedBy>邓云帆</cp:lastModifiedBy>
  <dcterms:modified xsi:type="dcterms:W3CDTF">2026-05-12T06:54:37Z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eyJoZGlkIjoiMjE1OGNhMDdhZTVhOGY0NmE2MWYwZjIyNzFjYjU3MTIiLCJ1c2VySWQiOiI4MzM2MTY5OTAifQ==</vt:lpwstr>
  </property>
  <property fmtid="{D5CDD505-2E9C-101B-9397-08002B2CF9AE}" pid="3" name="KSOProductBuildVer">
    <vt:lpwstr>2052-12.1.0.25865</vt:lpwstr>
  </property>
  <property fmtid="{D5CDD505-2E9C-101B-9397-08002B2CF9AE}" pid="4" name="ICV">
    <vt:lpwstr>2F2F4D16F2154FD782D9B47E6BD79C9B_13</vt:lpwstr>
  </property>
</Properties>
</file>