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70211">
      <w:pPr>
        <w:numPr>
          <w:ilvl w:val="0"/>
          <w:numId w:val="0"/>
        </w:numPr>
        <w:spacing w:line="560" w:lineRule="exact"/>
        <w:jc w:val="center"/>
        <w:rPr>
          <w:rFonts w:hint="default" w:eastAsiaTheme="minorEastAsia"/>
          <w:b/>
          <w:bCs/>
          <w:sz w:val="44"/>
          <w:szCs w:val="44"/>
          <w:highlight w:val="none"/>
          <w:lang w:val="en-US" w:eastAsia="zh-CN"/>
        </w:rPr>
      </w:pPr>
      <w:r>
        <w:rPr>
          <w:rFonts w:hint="eastAsia"/>
          <w:b/>
          <w:bCs/>
          <w:sz w:val="44"/>
          <w:szCs w:val="44"/>
          <w:highlight w:val="none"/>
        </w:rPr>
        <w:t>五象院区食堂设备采购及安装项目</w:t>
      </w:r>
      <w:r>
        <w:rPr>
          <w:rFonts w:hint="eastAsia"/>
          <w:b/>
          <w:bCs/>
          <w:sz w:val="44"/>
          <w:szCs w:val="44"/>
          <w:highlight w:val="none"/>
          <w:lang w:val="en-US" w:eastAsia="zh-CN"/>
        </w:rPr>
        <w:t>采购需求</w:t>
      </w:r>
    </w:p>
    <w:p w14:paraId="6017C6C9">
      <w:pPr>
        <w:numPr>
          <w:ilvl w:val="0"/>
          <w:numId w:val="0"/>
        </w:numPr>
        <w:spacing w:line="560" w:lineRule="exact"/>
        <w:jc w:val="left"/>
        <w:rPr>
          <w:rFonts w:hint="eastAsia"/>
          <w:b/>
          <w:bCs/>
          <w:sz w:val="28"/>
          <w:szCs w:val="28"/>
          <w:highlight w:val="none"/>
          <w:lang w:val="en-US" w:eastAsia="zh-CN"/>
        </w:rPr>
      </w:pPr>
      <w:r>
        <w:rPr>
          <w:rFonts w:hint="eastAsia"/>
          <w:b/>
          <w:bCs/>
          <w:sz w:val="28"/>
          <w:szCs w:val="28"/>
          <w:highlight w:val="none"/>
          <w:lang w:val="en-US" w:eastAsia="zh-CN"/>
        </w:rPr>
        <w:t>总体说明：</w:t>
      </w:r>
    </w:p>
    <w:p w14:paraId="71AD8E35">
      <w:pPr>
        <w:numPr>
          <w:ilvl w:val="0"/>
          <w:numId w:val="0"/>
        </w:numPr>
        <w:spacing w:line="560" w:lineRule="exact"/>
        <w:jc w:val="left"/>
        <w:rPr>
          <w:rFonts w:hint="eastAsia"/>
          <w:b w:val="0"/>
          <w:bCs w:val="0"/>
          <w:sz w:val="28"/>
          <w:szCs w:val="28"/>
          <w:highlight w:val="none"/>
          <w:lang w:val="en-US" w:eastAsia="zh-CN"/>
        </w:rPr>
      </w:pPr>
      <w:r>
        <w:rPr>
          <w:rFonts w:hint="eastAsia"/>
          <w:b w:val="0"/>
          <w:bCs w:val="0"/>
          <w:sz w:val="28"/>
          <w:szCs w:val="28"/>
          <w:highlight w:val="none"/>
          <w:lang w:val="en-US" w:eastAsia="zh-CN"/>
        </w:rPr>
        <w:t xml:space="preserve">1、采购清单内容中属于政府强制采购节能产品，供应商提供的货物必须使用政府强制采购的节能产品。供应商应在响应文件中提供所投产品获得国家确定的认证机构出具的、处于有效之内的节能产品认证证书复印件或扫描件（加盖供应商签章），否则响应文件无效。 </w:t>
      </w:r>
    </w:p>
    <w:p w14:paraId="3880E074">
      <w:pPr>
        <w:numPr>
          <w:ilvl w:val="0"/>
          <w:numId w:val="0"/>
        </w:numPr>
        <w:spacing w:line="560" w:lineRule="exact"/>
        <w:jc w:val="left"/>
        <w:rPr>
          <w:rFonts w:hint="eastAsia"/>
          <w:b w:val="0"/>
          <w:bCs w:val="0"/>
          <w:sz w:val="28"/>
          <w:szCs w:val="28"/>
          <w:highlight w:val="none"/>
          <w:lang w:val="en-US" w:eastAsia="zh-CN"/>
        </w:rPr>
      </w:pPr>
      <w:r>
        <w:rPr>
          <w:rFonts w:hint="eastAsia"/>
          <w:b w:val="0"/>
          <w:bCs w:val="0"/>
          <w:sz w:val="28"/>
          <w:szCs w:val="28"/>
          <w:highlight w:val="none"/>
          <w:lang w:val="en-US" w:eastAsia="zh-CN"/>
        </w:rPr>
        <w:t>2、采购需求中出现的品牌、型号或者生产厂家仅起参考作用，不属于指定品牌、型号或者生产厂家的情形。供应商可参照或者选用其他相当的品牌、型号或者生产厂家替代，但选用的竞标产品技术参数及配置必须满足采购要求。</w:t>
      </w:r>
    </w:p>
    <w:p w14:paraId="1E33DDC0">
      <w:pPr>
        <w:numPr>
          <w:ilvl w:val="0"/>
          <w:numId w:val="0"/>
        </w:numPr>
        <w:spacing w:line="560" w:lineRule="exact"/>
        <w:jc w:val="left"/>
        <w:rPr>
          <w:rFonts w:hint="eastAsia"/>
          <w:b w:val="0"/>
          <w:bCs w:val="0"/>
          <w:sz w:val="28"/>
          <w:szCs w:val="28"/>
          <w:highlight w:val="none"/>
          <w:lang w:val="en-US" w:eastAsia="zh-CN"/>
        </w:rPr>
      </w:pPr>
      <w:r>
        <w:rPr>
          <w:rFonts w:hint="eastAsia"/>
          <w:b w:val="0"/>
          <w:bCs w:val="0"/>
          <w:sz w:val="28"/>
          <w:szCs w:val="28"/>
          <w:highlight w:val="none"/>
          <w:lang w:val="en-US" w:eastAsia="zh-CN"/>
        </w:rPr>
        <w:t>3、检测报告及证明材料要求：</w:t>
      </w:r>
    </w:p>
    <w:p w14:paraId="7ABF8064">
      <w:pPr>
        <w:numPr>
          <w:ilvl w:val="0"/>
          <w:numId w:val="0"/>
        </w:numPr>
        <w:spacing w:line="560" w:lineRule="exact"/>
        <w:jc w:val="left"/>
        <w:rPr>
          <w:rFonts w:hint="eastAsia"/>
          <w:b w:val="0"/>
          <w:bCs w:val="0"/>
          <w:sz w:val="28"/>
          <w:szCs w:val="28"/>
          <w:highlight w:val="none"/>
          <w:lang w:val="en-US" w:eastAsia="zh-CN"/>
        </w:rPr>
      </w:pPr>
      <w:r>
        <w:rPr>
          <w:rFonts w:hint="eastAsia"/>
          <w:b w:val="0"/>
          <w:bCs w:val="0"/>
          <w:sz w:val="28"/>
          <w:szCs w:val="28"/>
          <w:highlight w:val="none"/>
          <w:lang w:val="en-US" w:eastAsia="zh-CN"/>
        </w:rPr>
        <w:t xml:space="preserve">（1）如要求提供检测报告或其他证明材料的，检测报告或其他证明材料内容中若涉及外文说明，必须同时提供对应中文翻译说明，评审依据以中文翻译内容为准，外文说明仅供参考；产品证明材料应为报告正面、背面和附件标注的全部具体内容；产品证明材料的内容应该能够被阅读、识别和判断。 </w:t>
      </w:r>
    </w:p>
    <w:p w14:paraId="7F854B71">
      <w:pPr>
        <w:numPr>
          <w:ilvl w:val="0"/>
          <w:numId w:val="0"/>
        </w:numPr>
        <w:spacing w:line="560" w:lineRule="exact"/>
        <w:jc w:val="left"/>
        <w:rPr>
          <w:rFonts w:hint="eastAsia" w:asciiTheme="minorHAnsi" w:hAnsiTheme="minorHAnsi" w:eastAsiaTheme="minorEastAsia" w:cstheme="minorBidi"/>
          <w:b w:val="0"/>
          <w:bCs w:val="0"/>
          <w:i w:val="0"/>
          <w:iCs w:val="0"/>
          <w:caps w:val="0"/>
          <w:spacing w:val="0"/>
          <w:sz w:val="28"/>
          <w:szCs w:val="28"/>
          <w:highlight w:val="none"/>
          <w:shd w:val="clear"/>
        </w:rPr>
      </w:pPr>
      <w:r>
        <w:rPr>
          <w:rFonts w:hint="eastAsia"/>
          <w:b w:val="0"/>
          <w:bCs w:val="0"/>
          <w:sz w:val="28"/>
          <w:szCs w:val="28"/>
          <w:highlight w:val="none"/>
          <w:lang w:val="en-US" w:eastAsia="zh-CN"/>
        </w:rPr>
        <w:t>（2）本采购需求中</w:t>
      </w:r>
      <w:r>
        <w:rPr>
          <w:rFonts w:hint="eastAsia" w:asciiTheme="minorHAnsi" w:hAnsiTheme="minorHAnsi" w:eastAsiaTheme="minorEastAsia" w:cstheme="minorBidi"/>
          <w:b w:val="0"/>
          <w:bCs w:val="0"/>
          <w:i w:val="0"/>
          <w:iCs w:val="0"/>
          <w:caps w:val="0"/>
          <w:spacing w:val="0"/>
          <w:sz w:val="28"/>
          <w:szCs w:val="28"/>
          <w:highlight w:val="none"/>
          <w:shd w:val="clear"/>
        </w:rPr>
        <w:t>各设备</w:t>
      </w:r>
      <w:r>
        <w:rPr>
          <w:rFonts w:hint="eastAsia" w:asciiTheme="minorHAnsi" w:hAnsiTheme="minorHAnsi" w:eastAsiaTheme="minorEastAsia" w:cstheme="minorBidi"/>
          <w:b w:val="0"/>
          <w:bCs w:val="0"/>
          <w:i w:val="0"/>
          <w:iCs w:val="0"/>
          <w:caps w:val="0"/>
          <w:spacing w:val="0"/>
          <w:sz w:val="28"/>
          <w:szCs w:val="28"/>
          <w:highlight w:val="none"/>
          <w:shd w:val="clear"/>
          <w:lang w:val="en-US" w:eastAsia="zh-CN"/>
        </w:rPr>
        <w:t>技术参数</w:t>
      </w:r>
      <w:r>
        <w:rPr>
          <w:rFonts w:hint="eastAsia" w:asciiTheme="minorHAnsi" w:hAnsiTheme="minorHAnsi" w:eastAsiaTheme="minorEastAsia" w:cstheme="minorBidi"/>
          <w:b w:val="0"/>
          <w:bCs w:val="0"/>
          <w:i w:val="0"/>
          <w:iCs w:val="0"/>
          <w:caps w:val="0"/>
          <w:spacing w:val="0"/>
          <w:sz w:val="28"/>
          <w:szCs w:val="28"/>
          <w:highlight w:val="none"/>
          <w:shd w:val="clear"/>
        </w:rPr>
        <w:t>条款中要求提供</w:t>
      </w:r>
      <w:r>
        <w:rPr>
          <w:rFonts w:hint="eastAsia" w:cstheme="minorBidi"/>
          <w:b w:val="0"/>
          <w:bCs w:val="0"/>
          <w:i w:val="0"/>
          <w:iCs w:val="0"/>
          <w:caps w:val="0"/>
          <w:spacing w:val="0"/>
          <w:sz w:val="28"/>
          <w:szCs w:val="28"/>
          <w:highlight w:val="none"/>
          <w:shd w:val="clear"/>
          <w:lang w:val="en-US" w:eastAsia="zh-CN"/>
        </w:rPr>
        <w:t>的</w:t>
      </w:r>
      <w:r>
        <w:rPr>
          <w:rFonts w:hint="eastAsia" w:asciiTheme="minorHAnsi" w:hAnsiTheme="minorHAnsi" w:eastAsiaTheme="minorEastAsia" w:cstheme="minorBidi"/>
          <w:b w:val="0"/>
          <w:bCs w:val="0"/>
          <w:i w:val="0"/>
          <w:iCs w:val="0"/>
          <w:caps w:val="0"/>
          <w:spacing w:val="0"/>
          <w:sz w:val="28"/>
          <w:szCs w:val="28"/>
          <w:highlight w:val="none"/>
          <w:shd w:val="clear"/>
        </w:rPr>
        <w:t>检测报告，投标时须提供复印件并加盖投标人公章。</w:t>
      </w:r>
    </w:p>
    <w:p w14:paraId="78FD2535">
      <w:pPr>
        <w:numPr>
          <w:ilvl w:val="0"/>
          <w:numId w:val="0"/>
        </w:numPr>
        <w:spacing w:line="560" w:lineRule="exact"/>
        <w:jc w:val="left"/>
        <w:rPr>
          <w:rFonts w:hint="eastAsia" w:asciiTheme="minorHAnsi" w:hAnsiTheme="minorHAnsi" w:eastAsiaTheme="minorEastAsia" w:cstheme="minorBidi"/>
          <w:b w:val="0"/>
          <w:bCs w:val="0"/>
          <w:i w:val="0"/>
          <w:iCs w:val="0"/>
          <w:caps w:val="0"/>
          <w:spacing w:val="0"/>
          <w:sz w:val="28"/>
          <w:szCs w:val="28"/>
          <w:highlight w:val="none"/>
          <w:shd w:val="clear"/>
        </w:rPr>
      </w:pPr>
      <w:r>
        <w:rPr>
          <w:rFonts w:hint="eastAsia" w:asciiTheme="minorHAnsi" w:hAnsiTheme="minorHAnsi" w:eastAsiaTheme="minorEastAsia" w:cstheme="minorBidi"/>
          <w:b w:val="0"/>
          <w:bCs w:val="0"/>
          <w:i w:val="0"/>
          <w:iCs w:val="0"/>
          <w:caps w:val="0"/>
          <w:spacing w:val="0"/>
          <w:sz w:val="28"/>
          <w:szCs w:val="28"/>
          <w:highlight w:val="none"/>
          <w:shd w:val="clear"/>
          <w:lang w:eastAsia="zh-CN"/>
        </w:rPr>
        <w:t>（</w:t>
      </w:r>
      <w:r>
        <w:rPr>
          <w:rFonts w:hint="eastAsia" w:asciiTheme="minorHAnsi" w:hAnsiTheme="minorHAnsi" w:eastAsiaTheme="minorEastAsia" w:cstheme="minorBidi"/>
          <w:b w:val="0"/>
          <w:bCs w:val="0"/>
          <w:i w:val="0"/>
          <w:iCs w:val="0"/>
          <w:caps w:val="0"/>
          <w:spacing w:val="0"/>
          <w:sz w:val="28"/>
          <w:szCs w:val="28"/>
          <w:highlight w:val="none"/>
          <w:shd w:val="clear"/>
          <w:lang w:val="en-US" w:eastAsia="zh-CN"/>
        </w:rPr>
        <w:t>3</w:t>
      </w:r>
      <w:r>
        <w:rPr>
          <w:rFonts w:hint="eastAsia" w:asciiTheme="minorHAnsi" w:hAnsiTheme="minorHAnsi" w:eastAsiaTheme="minorEastAsia" w:cstheme="minorBidi"/>
          <w:b w:val="0"/>
          <w:bCs w:val="0"/>
          <w:i w:val="0"/>
          <w:iCs w:val="0"/>
          <w:caps w:val="0"/>
          <w:spacing w:val="0"/>
          <w:sz w:val="28"/>
          <w:szCs w:val="28"/>
          <w:highlight w:val="none"/>
          <w:shd w:val="clear"/>
          <w:lang w:eastAsia="zh-CN"/>
        </w:rPr>
        <w:t>）</w:t>
      </w:r>
      <w:r>
        <w:rPr>
          <w:rFonts w:hint="eastAsia" w:asciiTheme="minorHAnsi" w:hAnsiTheme="minorHAnsi" w:eastAsiaTheme="minorEastAsia" w:cstheme="minorBidi"/>
          <w:b w:val="0"/>
          <w:bCs w:val="0"/>
          <w:i w:val="0"/>
          <w:iCs w:val="0"/>
          <w:caps w:val="0"/>
          <w:spacing w:val="0"/>
          <w:sz w:val="28"/>
          <w:szCs w:val="28"/>
          <w:highlight w:val="none"/>
          <w:shd w:val="clear"/>
        </w:rPr>
        <w:t>评审时评审专家有权通过检测报告上的二维码扫描核验，或通过检测机构官网、官方电话等渠道进行核实</w:t>
      </w:r>
      <w:r>
        <w:rPr>
          <w:rFonts w:hint="eastAsia" w:cstheme="minorBidi"/>
          <w:b w:val="0"/>
          <w:bCs w:val="0"/>
          <w:i w:val="0"/>
          <w:iCs w:val="0"/>
          <w:caps w:val="0"/>
          <w:spacing w:val="0"/>
          <w:sz w:val="28"/>
          <w:szCs w:val="28"/>
          <w:highlight w:val="none"/>
          <w:shd w:val="clear"/>
          <w:lang w:eastAsia="zh-CN"/>
        </w:rPr>
        <w:t>，</w:t>
      </w:r>
      <w:r>
        <w:rPr>
          <w:rFonts w:hint="eastAsia" w:asciiTheme="minorHAnsi" w:hAnsiTheme="minorHAnsi" w:eastAsiaTheme="minorEastAsia" w:cstheme="minorBidi"/>
          <w:b w:val="0"/>
          <w:bCs w:val="0"/>
          <w:i w:val="0"/>
          <w:iCs w:val="0"/>
          <w:caps w:val="0"/>
          <w:spacing w:val="0"/>
          <w:sz w:val="28"/>
          <w:szCs w:val="28"/>
          <w:highlight w:val="none"/>
          <w:shd w:val="clear"/>
        </w:rPr>
        <w:t>或</w:t>
      </w:r>
      <w:r>
        <w:rPr>
          <w:rFonts w:hint="eastAsia" w:asciiTheme="minorHAnsi" w:hAnsiTheme="minorHAnsi" w:eastAsiaTheme="minorEastAsia" w:cstheme="minorBidi"/>
          <w:b w:val="0"/>
          <w:bCs w:val="0"/>
          <w:i w:val="0"/>
          <w:iCs w:val="0"/>
          <w:caps w:val="0"/>
          <w:spacing w:val="0"/>
          <w:sz w:val="28"/>
          <w:szCs w:val="28"/>
          <w:highlight w:val="none"/>
          <w:shd w:val="clear"/>
          <w:lang w:val="en-US" w:eastAsia="zh-CN"/>
        </w:rPr>
        <w:t>通过</w:t>
      </w:r>
      <w:r>
        <w:rPr>
          <w:rFonts w:hint="eastAsia" w:asciiTheme="minorHAnsi" w:hAnsiTheme="minorHAnsi" w:eastAsiaTheme="minorEastAsia" w:cstheme="minorBidi"/>
          <w:b w:val="0"/>
          <w:bCs w:val="0"/>
          <w:i w:val="0"/>
          <w:iCs w:val="0"/>
          <w:caps w:val="0"/>
          <w:spacing w:val="0"/>
          <w:sz w:val="28"/>
          <w:szCs w:val="28"/>
          <w:highlight w:val="none"/>
          <w:shd w:val="clear"/>
        </w:rPr>
        <w:t>“全国认证认可信息公共服务平台”（</w:t>
      </w:r>
      <w:r>
        <w:rPr>
          <w:rFonts w:hint="eastAsia" w:asciiTheme="minorHAnsi" w:hAnsiTheme="minorHAnsi" w:eastAsiaTheme="minorEastAsia" w:cstheme="minorBidi"/>
          <w:b w:val="0"/>
          <w:bCs w:val="0"/>
          <w:i w:val="0"/>
          <w:iCs w:val="0"/>
          <w:caps w:val="0"/>
          <w:spacing w:val="0"/>
          <w:sz w:val="28"/>
          <w:szCs w:val="28"/>
          <w:highlight w:val="none"/>
          <w:u w:val="none"/>
          <w:shd w:val="clear"/>
        </w:rPr>
        <w:fldChar w:fldCharType="begin"/>
      </w:r>
      <w:r>
        <w:rPr>
          <w:rFonts w:hint="eastAsia" w:asciiTheme="minorHAnsi" w:hAnsiTheme="minorHAnsi" w:eastAsiaTheme="minorEastAsia" w:cstheme="minorBidi"/>
          <w:b w:val="0"/>
          <w:bCs w:val="0"/>
          <w:i w:val="0"/>
          <w:iCs w:val="0"/>
          <w:caps w:val="0"/>
          <w:spacing w:val="0"/>
          <w:sz w:val="28"/>
          <w:szCs w:val="28"/>
          <w:highlight w:val="none"/>
          <w:u w:val="none"/>
          <w:shd w:val="clear"/>
        </w:rPr>
        <w:instrText xml:space="preserve"> HYPERLINK "http://cx.cnca.cn/" \t "https://chat.deepseek.com/a/chat/s/_blank" </w:instrText>
      </w:r>
      <w:r>
        <w:rPr>
          <w:rFonts w:hint="eastAsia" w:asciiTheme="minorHAnsi" w:hAnsiTheme="minorHAnsi" w:eastAsiaTheme="minorEastAsia" w:cstheme="minorBidi"/>
          <w:b w:val="0"/>
          <w:bCs w:val="0"/>
          <w:i w:val="0"/>
          <w:iCs w:val="0"/>
          <w:caps w:val="0"/>
          <w:spacing w:val="0"/>
          <w:sz w:val="28"/>
          <w:szCs w:val="28"/>
          <w:highlight w:val="none"/>
          <w:u w:val="none"/>
          <w:shd w:val="clear"/>
        </w:rPr>
        <w:fldChar w:fldCharType="separate"/>
      </w:r>
      <w:r>
        <w:rPr>
          <w:rFonts w:hint="eastAsia" w:asciiTheme="minorHAnsi" w:hAnsiTheme="minorHAnsi" w:eastAsiaTheme="minorEastAsia" w:cstheme="minorBidi"/>
          <w:b w:val="0"/>
          <w:bCs w:val="0"/>
          <w:i w:val="0"/>
          <w:iCs w:val="0"/>
          <w:caps w:val="0"/>
          <w:spacing w:val="0"/>
          <w:sz w:val="28"/>
          <w:szCs w:val="28"/>
          <w:highlight w:val="none"/>
          <w:u w:val="none"/>
          <w:shd w:val="clear"/>
        </w:rPr>
        <w:t>http://cx.cnca.cn</w:t>
      </w:r>
      <w:r>
        <w:rPr>
          <w:rFonts w:hint="eastAsia" w:asciiTheme="minorHAnsi" w:hAnsiTheme="minorHAnsi" w:eastAsiaTheme="minorEastAsia" w:cstheme="minorBidi"/>
          <w:b w:val="0"/>
          <w:bCs w:val="0"/>
          <w:i w:val="0"/>
          <w:iCs w:val="0"/>
          <w:caps w:val="0"/>
          <w:spacing w:val="0"/>
          <w:sz w:val="28"/>
          <w:szCs w:val="28"/>
          <w:highlight w:val="none"/>
          <w:u w:val="none"/>
          <w:shd w:val="clear"/>
        </w:rPr>
        <w:fldChar w:fldCharType="end"/>
      </w:r>
      <w:r>
        <w:rPr>
          <w:rFonts w:hint="eastAsia" w:asciiTheme="minorHAnsi" w:hAnsiTheme="minorHAnsi" w:eastAsiaTheme="minorEastAsia" w:cstheme="minorBidi"/>
          <w:b w:val="0"/>
          <w:bCs w:val="0"/>
          <w:i w:val="0"/>
          <w:iCs w:val="0"/>
          <w:caps w:val="0"/>
          <w:spacing w:val="0"/>
          <w:sz w:val="28"/>
          <w:szCs w:val="28"/>
          <w:highlight w:val="none"/>
          <w:shd w:val="clear"/>
        </w:rPr>
        <w:t>）查询核验。核验结果与报告内容不一致的，视为负偏离。</w:t>
      </w:r>
    </w:p>
    <w:p w14:paraId="2A925280">
      <w:pPr>
        <w:numPr>
          <w:ilvl w:val="0"/>
          <w:numId w:val="0"/>
        </w:numPr>
        <w:spacing w:line="560" w:lineRule="exact"/>
        <w:jc w:val="left"/>
        <w:rPr>
          <w:rFonts w:hint="eastAsia" w:ascii="Segoe UI" w:hAnsi="Segoe UI" w:eastAsia="宋体" w:cs="Segoe UI"/>
          <w:b w:val="0"/>
          <w:bCs w:val="0"/>
          <w:i w:val="0"/>
          <w:iCs w:val="0"/>
          <w:caps w:val="0"/>
          <w:color w:val="0F1115"/>
          <w:spacing w:val="0"/>
          <w:sz w:val="24"/>
          <w:szCs w:val="24"/>
          <w:highlight w:val="none"/>
          <w:shd w:val="clear" w:fill="FFFFFF"/>
          <w:lang w:val="en-US" w:eastAsia="zh-CN"/>
        </w:rPr>
      </w:pPr>
      <w:r>
        <w:rPr>
          <w:rFonts w:hint="eastAsia" w:asciiTheme="minorHAnsi" w:hAnsiTheme="minorHAnsi" w:eastAsiaTheme="minorEastAsia" w:cstheme="minorBidi"/>
          <w:b w:val="0"/>
          <w:bCs w:val="0"/>
          <w:i w:val="0"/>
          <w:iCs w:val="0"/>
          <w:caps w:val="0"/>
          <w:spacing w:val="0"/>
          <w:sz w:val="28"/>
          <w:szCs w:val="28"/>
          <w:highlight w:val="none"/>
          <w:shd w:val="clear"/>
        </w:rPr>
        <w:t>（4）检测报告所载明的产品型号须与所投产品型号完全一致，否则视为负偏离。</w:t>
      </w:r>
      <w:r>
        <w:rPr>
          <w:rFonts w:hint="eastAsia" w:asciiTheme="minorHAnsi" w:hAnsiTheme="minorHAnsi" w:eastAsiaTheme="minorEastAsia" w:cstheme="minorBidi"/>
          <w:b w:val="0"/>
          <w:bCs w:val="0"/>
          <w:i w:val="0"/>
          <w:iCs w:val="0"/>
          <w:caps w:val="0"/>
          <w:spacing w:val="0"/>
          <w:sz w:val="28"/>
          <w:szCs w:val="28"/>
          <w:highlight w:val="none"/>
          <w:shd w:val="clear"/>
        </w:rPr>
        <w:br w:type="textWrapping"/>
      </w:r>
      <w:r>
        <w:rPr>
          <w:rFonts w:hint="eastAsia" w:asciiTheme="minorHAnsi" w:hAnsiTheme="minorHAnsi" w:eastAsiaTheme="minorEastAsia" w:cstheme="minorBidi"/>
          <w:b w:val="0"/>
          <w:bCs w:val="0"/>
          <w:i w:val="0"/>
          <w:iCs w:val="0"/>
          <w:caps w:val="0"/>
          <w:spacing w:val="0"/>
          <w:sz w:val="28"/>
          <w:szCs w:val="28"/>
          <w:highlight w:val="none"/>
          <w:shd w:val="clear"/>
        </w:rPr>
        <w:t>（5）采购人有权在履约验收阶段要求中标供应商提供检测报告原件进行核查，中标供应商须予配合。无法提供原件或原件与复印件不一致的，视为提供虚假材料。</w:t>
      </w:r>
    </w:p>
    <w:p w14:paraId="0B81D9AA">
      <w:pPr>
        <w:numPr>
          <w:ilvl w:val="0"/>
          <w:numId w:val="0"/>
        </w:numPr>
        <w:spacing w:line="560" w:lineRule="exact"/>
        <w:jc w:val="left"/>
        <w:rPr>
          <w:rFonts w:hint="eastAsia"/>
          <w:b w:val="0"/>
          <w:bCs w:val="0"/>
          <w:sz w:val="28"/>
          <w:szCs w:val="28"/>
          <w:highlight w:val="none"/>
          <w:lang w:val="en-US" w:eastAsia="zh-CN"/>
        </w:rPr>
      </w:pPr>
      <w:r>
        <w:rPr>
          <w:rFonts w:hint="eastAsia"/>
          <w:b w:val="0"/>
          <w:bCs w:val="0"/>
          <w:sz w:val="28"/>
          <w:szCs w:val="28"/>
          <w:highlight w:val="none"/>
          <w:lang w:val="en-US" w:eastAsia="zh-CN"/>
        </w:rPr>
        <w:t>4、本采购需求中引用的各项标准以现行有效版本为准。对于在招标期间发布的新标准，若距响应截止时间不足3个月，允许供应商提供符合旧标准或过渡期内等效标准的检测报告；若距响应截止时间超过3个月，则按新标准执行。最终供货须符合验收时有效的国家标准要求。</w:t>
      </w:r>
    </w:p>
    <w:p w14:paraId="6FE6F74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Theme="minorHAnsi" w:hAnsiTheme="minorHAnsi" w:eastAsiaTheme="minorEastAsia" w:cstheme="minorBidi"/>
          <w:b w:val="0"/>
          <w:bCs w:val="0"/>
          <w:sz w:val="28"/>
          <w:szCs w:val="28"/>
          <w:highlight w:val="none"/>
        </w:rPr>
      </w:pPr>
      <w:r>
        <w:rPr>
          <w:rFonts w:hint="eastAsia" w:asciiTheme="minorHAnsi" w:hAnsiTheme="minorHAnsi" w:eastAsiaTheme="minorEastAsia" w:cstheme="minorBidi"/>
          <w:b w:val="0"/>
          <w:bCs w:val="0"/>
          <w:sz w:val="28"/>
          <w:szCs w:val="28"/>
          <w:highlight w:val="none"/>
          <w:lang w:val="en-US" w:eastAsia="zh-CN"/>
        </w:rPr>
        <w:t>5、参与询价的</w:t>
      </w:r>
      <w:r>
        <w:rPr>
          <w:rFonts w:hint="eastAsia" w:asciiTheme="minorHAnsi" w:hAnsiTheme="minorHAnsi" w:eastAsiaTheme="minorEastAsia" w:cstheme="minorBidi"/>
          <w:b w:val="0"/>
          <w:bCs w:val="0"/>
          <w:sz w:val="28"/>
          <w:szCs w:val="28"/>
          <w:highlight w:val="none"/>
          <w:lang w:eastAsia="zh-CN"/>
        </w:rPr>
        <w:t>供应商</w:t>
      </w:r>
      <w:r>
        <w:rPr>
          <w:rFonts w:hint="eastAsia" w:asciiTheme="minorHAnsi" w:hAnsiTheme="minorHAnsi" w:eastAsiaTheme="minorEastAsia" w:cstheme="minorBidi"/>
          <w:b w:val="0"/>
          <w:bCs w:val="0"/>
          <w:sz w:val="28"/>
          <w:szCs w:val="28"/>
          <w:highlight w:val="none"/>
        </w:rPr>
        <w:t>应注意下列内容：</w:t>
      </w:r>
    </w:p>
    <w:p w14:paraId="05B2A6B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Theme="minorHAnsi" w:hAnsiTheme="minorHAnsi" w:eastAsiaTheme="minorEastAsia" w:cstheme="minorBidi"/>
          <w:b w:val="0"/>
          <w:bCs w:val="0"/>
          <w:sz w:val="28"/>
          <w:szCs w:val="28"/>
          <w:highlight w:val="none"/>
          <w:lang w:eastAsia="zh-CN"/>
        </w:rPr>
      </w:pPr>
      <w:r>
        <w:rPr>
          <w:rFonts w:hint="eastAsia" w:asciiTheme="minorHAnsi" w:hAnsiTheme="minorHAnsi" w:cstheme="minorBidi"/>
          <w:b w:val="0"/>
          <w:bCs w:val="0"/>
          <w:sz w:val="28"/>
          <w:szCs w:val="28"/>
          <w:highlight w:val="none"/>
          <w:lang w:eastAsia="zh-CN"/>
        </w:rPr>
        <w:t>（</w:t>
      </w:r>
      <w:r>
        <w:rPr>
          <w:rFonts w:hint="eastAsia" w:asciiTheme="minorHAnsi" w:hAnsiTheme="minorHAnsi" w:cstheme="minorBidi"/>
          <w:b w:val="0"/>
          <w:bCs w:val="0"/>
          <w:sz w:val="28"/>
          <w:szCs w:val="28"/>
          <w:highlight w:val="none"/>
          <w:lang w:val="en-US" w:eastAsia="zh-CN"/>
        </w:rPr>
        <w:t>1</w:t>
      </w:r>
      <w:r>
        <w:rPr>
          <w:rFonts w:hint="eastAsia" w:asciiTheme="minorHAnsi" w:hAnsiTheme="minorHAnsi" w:cstheme="minorBidi"/>
          <w:b w:val="0"/>
          <w:bCs w:val="0"/>
          <w:sz w:val="28"/>
          <w:szCs w:val="28"/>
          <w:highlight w:val="none"/>
          <w:lang w:eastAsia="zh-CN"/>
        </w:rPr>
        <w:t>）</w:t>
      </w:r>
      <w:r>
        <w:rPr>
          <w:rFonts w:hint="eastAsia" w:cstheme="minorBidi"/>
          <w:b w:val="0"/>
          <w:bCs w:val="0"/>
          <w:sz w:val="28"/>
          <w:szCs w:val="28"/>
          <w:highlight w:val="none"/>
          <w:lang w:val="en-US" w:eastAsia="zh-CN"/>
        </w:rPr>
        <w:t>采购需求</w:t>
      </w:r>
      <w:r>
        <w:rPr>
          <w:rFonts w:hint="eastAsia" w:asciiTheme="minorHAnsi" w:hAnsiTheme="minorHAnsi" w:eastAsiaTheme="minorEastAsia" w:cstheme="minorBidi"/>
          <w:b w:val="0"/>
          <w:bCs w:val="0"/>
          <w:sz w:val="28"/>
          <w:szCs w:val="28"/>
          <w:highlight w:val="none"/>
        </w:rPr>
        <w:t>中</w:t>
      </w:r>
      <w:r>
        <w:rPr>
          <w:rFonts w:hint="eastAsia" w:asciiTheme="minorHAnsi" w:hAnsiTheme="minorHAnsi" w:cstheme="minorBidi"/>
          <w:b w:val="0"/>
          <w:bCs w:val="0"/>
          <w:sz w:val="28"/>
          <w:szCs w:val="28"/>
          <w:highlight w:val="none"/>
          <w:lang w:val="en-US" w:eastAsia="zh-CN"/>
        </w:rPr>
        <w:t>标记</w:t>
      </w:r>
      <w:r>
        <w:rPr>
          <w:rFonts w:hint="eastAsia" w:asciiTheme="minorHAnsi" w:hAnsiTheme="minorHAnsi" w:eastAsiaTheme="minorEastAsia" w:cstheme="minorBidi"/>
          <w:b w:val="0"/>
          <w:bCs w:val="0"/>
          <w:sz w:val="28"/>
          <w:szCs w:val="28"/>
          <w:highlight w:val="none"/>
        </w:rPr>
        <w:t>“</w:t>
      </w:r>
      <w:r>
        <w:rPr>
          <w:rFonts w:hint="eastAsia" w:asciiTheme="minorHAnsi" w:hAnsiTheme="minorHAnsi" w:eastAsiaTheme="minorEastAsia" w:cstheme="minorBidi"/>
          <w:b w:val="0"/>
          <w:bCs w:val="0"/>
          <w:sz w:val="28"/>
          <w:szCs w:val="28"/>
          <w:highlight w:val="none"/>
          <w:shd w:val="clear"/>
          <w:lang w:eastAsia="zh-CN" w:bidi="ar"/>
        </w:rPr>
        <w:t>★</w:t>
      </w:r>
      <w:r>
        <w:rPr>
          <w:rFonts w:hint="eastAsia" w:asciiTheme="minorHAnsi" w:hAnsiTheme="minorHAnsi" w:eastAsiaTheme="minorEastAsia" w:cstheme="minorBidi"/>
          <w:b w:val="0"/>
          <w:bCs w:val="0"/>
          <w:sz w:val="28"/>
          <w:szCs w:val="28"/>
          <w:highlight w:val="none"/>
        </w:rPr>
        <w:t>”的条款为本次采购的实质性的商务、技术或服务要求，</w:t>
      </w:r>
      <w:r>
        <w:rPr>
          <w:rFonts w:hint="eastAsia" w:asciiTheme="minorHAnsi" w:hAnsiTheme="minorHAnsi" w:eastAsiaTheme="minorEastAsia" w:cstheme="minorBidi"/>
          <w:b w:val="0"/>
          <w:bCs w:val="0"/>
          <w:sz w:val="28"/>
          <w:szCs w:val="28"/>
          <w:highlight w:val="none"/>
          <w:lang w:eastAsia="zh-CN"/>
        </w:rPr>
        <w:t>供应商</w:t>
      </w:r>
      <w:r>
        <w:rPr>
          <w:rFonts w:hint="eastAsia" w:asciiTheme="minorHAnsi" w:hAnsiTheme="minorHAnsi" w:eastAsiaTheme="minorEastAsia" w:cstheme="minorBidi"/>
          <w:b w:val="0"/>
          <w:bCs w:val="0"/>
          <w:sz w:val="28"/>
          <w:szCs w:val="28"/>
          <w:highlight w:val="none"/>
        </w:rPr>
        <w:t>须满足或响应，若无法完全满足，</w:t>
      </w:r>
      <w:r>
        <w:rPr>
          <w:rFonts w:hint="eastAsia" w:cstheme="minorBidi"/>
          <w:b w:val="0"/>
          <w:bCs w:val="0"/>
          <w:sz w:val="28"/>
          <w:szCs w:val="28"/>
          <w:highlight w:val="none"/>
          <w:lang w:val="en-US" w:eastAsia="zh-CN"/>
        </w:rPr>
        <w:t>其响应文件</w:t>
      </w:r>
      <w:r>
        <w:rPr>
          <w:rFonts w:hint="eastAsia" w:asciiTheme="minorHAnsi" w:hAnsiTheme="minorHAnsi" w:eastAsiaTheme="minorEastAsia" w:cstheme="minorBidi"/>
          <w:b w:val="0"/>
          <w:bCs w:val="0"/>
          <w:sz w:val="28"/>
          <w:szCs w:val="28"/>
          <w:highlight w:val="none"/>
        </w:rPr>
        <w:t>将会被认定</w:t>
      </w:r>
      <w:r>
        <w:rPr>
          <w:rFonts w:hint="eastAsia" w:cstheme="minorBidi"/>
          <w:b w:val="0"/>
          <w:bCs w:val="0"/>
          <w:sz w:val="28"/>
          <w:szCs w:val="28"/>
          <w:highlight w:val="none"/>
          <w:lang w:val="en-US" w:eastAsia="zh-CN"/>
        </w:rPr>
        <w:t>为无效</w:t>
      </w:r>
      <w:r>
        <w:rPr>
          <w:rFonts w:hint="eastAsia" w:asciiTheme="minorHAnsi" w:hAnsiTheme="minorHAnsi" w:eastAsiaTheme="minorEastAsia" w:cstheme="minorBidi"/>
          <w:b w:val="0"/>
          <w:bCs w:val="0"/>
          <w:sz w:val="28"/>
          <w:szCs w:val="28"/>
          <w:highlight w:val="none"/>
          <w:lang w:eastAsia="zh-CN"/>
        </w:rPr>
        <w:t>；</w:t>
      </w:r>
      <w:r>
        <w:rPr>
          <w:rFonts w:hint="eastAsia" w:asciiTheme="minorHAnsi" w:hAnsiTheme="minorHAnsi" w:eastAsiaTheme="minorEastAsia" w:cstheme="minorBidi"/>
          <w:b w:val="0"/>
          <w:bCs w:val="0"/>
          <w:sz w:val="28"/>
          <w:szCs w:val="28"/>
          <w:highlight w:val="none"/>
          <w:lang w:val="en-US" w:eastAsia="zh-CN"/>
        </w:rPr>
        <w:t>重要性参数</w:t>
      </w:r>
      <w:r>
        <w:rPr>
          <w:rFonts w:hint="eastAsia" w:asciiTheme="minorHAnsi" w:hAnsiTheme="minorHAnsi" w:eastAsiaTheme="minorEastAsia" w:cstheme="minorBidi"/>
          <w:b w:val="0"/>
          <w:bCs w:val="0"/>
          <w:sz w:val="28"/>
          <w:szCs w:val="28"/>
          <w:highlight w:val="none"/>
          <w:lang w:eastAsia="zh-CN"/>
        </w:rPr>
        <w:t>负偏离</w:t>
      </w:r>
      <w:r>
        <w:rPr>
          <w:rFonts w:hint="eastAsia" w:asciiTheme="minorHAnsi" w:hAnsiTheme="minorHAnsi" w:eastAsiaTheme="minorEastAsia" w:cstheme="minorBidi"/>
          <w:b w:val="0"/>
          <w:bCs w:val="0"/>
          <w:sz w:val="28"/>
          <w:szCs w:val="28"/>
          <w:highlight w:val="none"/>
          <w:lang w:val="en-US" w:eastAsia="zh-CN"/>
        </w:rPr>
        <w:t>＞1</w:t>
      </w:r>
      <w:r>
        <w:rPr>
          <w:rFonts w:hint="eastAsia" w:asciiTheme="minorHAnsi" w:hAnsiTheme="minorHAnsi" w:eastAsiaTheme="minorEastAsia" w:cstheme="minorBidi"/>
          <w:b w:val="0"/>
          <w:bCs w:val="0"/>
          <w:sz w:val="28"/>
          <w:szCs w:val="28"/>
          <w:highlight w:val="none"/>
          <w:lang w:eastAsia="zh-CN"/>
        </w:rPr>
        <w:t>项的</w:t>
      </w:r>
      <w:r>
        <w:rPr>
          <w:rFonts w:hint="eastAsia" w:cstheme="minorBidi"/>
          <w:b w:val="0"/>
          <w:bCs w:val="0"/>
          <w:sz w:val="28"/>
          <w:szCs w:val="28"/>
          <w:highlight w:val="none"/>
          <w:lang w:val="en-US" w:eastAsia="zh-CN"/>
        </w:rPr>
        <w:t>按响应文件无效处理</w:t>
      </w:r>
      <w:r>
        <w:rPr>
          <w:rFonts w:hint="eastAsia" w:asciiTheme="minorHAnsi" w:hAnsiTheme="minorHAnsi" w:eastAsiaTheme="minorEastAsia" w:cstheme="minorBidi"/>
          <w:b w:val="0"/>
          <w:bCs w:val="0"/>
          <w:sz w:val="28"/>
          <w:szCs w:val="28"/>
          <w:highlight w:val="none"/>
          <w:lang w:eastAsia="zh-CN"/>
        </w:rPr>
        <w:t>；</w:t>
      </w:r>
      <w:r>
        <w:rPr>
          <w:rFonts w:hint="eastAsia" w:asciiTheme="minorHAnsi" w:hAnsiTheme="minorHAnsi" w:eastAsiaTheme="minorEastAsia" w:cstheme="minorBidi"/>
          <w:b w:val="0"/>
          <w:bCs w:val="0"/>
          <w:sz w:val="28"/>
          <w:szCs w:val="28"/>
          <w:highlight w:val="none"/>
          <w:lang w:val="en-US" w:eastAsia="zh-CN"/>
        </w:rPr>
        <w:t>一般参数</w:t>
      </w:r>
      <w:r>
        <w:rPr>
          <w:rFonts w:hint="eastAsia" w:asciiTheme="minorHAnsi" w:hAnsiTheme="minorHAnsi" w:eastAsiaTheme="minorEastAsia" w:cstheme="minorBidi"/>
          <w:b w:val="0"/>
          <w:bCs w:val="0"/>
          <w:sz w:val="28"/>
          <w:szCs w:val="28"/>
          <w:highlight w:val="none"/>
          <w:lang w:eastAsia="zh-CN"/>
        </w:rPr>
        <w:t>负偏离</w:t>
      </w:r>
      <w:r>
        <w:rPr>
          <w:rFonts w:hint="eastAsia" w:asciiTheme="minorHAnsi" w:hAnsiTheme="minorHAnsi" w:eastAsiaTheme="minorEastAsia" w:cstheme="minorBidi"/>
          <w:b w:val="0"/>
          <w:bCs w:val="0"/>
          <w:sz w:val="28"/>
          <w:szCs w:val="28"/>
          <w:highlight w:val="none"/>
          <w:lang w:val="en-US" w:eastAsia="zh-CN"/>
        </w:rPr>
        <w:t>＞</w:t>
      </w:r>
      <w:r>
        <w:rPr>
          <w:rFonts w:hint="eastAsia" w:asciiTheme="minorHAnsi" w:hAnsiTheme="minorHAnsi" w:eastAsiaTheme="minorEastAsia" w:cstheme="minorBidi"/>
          <w:b w:val="0"/>
          <w:bCs w:val="0"/>
          <w:sz w:val="28"/>
          <w:szCs w:val="28"/>
          <w:highlight w:val="none"/>
          <w:u w:val="none"/>
          <w:lang w:val="en-US" w:eastAsia="zh-CN"/>
        </w:rPr>
        <w:t>5</w:t>
      </w:r>
      <w:r>
        <w:rPr>
          <w:rFonts w:hint="eastAsia" w:asciiTheme="minorHAnsi" w:hAnsiTheme="minorHAnsi" w:eastAsiaTheme="minorEastAsia" w:cstheme="minorBidi"/>
          <w:b w:val="0"/>
          <w:bCs w:val="0"/>
          <w:sz w:val="28"/>
          <w:szCs w:val="28"/>
          <w:highlight w:val="none"/>
          <w:lang w:eastAsia="zh-CN"/>
        </w:rPr>
        <w:t>项的</w:t>
      </w:r>
      <w:r>
        <w:rPr>
          <w:rFonts w:hint="eastAsia" w:cstheme="minorBidi"/>
          <w:b w:val="0"/>
          <w:bCs w:val="0"/>
          <w:sz w:val="28"/>
          <w:szCs w:val="28"/>
          <w:highlight w:val="none"/>
          <w:lang w:val="en-US" w:eastAsia="zh-CN"/>
        </w:rPr>
        <w:t>按响应文件无效处理</w:t>
      </w:r>
      <w:r>
        <w:rPr>
          <w:rFonts w:hint="eastAsia" w:asciiTheme="minorHAnsi" w:hAnsiTheme="minorHAnsi" w:eastAsiaTheme="minorEastAsia" w:cstheme="minorBidi"/>
          <w:b w:val="0"/>
          <w:bCs w:val="0"/>
          <w:sz w:val="28"/>
          <w:szCs w:val="28"/>
          <w:highlight w:val="none"/>
          <w:lang w:eastAsia="zh-CN"/>
        </w:rPr>
        <w:t>。采购需求参数中</w:t>
      </w:r>
      <w:r>
        <w:rPr>
          <w:rFonts w:hint="eastAsia" w:asciiTheme="minorHAnsi" w:hAnsiTheme="minorHAnsi" w:eastAsiaTheme="minorEastAsia" w:cstheme="minorBidi"/>
          <w:b w:val="0"/>
          <w:bCs w:val="0"/>
          <w:sz w:val="28"/>
          <w:szCs w:val="28"/>
          <w:highlight w:val="none"/>
          <w:lang w:val="en-US" w:eastAsia="zh-CN"/>
        </w:rPr>
        <w:t>标记</w:t>
      </w:r>
      <w:r>
        <w:rPr>
          <w:rFonts w:hint="eastAsia" w:asciiTheme="minorHAnsi" w:hAnsiTheme="minorHAnsi" w:eastAsiaTheme="minorEastAsia" w:cstheme="minorBidi"/>
          <w:b w:val="0"/>
          <w:bCs w:val="0"/>
          <w:sz w:val="28"/>
          <w:szCs w:val="28"/>
          <w:highlight w:val="none"/>
          <w:lang w:eastAsia="zh-CN"/>
        </w:rPr>
        <w:t>“</w:t>
      </w:r>
      <w:r>
        <w:rPr>
          <w:rFonts w:hint="eastAsia" w:asciiTheme="minorHAnsi" w:hAnsiTheme="minorHAnsi" w:eastAsiaTheme="minorEastAsia" w:cstheme="minorBidi"/>
          <w:b w:val="0"/>
          <w:bCs w:val="0"/>
          <w:sz w:val="28"/>
          <w:szCs w:val="28"/>
          <w:highlight w:val="none"/>
        </w:rPr>
        <w:t>▲</w:t>
      </w:r>
      <w:r>
        <w:rPr>
          <w:rFonts w:hint="eastAsia" w:asciiTheme="minorHAnsi" w:hAnsiTheme="minorHAnsi" w:eastAsiaTheme="minorEastAsia" w:cstheme="minorBidi"/>
          <w:b w:val="0"/>
          <w:bCs w:val="0"/>
          <w:sz w:val="28"/>
          <w:szCs w:val="28"/>
          <w:highlight w:val="none"/>
          <w:lang w:eastAsia="zh-CN"/>
        </w:rPr>
        <w:t>”的条款为重要性参数，</w:t>
      </w:r>
      <w:r>
        <w:rPr>
          <w:rFonts w:hint="eastAsia" w:asciiTheme="minorHAnsi" w:hAnsiTheme="minorHAnsi" w:eastAsiaTheme="minorEastAsia" w:cstheme="minorBidi"/>
          <w:b w:val="0"/>
          <w:bCs w:val="0"/>
          <w:sz w:val="28"/>
          <w:szCs w:val="28"/>
          <w:highlight w:val="none"/>
        </w:rPr>
        <w:t>采购需求参数中未标记“</w:t>
      </w:r>
      <w:r>
        <w:rPr>
          <w:rFonts w:hint="eastAsia" w:asciiTheme="minorHAnsi" w:hAnsiTheme="minorHAnsi" w:eastAsiaTheme="minorEastAsia" w:cstheme="minorBidi"/>
          <w:b w:val="0"/>
          <w:bCs w:val="0"/>
          <w:sz w:val="28"/>
          <w:szCs w:val="28"/>
          <w:highlight w:val="none"/>
          <w:shd w:val="clear"/>
          <w:lang w:eastAsia="zh-CN" w:bidi="ar"/>
        </w:rPr>
        <w:t>★</w:t>
      </w:r>
      <w:r>
        <w:rPr>
          <w:rFonts w:hint="eastAsia" w:asciiTheme="minorHAnsi" w:hAnsiTheme="minorHAnsi" w:eastAsiaTheme="minorEastAsia" w:cstheme="minorBidi"/>
          <w:b w:val="0"/>
          <w:bCs w:val="0"/>
          <w:sz w:val="28"/>
          <w:szCs w:val="28"/>
          <w:highlight w:val="none"/>
        </w:rPr>
        <w:t>”和“▲”的条款为一般参数</w:t>
      </w:r>
      <w:r>
        <w:rPr>
          <w:rFonts w:hint="eastAsia" w:asciiTheme="minorHAnsi" w:hAnsiTheme="minorHAnsi" w:eastAsiaTheme="minorEastAsia" w:cstheme="minorBidi"/>
          <w:b w:val="0"/>
          <w:bCs w:val="0"/>
          <w:sz w:val="28"/>
          <w:szCs w:val="28"/>
          <w:highlight w:val="none"/>
          <w:lang w:eastAsia="zh-CN"/>
        </w:rPr>
        <w:t>。</w:t>
      </w:r>
    </w:p>
    <w:p w14:paraId="72FC2B0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Theme="minorHAnsi" w:hAnsiTheme="minorHAnsi" w:eastAsiaTheme="minorEastAsia" w:cstheme="minorBidi"/>
          <w:b w:val="0"/>
          <w:bCs w:val="0"/>
          <w:sz w:val="28"/>
          <w:szCs w:val="28"/>
          <w:highlight w:val="none"/>
        </w:rPr>
      </w:pPr>
      <w:r>
        <w:rPr>
          <w:rFonts w:hint="eastAsia" w:asciiTheme="minorHAnsi" w:hAnsiTheme="minorHAnsi" w:cstheme="minorBidi"/>
          <w:b w:val="0"/>
          <w:bCs w:val="0"/>
          <w:sz w:val="28"/>
          <w:szCs w:val="28"/>
          <w:highlight w:val="none"/>
          <w:lang w:eastAsia="zh-CN"/>
        </w:rPr>
        <w:t>（</w:t>
      </w:r>
      <w:r>
        <w:rPr>
          <w:rFonts w:hint="eastAsia" w:asciiTheme="minorHAnsi" w:hAnsiTheme="minorHAnsi" w:cstheme="minorBidi"/>
          <w:b w:val="0"/>
          <w:bCs w:val="0"/>
          <w:sz w:val="28"/>
          <w:szCs w:val="28"/>
          <w:highlight w:val="none"/>
          <w:lang w:val="en-US" w:eastAsia="zh-CN"/>
        </w:rPr>
        <w:t>2</w:t>
      </w:r>
      <w:r>
        <w:rPr>
          <w:rFonts w:hint="eastAsia" w:asciiTheme="minorHAnsi" w:hAnsiTheme="minorHAnsi" w:cstheme="minorBidi"/>
          <w:b w:val="0"/>
          <w:bCs w:val="0"/>
          <w:sz w:val="28"/>
          <w:szCs w:val="28"/>
          <w:highlight w:val="none"/>
          <w:lang w:eastAsia="zh-CN"/>
        </w:rPr>
        <w:t>）</w:t>
      </w:r>
      <w:r>
        <w:rPr>
          <w:rFonts w:hint="eastAsia" w:asciiTheme="minorHAnsi" w:hAnsiTheme="minorHAnsi" w:eastAsiaTheme="minorEastAsia" w:cstheme="minorBidi"/>
          <w:b w:val="0"/>
          <w:bCs w:val="0"/>
          <w:sz w:val="28"/>
          <w:szCs w:val="28"/>
          <w:highlight w:val="none"/>
          <w:lang w:eastAsia="zh-CN"/>
        </w:rPr>
        <w:t>供应商</w:t>
      </w:r>
      <w:r>
        <w:rPr>
          <w:rFonts w:hint="eastAsia" w:asciiTheme="minorHAnsi" w:hAnsiTheme="minorHAnsi" w:eastAsiaTheme="minorEastAsia" w:cstheme="minorBidi"/>
          <w:b w:val="0"/>
          <w:bCs w:val="0"/>
          <w:sz w:val="28"/>
          <w:szCs w:val="28"/>
          <w:highlight w:val="none"/>
        </w:rPr>
        <w:t>须在</w:t>
      </w:r>
      <w:r>
        <w:rPr>
          <w:rFonts w:hint="eastAsia" w:asciiTheme="minorHAnsi" w:hAnsiTheme="minorHAnsi" w:eastAsiaTheme="minorEastAsia" w:cstheme="minorBidi"/>
          <w:b w:val="0"/>
          <w:bCs w:val="0"/>
          <w:sz w:val="28"/>
          <w:szCs w:val="28"/>
          <w:highlight w:val="none"/>
          <w:lang w:eastAsia="zh-CN"/>
        </w:rPr>
        <w:t>响应文件</w:t>
      </w:r>
      <w:r>
        <w:rPr>
          <w:rFonts w:hint="eastAsia" w:asciiTheme="minorHAnsi" w:hAnsiTheme="minorHAnsi" w:eastAsiaTheme="minorEastAsia" w:cstheme="minorBidi"/>
          <w:b w:val="0"/>
          <w:bCs w:val="0"/>
          <w:sz w:val="28"/>
          <w:szCs w:val="28"/>
          <w:highlight w:val="none"/>
        </w:rPr>
        <w:t>中填写/应答技术规格参数，当</w:t>
      </w:r>
      <w:r>
        <w:rPr>
          <w:rFonts w:hint="eastAsia" w:asciiTheme="minorHAnsi" w:hAnsiTheme="minorHAnsi" w:eastAsiaTheme="minorEastAsia" w:cstheme="minorBidi"/>
          <w:b w:val="0"/>
          <w:bCs w:val="0"/>
          <w:sz w:val="28"/>
          <w:szCs w:val="28"/>
          <w:highlight w:val="none"/>
          <w:lang w:eastAsia="zh-CN"/>
        </w:rPr>
        <w:t>响应文件</w:t>
      </w:r>
      <w:r>
        <w:rPr>
          <w:rFonts w:hint="eastAsia" w:asciiTheme="minorHAnsi" w:hAnsiTheme="minorHAnsi" w:eastAsiaTheme="minorEastAsia" w:cstheme="minorBidi"/>
          <w:b w:val="0"/>
          <w:bCs w:val="0"/>
          <w:sz w:val="28"/>
          <w:szCs w:val="28"/>
          <w:highlight w:val="none"/>
        </w:rPr>
        <w:t>中技术参数与</w:t>
      </w:r>
      <w:r>
        <w:rPr>
          <w:rFonts w:hint="eastAsia" w:cstheme="minorBidi"/>
          <w:b w:val="0"/>
          <w:bCs w:val="0"/>
          <w:sz w:val="28"/>
          <w:szCs w:val="28"/>
          <w:highlight w:val="none"/>
          <w:lang w:val="en-US" w:eastAsia="zh-CN"/>
        </w:rPr>
        <w:t>采购需求文件</w:t>
      </w:r>
      <w:r>
        <w:rPr>
          <w:rFonts w:hint="eastAsia" w:asciiTheme="minorHAnsi" w:hAnsiTheme="minorHAnsi" w:eastAsiaTheme="minorEastAsia" w:cstheme="minorBidi"/>
          <w:b w:val="0"/>
          <w:bCs w:val="0"/>
          <w:sz w:val="28"/>
          <w:szCs w:val="28"/>
          <w:highlight w:val="none"/>
        </w:rPr>
        <w:t>中技术参数有偏离时，须在“偏离”栏内如实注明是“正偏离”或“负偏离”，“正偏离”指</w:t>
      </w:r>
      <w:r>
        <w:rPr>
          <w:rFonts w:hint="eastAsia" w:cstheme="minorBidi"/>
          <w:b w:val="0"/>
          <w:bCs w:val="0"/>
          <w:sz w:val="28"/>
          <w:szCs w:val="28"/>
          <w:highlight w:val="none"/>
          <w:lang w:val="en-US" w:eastAsia="zh-CN"/>
        </w:rPr>
        <w:t>响应</w:t>
      </w:r>
      <w:r>
        <w:rPr>
          <w:rFonts w:hint="eastAsia" w:asciiTheme="minorHAnsi" w:hAnsiTheme="minorHAnsi" w:eastAsiaTheme="minorEastAsia" w:cstheme="minorBidi"/>
          <w:b w:val="0"/>
          <w:bCs w:val="0"/>
          <w:sz w:val="28"/>
          <w:szCs w:val="28"/>
          <w:highlight w:val="none"/>
        </w:rPr>
        <w:t>承诺优于</w:t>
      </w:r>
      <w:r>
        <w:rPr>
          <w:rFonts w:hint="eastAsia" w:cstheme="minorBidi"/>
          <w:b w:val="0"/>
          <w:bCs w:val="0"/>
          <w:sz w:val="28"/>
          <w:szCs w:val="28"/>
          <w:highlight w:val="none"/>
          <w:lang w:val="en-US" w:eastAsia="zh-CN"/>
        </w:rPr>
        <w:t>采购需求文件</w:t>
      </w:r>
      <w:r>
        <w:rPr>
          <w:rFonts w:hint="eastAsia" w:asciiTheme="minorHAnsi" w:hAnsiTheme="minorHAnsi" w:eastAsiaTheme="minorEastAsia" w:cstheme="minorBidi"/>
          <w:b w:val="0"/>
          <w:bCs w:val="0"/>
          <w:sz w:val="28"/>
          <w:szCs w:val="28"/>
          <w:highlight w:val="none"/>
        </w:rPr>
        <w:t>中要求，“负偏离”指</w:t>
      </w:r>
      <w:r>
        <w:rPr>
          <w:rFonts w:hint="eastAsia" w:cstheme="minorBidi"/>
          <w:b w:val="0"/>
          <w:bCs w:val="0"/>
          <w:sz w:val="28"/>
          <w:szCs w:val="28"/>
          <w:highlight w:val="none"/>
          <w:lang w:val="en-US" w:eastAsia="zh-CN"/>
        </w:rPr>
        <w:t>响应</w:t>
      </w:r>
      <w:r>
        <w:rPr>
          <w:rFonts w:hint="eastAsia" w:asciiTheme="minorHAnsi" w:hAnsiTheme="minorHAnsi" w:eastAsiaTheme="minorEastAsia" w:cstheme="minorBidi"/>
          <w:b w:val="0"/>
          <w:bCs w:val="0"/>
          <w:sz w:val="28"/>
          <w:szCs w:val="28"/>
          <w:highlight w:val="none"/>
        </w:rPr>
        <w:t>承诺低于</w:t>
      </w:r>
      <w:r>
        <w:rPr>
          <w:rFonts w:hint="eastAsia" w:cstheme="minorBidi"/>
          <w:b w:val="0"/>
          <w:bCs w:val="0"/>
          <w:sz w:val="28"/>
          <w:szCs w:val="28"/>
          <w:highlight w:val="none"/>
          <w:lang w:val="en-US" w:eastAsia="zh-CN"/>
        </w:rPr>
        <w:t>采购需求文件</w:t>
      </w:r>
      <w:r>
        <w:rPr>
          <w:rFonts w:hint="eastAsia" w:asciiTheme="minorHAnsi" w:hAnsiTheme="minorHAnsi" w:eastAsiaTheme="minorEastAsia" w:cstheme="minorBidi"/>
          <w:b w:val="0"/>
          <w:bCs w:val="0"/>
          <w:sz w:val="28"/>
          <w:szCs w:val="28"/>
          <w:highlight w:val="none"/>
        </w:rPr>
        <w:t>中要求。</w:t>
      </w:r>
      <w:r>
        <w:rPr>
          <w:rFonts w:hint="eastAsia" w:asciiTheme="minorHAnsi" w:hAnsiTheme="minorHAnsi" w:eastAsiaTheme="minorEastAsia" w:cstheme="minorBidi"/>
          <w:b w:val="0"/>
          <w:bCs w:val="0"/>
          <w:sz w:val="28"/>
          <w:szCs w:val="28"/>
          <w:highlight w:val="none"/>
          <w:lang w:eastAsia="zh-CN"/>
        </w:rPr>
        <w:t>响应文件</w:t>
      </w:r>
      <w:r>
        <w:rPr>
          <w:rFonts w:hint="eastAsia" w:asciiTheme="minorHAnsi" w:hAnsiTheme="minorHAnsi" w:eastAsiaTheme="minorEastAsia" w:cstheme="minorBidi"/>
          <w:b w:val="0"/>
          <w:bCs w:val="0"/>
          <w:sz w:val="28"/>
          <w:szCs w:val="28"/>
          <w:highlight w:val="none"/>
        </w:rPr>
        <w:t>中的技术参数、功能或</w:t>
      </w:r>
      <w:r>
        <w:rPr>
          <w:rFonts w:hint="eastAsia" w:asciiTheme="minorHAnsi" w:hAnsiTheme="minorHAnsi" w:eastAsiaTheme="minorEastAsia" w:cstheme="minorBidi"/>
          <w:b w:val="0"/>
          <w:bCs w:val="0"/>
          <w:sz w:val="28"/>
          <w:szCs w:val="28"/>
          <w:highlight w:val="none"/>
          <w:lang w:eastAsia="zh-CN"/>
        </w:rPr>
        <w:t>其他</w:t>
      </w:r>
      <w:r>
        <w:rPr>
          <w:rFonts w:hint="eastAsia" w:asciiTheme="minorHAnsi" w:hAnsiTheme="minorHAnsi" w:eastAsiaTheme="minorEastAsia" w:cstheme="minorBidi"/>
          <w:b w:val="0"/>
          <w:bCs w:val="0"/>
          <w:sz w:val="28"/>
          <w:szCs w:val="28"/>
          <w:highlight w:val="none"/>
        </w:rPr>
        <w:t>内容有“正偏离”的，</w:t>
      </w:r>
      <w:r>
        <w:rPr>
          <w:rFonts w:hint="eastAsia" w:asciiTheme="minorHAnsi" w:hAnsiTheme="minorHAnsi" w:eastAsiaTheme="minorEastAsia" w:cstheme="minorBidi"/>
          <w:b w:val="0"/>
          <w:bCs w:val="0"/>
          <w:sz w:val="28"/>
          <w:szCs w:val="28"/>
          <w:highlight w:val="none"/>
          <w:lang w:eastAsia="zh-CN"/>
        </w:rPr>
        <w:t>供应商</w:t>
      </w:r>
      <w:r>
        <w:rPr>
          <w:rFonts w:hint="eastAsia" w:asciiTheme="minorHAnsi" w:hAnsiTheme="minorHAnsi" w:eastAsiaTheme="minorEastAsia" w:cstheme="minorBidi"/>
          <w:b w:val="0"/>
          <w:bCs w:val="0"/>
          <w:sz w:val="28"/>
          <w:szCs w:val="28"/>
          <w:highlight w:val="none"/>
        </w:rPr>
        <w:t>须对“正偏离”的情况单独作出说明。</w:t>
      </w:r>
    </w:p>
    <w:p w14:paraId="7C204025">
      <w:pPr>
        <w:numPr>
          <w:ilvl w:val="0"/>
          <w:numId w:val="0"/>
        </w:numPr>
        <w:spacing w:line="340" w:lineRule="exact"/>
        <w:jc w:val="left"/>
        <w:outlineLvl w:val="1"/>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eastAsia="zh-CN"/>
          <w:woUserID w:val="0"/>
        </w:rPr>
        <w:t>一、</w:t>
      </w:r>
      <w:r>
        <w:rPr>
          <w:rFonts w:hint="eastAsia" w:ascii="宋体" w:hAnsi="宋体" w:eastAsia="宋体" w:cs="宋体"/>
          <w:b/>
          <w:bCs/>
          <w:sz w:val="21"/>
          <w:szCs w:val="21"/>
          <w:highlight w:val="none"/>
          <w:lang w:val="en-US" w:eastAsia="zh-CN"/>
        </w:rPr>
        <w:t>服务需求</w:t>
      </w:r>
    </w:p>
    <w:tbl>
      <w:tblPr>
        <w:tblStyle w:val="13"/>
        <w:tblW w:w="14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470"/>
        <w:gridCol w:w="861"/>
        <w:gridCol w:w="861"/>
        <w:gridCol w:w="10620"/>
      </w:tblGrid>
      <w:tr w14:paraId="2B9E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61" w:type="dxa"/>
            <w:tcBorders>
              <w:top w:val="single" w:color="auto" w:sz="4" w:space="0"/>
              <w:left w:val="single" w:color="auto" w:sz="4" w:space="0"/>
              <w:bottom w:val="single" w:color="auto" w:sz="4" w:space="0"/>
              <w:right w:val="single" w:color="auto" w:sz="4" w:space="0"/>
            </w:tcBorders>
            <w:noWrap w:val="0"/>
            <w:vAlign w:val="top"/>
          </w:tcPr>
          <w:p w14:paraId="3E27A98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color w:val="0F1115"/>
                <w:sz w:val="21"/>
                <w:szCs w:val="21"/>
                <w:highlight w:val="none"/>
                <w:shd w:val="clear" w:color="auto" w:fill="FFFFFF"/>
                <w:lang w:bidi="ar"/>
              </w:rPr>
            </w:pPr>
            <w:r>
              <w:rPr>
                <w:rFonts w:hint="eastAsia" w:ascii="宋体" w:hAnsi="宋体" w:eastAsia="宋体" w:cs="宋体"/>
                <w:b/>
                <w:color w:val="0F1115"/>
                <w:sz w:val="21"/>
                <w:szCs w:val="21"/>
                <w:highlight w:val="none"/>
                <w:shd w:val="clear" w:color="auto" w:fill="FFFFFF"/>
                <w:lang w:bidi="ar"/>
              </w:rPr>
              <w:t>序号</w:t>
            </w:r>
          </w:p>
        </w:tc>
        <w:tc>
          <w:tcPr>
            <w:tcW w:w="1470" w:type="dxa"/>
            <w:tcBorders>
              <w:top w:val="single" w:color="auto" w:sz="4" w:space="0"/>
              <w:left w:val="single" w:color="auto" w:sz="4" w:space="0"/>
              <w:bottom w:val="single" w:color="auto" w:sz="4" w:space="0"/>
              <w:right w:val="single" w:color="auto" w:sz="4" w:space="0"/>
            </w:tcBorders>
            <w:noWrap w:val="0"/>
            <w:vAlign w:val="top"/>
          </w:tcPr>
          <w:p w14:paraId="7FE70C2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color w:val="0F1115"/>
                <w:sz w:val="21"/>
                <w:szCs w:val="21"/>
                <w:highlight w:val="none"/>
                <w:shd w:val="clear" w:color="auto" w:fill="FFFFFF"/>
                <w:lang w:bidi="ar"/>
              </w:rPr>
            </w:pPr>
            <w:r>
              <w:rPr>
                <w:rFonts w:hint="eastAsia" w:ascii="宋体" w:hAnsi="宋体" w:eastAsia="宋体" w:cs="宋体"/>
                <w:b/>
                <w:color w:val="0F1115"/>
                <w:sz w:val="21"/>
                <w:szCs w:val="21"/>
                <w:highlight w:val="none"/>
                <w:shd w:val="clear" w:color="auto" w:fill="FFFFFF"/>
                <w:lang w:val="en-US" w:eastAsia="zh-CN" w:bidi="ar"/>
              </w:rPr>
              <w:t>项目</w:t>
            </w:r>
            <w:r>
              <w:rPr>
                <w:rFonts w:hint="eastAsia" w:ascii="宋体" w:hAnsi="宋体" w:eastAsia="宋体" w:cs="宋体"/>
                <w:b/>
                <w:color w:val="0F1115"/>
                <w:sz w:val="21"/>
                <w:szCs w:val="21"/>
                <w:highlight w:val="none"/>
                <w:shd w:val="clear" w:color="auto" w:fill="FFFFFF"/>
                <w:lang w:bidi="ar"/>
              </w:rPr>
              <w:t>名称</w:t>
            </w:r>
          </w:p>
        </w:tc>
        <w:tc>
          <w:tcPr>
            <w:tcW w:w="861" w:type="dxa"/>
            <w:tcBorders>
              <w:top w:val="single" w:color="auto" w:sz="4" w:space="0"/>
              <w:left w:val="single" w:color="auto" w:sz="4" w:space="0"/>
              <w:bottom w:val="single" w:color="auto" w:sz="4" w:space="0"/>
              <w:right w:val="single" w:color="auto" w:sz="4" w:space="0"/>
            </w:tcBorders>
            <w:noWrap w:val="0"/>
            <w:vAlign w:val="top"/>
          </w:tcPr>
          <w:p w14:paraId="76D8F1C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color w:val="0F1115"/>
                <w:sz w:val="21"/>
                <w:szCs w:val="21"/>
                <w:highlight w:val="none"/>
                <w:shd w:val="clear" w:color="auto" w:fill="FFFFFF"/>
                <w:lang w:bidi="ar"/>
              </w:rPr>
            </w:pPr>
            <w:r>
              <w:rPr>
                <w:rFonts w:hint="eastAsia" w:ascii="宋体" w:hAnsi="宋体" w:eastAsia="宋体" w:cs="宋体"/>
                <w:b/>
                <w:color w:val="0F1115"/>
                <w:sz w:val="21"/>
                <w:szCs w:val="21"/>
                <w:highlight w:val="none"/>
                <w:shd w:val="clear" w:color="auto" w:fill="FFFFFF"/>
                <w:lang w:bidi="ar"/>
              </w:rPr>
              <w:t>数量</w:t>
            </w:r>
          </w:p>
        </w:tc>
        <w:tc>
          <w:tcPr>
            <w:tcW w:w="861" w:type="dxa"/>
            <w:tcBorders>
              <w:top w:val="single" w:color="auto" w:sz="4" w:space="0"/>
              <w:left w:val="single" w:color="auto" w:sz="4" w:space="0"/>
              <w:bottom w:val="single" w:color="auto" w:sz="4" w:space="0"/>
              <w:right w:val="single" w:color="auto" w:sz="4" w:space="0"/>
            </w:tcBorders>
            <w:noWrap w:val="0"/>
            <w:vAlign w:val="top"/>
          </w:tcPr>
          <w:p w14:paraId="27F0F5A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color w:val="0F1115"/>
                <w:sz w:val="21"/>
                <w:szCs w:val="21"/>
                <w:highlight w:val="none"/>
                <w:shd w:val="clear" w:color="auto" w:fill="FFFFFF"/>
                <w:lang w:bidi="ar"/>
              </w:rPr>
            </w:pPr>
            <w:r>
              <w:rPr>
                <w:rFonts w:hint="eastAsia" w:ascii="宋体" w:hAnsi="宋体" w:eastAsia="宋体" w:cs="宋体"/>
                <w:b/>
                <w:color w:val="0F1115"/>
                <w:sz w:val="21"/>
                <w:szCs w:val="21"/>
                <w:highlight w:val="none"/>
                <w:shd w:val="clear" w:color="auto" w:fill="FFFFFF"/>
                <w:lang w:bidi="ar"/>
              </w:rPr>
              <w:t>单位</w:t>
            </w:r>
          </w:p>
        </w:tc>
        <w:tc>
          <w:tcPr>
            <w:tcW w:w="10621" w:type="dxa"/>
            <w:tcBorders>
              <w:top w:val="single" w:color="auto" w:sz="4" w:space="0"/>
              <w:left w:val="single" w:color="auto" w:sz="4" w:space="0"/>
              <w:bottom w:val="single" w:color="auto" w:sz="4" w:space="0"/>
              <w:right w:val="single" w:color="auto" w:sz="4" w:space="0"/>
            </w:tcBorders>
            <w:noWrap w:val="0"/>
            <w:vAlign w:val="top"/>
          </w:tcPr>
          <w:p w14:paraId="095BC37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color w:val="0F1115"/>
                <w:sz w:val="21"/>
                <w:szCs w:val="21"/>
                <w:highlight w:val="none"/>
                <w:shd w:val="clear" w:color="auto" w:fill="FFFFFF"/>
                <w:lang w:eastAsia="zh-CN" w:bidi="ar"/>
              </w:rPr>
              <w:t>★</w:t>
            </w:r>
            <w:r>
              <w:rPr>
                <w:rFonts w:hint="eastAsia" w:ascii="宋体" w:hAnsi="宋体" w:eastAsia="宋体" w:cs="宋体"/>
                <w:b/>
                <w:color w:val="0F1115"/>
                <w:sz w:val="21"/>
                <w:szCs w:val="21"/>
                <w:highlight w:val="none"/>
                <w:shd w:val="clear" w:color="auto" w:fill="FFFFFF"/>
                <w:lang w:bidi="ar"/>
              </w:rPr>
              <w:t>服务需求</w:t>
            </w:r>
          </w:p>
        </w:tc>
      </w:tr>
      <w:tr w14:paraId="5C94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1" w:type="dxa"/>
            <w:tcBorders>
              <w:top w:val="single" w:color="auto" w:sz="4" w:space="0"/>
              <w:left w:val="single" w:color="auto" w:sz="4" w:space="0"/>
              <w:bottom w:val="single" w:color="auto" w:sz="4" w:space="0"/>
              <w:right w:val="single" w:color="auto" w:sz="4" w:space="0"/>
            </w:tcBorders>
            <w:noWrap w:val="0"/>
            <w:vAlign w:val="center"/>
          </w:tcPr>
          <w:p w14:paraId="1F5BC68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1</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5F93252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五象院区食堂设备采购及安装项目</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1935E61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1</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06B1C57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项</w:t>
            </w:r>
          </w:p>
        </w:tc>
        <w:tc>
          <w:tcPr>
            <w:tcW w:w="10621" w:type="dxa"/>
            <w:tcBorders>
              <w:top w:val="single" w:color="auto" w:sz="4" w:space="0"/>
              <w:left w:val="single" w:color="auto" w:sz="4" w:space="0"/>
              <w:bottom w:val="single" w:color="auto" w:sz="4" w:space="0"/>
              <w:right w:val="single" w:color="auto" w:sz="4" w:space="0"/>
            </w:tcBorders>
            <w:noWrap w:val="0"/>
            <w:vAlign w:val="center"/>
          </w:tcPr>
          <w:p w14:paraId="41EFF0E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一、项目概况</w:t>
            </w:r>
          </w:p>
          <w:p w14:paraId="56ADB7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本项目为五象院区食堂设备采购及安装，采购内容包括厨房设备、排油烟系统、隔油池等，详见</w:t>
            </w:r>
            <w:r>
              <w:rPr>
                <w:rFonts w:hint="eastAsia" w:ascii="宋体" w:hAnsi="宋体" w:eastAsia="宋体" w:cs="宋体"/>
                <w:sz w:val="21"/>
                <w:szCs w:val="21"/>
                <w:highlight w:val="none"/>
                <w:lang w:val="en-US" w:eastAsia="zh-CN"/>
              </w:rPr>
              <w:t>二、技术需求</w:t>
            </w:r>
            <w:r>
              <w:rPr>
                <w:rFonts w:hint="eastAsia" w:ascii="宋体" w:hAnsi="宋体" w:eastAsia="宋体" w:cs="宋体"/>
                <w:sz w:val="21"/>
                <w:szCs w:val="21"/>
                <w:highlight w:val="none"/>
              </w:rPr>
              <w:t>《五象院区厨房设备及安装</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清单》。所有设备及安装须符合国家及地方现行相关食品安全、环保、消防、电气安全标准。</w:t>
            </w:r>
          </w:p>
          <w:p w14:paraId="59E01A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二、参考品牌及食品接触安全说明</w:t>
            </w:r>
          </w:p>
          <w:p w14:paraId="46E0C6F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本项目采购清单中所列参考品牌仅作为品质参照基准，并非唯一指定。</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可选用等同于或优于参考品牌品质的其他品牌产品，但须在</w:t>
            </w:r>
            <w:r>
              <w:rPr>
                <w:rFonts w:hint="eastAsia" w:ascii="宋体" w:hAnsi="宋体" w:eastAsia="宋体" w:cs="宋体"/>
                <w:sz w:val="21"/>
                <w:szCs w:val="21"/>
                <w:highlight w:val="none"/>
                <w:lang w:eastAsia="zh-CN"/>
              </w:rPr>
              <w:t>响应文件</w:t>
            </w:r>
            <w:r>
              <w:rPr>
                <w:rFonts w:hint="eastAsia" w:ascii="宋体" w:hAnsi="宋体" w:eastAsia="宋体" w:cs="宋体"/>
                <w:sz w:val="21"/>
                <w:szCs w:val="21"/>
                <w:highlight w:val="none"/>
              </w:rPr>
              <w:t>中提供所投产品的详细技术参数对照表，逐项响应采购需求，并附相关证明材料（如技术参数、第三方检测报告等），以供评审委员会认定是否“等同或优于”参考品牌品质。如</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未提供相关材料或所投产品经评审认定低于参考品牌品质的，视为不响应采购要求。</w:t>
            </w:r>
          </w:p>
          <w:p w14:paraId="18D179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须保证，所有与食品接触的主要部件（包括但不限于内胆、门板、搁架、管路等）均符合GB4806系列《食品安全国家标准食品接触用材料及制品》的要求。</w:t>
            </w:r>
          </w:p>
          <w:p w14:paraId="546A472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三、服务</w:t>
            </w:r>
            <w:r>
              <w:rPr>
                <w:rFonts w:hint="eastAsia" w:ascii="宋体" w:hAnsi="宋体" w:eastAsia="宋体" w:cs="宋体"/>
                <w:sz w:val="21"/>
                <w:szCs w:val="21"/>
                <w:highlight w:val="none"/>
                <w:lang w:val="en-US" w:eastAsia="zh-CN"/>
              </w:rPr>
              <w:t>要求</w:t>
            </w:r>
          </w:p>
          <w:p w14:paraId="4B0467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供应商须按照附表清单完成全部设备的供货、运输、装卸、搬运就位、安装、调试、验收、培训及售后服务</w:t>
            </w:r>
            <w:r>
              <w:rPr>
                <w:rFonts w:hint="eastAsia" w:ascii="宋体" w:hAnsi="宋体" w:eastAsia="宋体" w:cs="宋体"/>
                <w:sz w:val="21"/>
                <w:szCs w:val="21"/>
                <w:highlight w:val="none"/>
                <w:lang w:eastAsia="zh-CN"/>
              </w:rPr>
              <w:t>。</w:t>
            </w:r>
          </w:p>
          <w:p w14:paraId="421B1C6E">
            <w:pPr>
              <w:widowControl w:val="0"/>
              <w:snapToGrid w:val="0"/>
              <w:spacing w:before="0" w:afterAutospacing="0" w:line="360" w:lineRule="auto"/>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i w:val="0"/>
                <w:iCs w:val="0"/>
                <w:caps w:val="0"/>
                <w:spacing w:val="0"/>
                <w:sz w:val="21"/>
                <w:szCs w:val="21"/>
                <w:highlight w:val="none"/>
                <w:shd w:val="clear" w:color="auto" w:fill="auto"/>
              </w:rPr>
              <w:t>安装过程中涉及的一切</w:t>
            </w:r>
            <w:r>
              <w:rPr>
                <w:rFonts w:hint="eastAsia" w:ascii="宋体" w:hAnsi="宋体" w:eastAsia="宋体" w:cs="宋体"/>
                <w:sz w:val="21"/>
                <w:szCs w:val="21"/>
                <w:highlight w:val="none"/>
              </w:rPr>
              <w:t>使设备正常运行所需的施工内容</w:t>
            </w:r>
            <w:r>
              <w:rPr>
                <w:rFonts w:hint="eastAsia" w:ascii="宋体" w:hAnsi="宋体" w:eastAsia="宋体" w:cs="宋体"/>
                <w:i w:val="0"/>
                <w:iCs w:val="0"/>
                <w:caps w:val="0"/>
                <w:spacing w:val="0"/>
                <w:sz w:val="21"/>
                <w:szCs w:val="21"/>
                <w:highlight w:val="none"/>
                <w:shd w:val="clear" w:color="auto" w:fill="auto"/>
              </w:rPr>
              <w:t>（含土建配合、开墙孔、管道敷设、设备基础、吊顶拆改及恢复等），均由供应商负责完成，确保设备正常运行。</w:t>
            </w:r>
          </w:p>
          <w:p w14:paraId="06F2D1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四、安装要求</w:t>
            </w:r>
          </w:p>
          <w:p w14:paraId="7AAFF2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安装过程中对现场已装修的地面、墙面、吊顶进行成品保护。</w:t>
            </w:r>
          </w:p>
          <w:p w14:paraId="02D2278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完工后恢复因安装需要而拆除的部位，并清理现场。</w:t>
            </w:r>
          </w:p>
          <w:p w14:paraId="79504D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成交人</w:t>
            </w:r>
            <w:r>
              <w:rPr>
                <w:rFonts w:hint="eastAsia" w:ascii="宋体" w:hAnsi="宋体" w:eastAsia="宋体" w:cs="宋体"/>
                <w:color w:val="auto"/>
                <w:sz w:val="21"/>
                <w:szCs w:val="21"/>
                <w:highlight w:val="none"/>
              </w:rPr>
              <w:t>须根据现场实际情况编制施工方案（含施工质量保证措施、人员安排、进度安排等）。采购人已提供给水、给电设计图的，</w:t>
            </w:r>
            <w:r>
              <w:rPr>
                <w:rFonts w:hint="eastAsia" w:ascii="宋体" w:hAnsi="宋体" w:eastAsia="宋体" w:cs="宋体"/>
                <w:color w:val="auto"/>
                <w:sz w:val="21"/>
                <w:szCs w:val="21"/>
                <w:highlight w:val="none"/>
                <w:lang w:eastAsia="zh-CN"/>
              </w:rPr>
              <w:t>成交人</w:t>
            </w:r>
            <w:r>
              <w:rPr>
                <w:rFonts w:hint="eastAsia" w:ascii="宋体" w:hAnsi="宋体" w:eastAsia="宋体" w:cs="宋体"/>
                <w:color w:val="auto"/>
                <w:sz w:val="21"/>
                <w:szCs w:val="21"/>
                <w:highlight w:val="none"/>
              </w:rPr>
              <w:t>应依据图纸编制；未提供的，</w:t>
            </w:r>
            <w:r>
              <w:rPr>
                <w:rFonts w:hint="eastAsia" w:ascii="宋体" w:hAnsi="宋体" w:eastAsia="宋体" w:cs="宋体"/>
                <w:color w:val="auto"/>
                <w:sz w:val="21"/>
                <w:szCs w:val="21"/>
                <w:highlight w:val="none"/>
                <w:lang w:eastAsia="zh-CN"/>
              </w:rPr>
              <w:t>成交人</w:t>
            </w:r>
            <w:r>
              <w:rPr>
                <w:rFonts w:hint="eastAsia" w:ascii="宋体" w:hAnsi="宋体" w:eastAsia="宋体" w:cs="宋体"/>
                <w:color w:val="auto"/>
                <w:sz w:val="21"/>
                <w:szCs w:val="21"/>
                <w:highlight w:val="none"/>
              </w:rPr>
              <w:t>须自行勘察现场后编制。方案须符合食药监、卫生防疫等相关部门要求</w:t>
            </w:r>
            <w:r>
              <w:rPr>
                <w:rFonts w:hint="eastAsia" w:ascii="宋体" w:hAnsi="宋体" w:eastAsia="宋体" w:cs="宋体"/>
                <w:color w:val="auto"/>
                <w:sz w:val="21"/>
                <w:szCs w:val="21"/>
                <w:highlight w:val="none"/>
                <w:lang w:eastAsia="zh-CN"/>
              </w:rPr>
              <w:t>。</w:t>
            </w:r>
          </w:p>
          <w:p w14:paraId="672883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必须服从采购人现场负责人的指挥，按指定地点进行安装。</w:t>
            </w:r>
          </w:p>
          <w:p w14:paraId="2F522A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安装过程中的所有安全保障由</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自行负责。</w:t>
            </w:r>
          </w:p>
          <w:p w14:paraId="3AC41D3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严格按投标产品的安装规范要求进行安装，确保安全。</w:t>
            </w:r>
          </w:p>
        </w:tc>
      </w:tr>
    </w:tbl>
    <w:p w14:paraId="10EE9EC9">
      <w:pPr>
        <w:numPr>
          <w:ilvl w:val="0"/>
          <w:numId w:val="0"/>
        </w:numPr>
        <w:spacing w:line="560" w:lineRule="exact"/>
        <w:jc w:val="left"/>
        <w:rPr>
          <w:rFonts w:hint="default"/>
          <w:b/>
          <w:bCs/>
          <w:sz w:val="28"/>
          <w:szCs w:val="28"/>
          <w:highlight w:val="none"/>
          <w:lang w:val="en-US" w:eastAsia="zh-CN"/>
        </w:rPr>
      </w:pPr>
    </w:p>
    <w:p w14:paraId="0302B906">
      <w:pPr>
        <w:rPr>
          <w:highlight w:val="none"/>
        </w:rPr>
      </w:pPr>
      <w:r>
        <w:rPr>
          <w:highlight w:val="none"/>
        </w:rPr>
        <w:br w:type="page"/>
      </w:r>
    </w:p>
    <w:p w14:paraId="5553CE38">
      <w:pPr>
        <w:numPr>
          <w:ilvl w:val="0"/>
          <w:numId w:val="0"/>
        </w:numPr>
        <w:spacing w:line="340" w:lineRule="exact"/>
        <w:outlineLvl w:val="1"/>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eastAsia="zh-CN"/>
          <w:woUserID w:val="0"/>
        </w:rPr>
        <w:t>二、</w:t>
      </w:r>
      <w:r>
        <w:rPr>
          <w:rFonts w:hint="eastAsia" w:ascii="宋体" w:hAnsi="宋体" w:eastAsia="宋体" w:cs="宋体"/>
          <w:b/>
          <w:bCs/>
          <w:i w:val="0"/>
          <w:iCs w:val="0"/>
          <w:caps w:val="0"/>
          <w:spacing w:val="0"/>
          <w:sz w:val="21"/>
          <w:szCs w:val="21"/>
          <w:highlight w:val="none"/>
          <w:shd w:val="clear"/>
        </w:rPr>
        <w:t>采购需求及技术参数表</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6"/>
        <w:gridCol w:w="1554"/>
        <w:gridCol w:w="1424"/>
        <w:gridCol w:w="2359"/>
        <w:gridCol w:w="4419"/>
        <w:gridCol w:w="1067"/>
        <w:gridCol w:w="615"/>
        <w:gridCol w:w="667"/>
        <w:gridCol w:w="642"/>
        <w:gridCol w:w="655"/>
      </w:tblGrid>
      <w:tr w14:paraId="453D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270" w:type="pct"/>
            <w:shd w:val="clear" w:color="auto" w:fill="auto"/>
            <w:noWrap/>
            <w:vAlign w:val="center"/>
          </w:tcPr>
          <w:p w14:paraId="05FD5688">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编号</w:t>
            </w:r>
          </w:p>
        </w:tc>
        <w:tc>
          <w:tcPr>
            <w:tcW w:w="548" w:type="pct"/>
            <w:shd w:val="clear" w:color="auto" w:fill="auto"/>
            <w:vAlign w:val="center"/>
          </w:tcPr>
          <w:p w14:paraId="2A806094">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设备名称</w:t>
            </w:r>
          </w:p>
        </w:tc>
        <w:tc>
          <w:tcPr>
            <w:tcW w:w="502" w:type="pct"/>
            <w:shd w:val="clear" w:color="auto" w:fill="auto"/>
            <w:noWrap/>
            <w:vAlign w:val="center"/>
          </w:tcPr>
          <w:p w14:paraId="49F20478">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产品参考图片</w:t>
            </w:r>
          </w:p>
        </w:tc>
        <w:tc>
          <w:tcPr>
            <w:tcW w:w="832" w:type="pct"/>
            <w:shd w:val="clear" w:color="auto" w:fill="auto"/>
            <w:vAlign w:val="center"/>
          </w:tcPr>
          <w:p w14:paraId="0FA1BD28">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外形尺寸</w:t>
            </w:r>
          </w:p>
        </w:tc>
        <w:tc>
          <w:tcPr>
            <w:tcW w:w="1559" w:type="pct"/>
            <w:shd w:val="clear" w:color="auto" w:fill="auto"/>
            <w:noWrap/>
            <w:vAlign w:val="center"/>
          </w:tcPr>
          <w:p w14:paraId="03BB5414">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技术参数及配备要求</w:t>
            </w:r>
          </w:p>
        </w:tc>
        <w:tc>
          <w:tcPr>
            <w:tcW w:w="376" w:type="pct"/>
            <w:shd w:val="clear" w:color="auto" w:fill="auto"/>
            <w:noWrap/>
            <w:vAlign w:val="center"/>
          </w:tcPr>
          <w:p w14:paraId="142F6BE0">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参考品牌</w:t>
            </w:r>
          </w:p>
        </w:tc>
        <w:tc>
          <w:tcPr>
            <w:tcW w:w="216" w:type="pct"/>
            <w:shd w:val="clear" w:color="auto" w:fill="auto"/>
            <w:noWrap/>
            <w:vAlign w:val="center"/>
          </w:tcPr>
          <w:p w14:paraId="640F63A3">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数量</w:t>
            </w:r>
          </w:p>
        </w:tc>
        <w:tc>
          <w:tcPr>
            <w:tcW w:w="235" w:type="pct"/>
            <w:shd w:val="clear" w:color="auto" w:fill="auto"/>
            <w:noWrap/>
            <w:vAlign w:val="center"/>
          </w:tcPr>
          <w:p w14:paraId="4C01C67E">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单位</w:t>
            </w:r>
          </w:p>
        </w:tc>
        <w:tc>
          <w:tcPr>
            <w:tcW w:w="226" w:type="pct"/>
            <w:shd w:val="clear" w:color="auto" w:fill="auto"/>
            <w:vAlign w:val="center"/>
          </w:tcPr>
          <w:p w14:paraId="612794E2">
            <w:pPr>
              <w:keepNext w:val="0"/>
              <w:keepLines w:val="0"/>
              <w:widowControl/>
              <w:suppressLineNumbers w:val="0"/>
              <w:jc w:val="center"/>
              <w:textAlignment w:val="center"/>
              <w:rPr>
                <w:rFonts w:hint="default" w:ascii="仿宋" w:hAnsi="仿宋" w:eastAsia="仿宋" w:cs="仿宋"/>
                <w:b/>
                <w:bCs/>
                <w:i w:val="0"/>
                <w:iCs w:val="0"/>
                <w:color w:val="000000"/>
                <w:sz w:val="18"/>
                <w:szCs w:val="18"/>
                <w:highlight w:val="none"/>
                <w:u w:val="none"/>
                <w:lang w:val="en-US"/>
              </w:rPr>
            </w:pPr>
            <w:r>
              <w:rPr>
                <w:rFonts w:hint="default" w:ascii="仿宋" w:hAnsi="仿宋" w:eastAsia="仿宋" w:cs="仿宋"/>
                <w:b/>
                <w:bCs/>
                <w:i w:val="0"/>
                <w:iCs w:val="0"/>
                <w:color w:val="000000"/>
                <w:kern w:val="0"/>
                <w:sz w:val="18"/>
                <w:szCs w:val="18"/>
                <w:highlight w:val="none"/>
                <w:u w:val="none"/>
                <w:lang w:val="en-US" w:eastAsia="zh-CN" w:bidi="ar"/>
              </w:rPr>
              <w:t>单价</w:t>
            </w:r>
            <w:r>
              <w:rPr>
                <w:rFonts w:hint="eastAsia" w:ascii="仿宋" w:hAnsi="仿宋" w:eastAsia="仿宋" w:cs="仿宋"/>
                <w:b/>
                <w:bCs/>
                <w:i w:val="0"/>
                <w:iCs w:val="0"/>
                <w:color w:val="000000"/>
                <w:kern w:val="0"/>
                <w:sz w:val="18"/>
                <w:szCs w:val="18"/>
                <w:highlight w:val="none"/>
                <w:u w:val="none"/>
                <w:lang w:val="en-US" w:eastAsia="zh-CN" w:bidi="ar"/>
              </w:rPr>
              <w:t>最高限价（元）</w:t>
            </w:r>
          </w:p>
        </w:tc>
        <w:tc>
          <w:tcPr>
            <w:tcW w:w="231" w:type="pct"/>
            <w:shd w:val="clear" w:color="auto" w:fill="auto"/>
            <w:noWrap/>
            <w:vAlign w:val="center"/>
          </w:tcPr>
          <w:p w14:paraId="476E7B6A">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小计（元）</w:t>
            </w:r>
          </w:p>
        </w:tc>
      </w:tr>
      <w:tr w14:paraId="5CD3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noWrap/>
            <w:vAlign w:val="center"/>
          </w:tcPr>
          <w:p w14:paraId="32AEAFB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A</w:t>
            </w:r>
          </w:p>
        </w:tc>
        <w:tc>
          <w:tcPr>
            <w:tcW w:w="548" w:type="pct"/>
            <w:shd w:val="clear" w:color="auto" w:fill="auto"/>
            <w:vAlign w:val="center"/>
          </w:tcPr>
          <w:p w14:paraId="2D068301">
            <w:pPr>
              <w:keepNext w:val="0"/>
              <w:keepLines w:val="0"/>
              <w:widowControl/>
              <w:suppressLineNumbers w:val="0"/>
              <w:jc w:val="center"/>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lang w:val="en-US" w:eastAsia="zh-CN" w:bidi="ar"/>
              </w:rPr>
              <w:t>更衣室</w:t>
            </w:r>
          </w:p>
        </w:tc>
        <w:tc>
          <w:tcPr>
            <w:tcW w:w="502" w:type="pct"/>
            <w:shd w:val="clear" w:color="auto" w:fill="auto"/>
            <w:noWrap/>
            <w:vAlign w:val="center"/>
          </w:tcPr>
          <w:p w14:paraId="46792041">
            <w:pPr>
              <w:jc w:val="center"/>
              <w:rPr>
                <w:rFonts w:hint="eastAsia" w:ascii="仿宋" w:hAnsi="仿宋" w:eastAsia="仿宋" w:cs="仿宋"/>
                <w:b/>
                <w:bCs/>
                <w:i w:val="0"/>
                <w:iCs w:val="0"/>
                <w:color w:val="000000"/>
                <w:sz w:val="18"/>
                <w:szCs w:val="18"/>
                <w:highlight w:val="none"/>
                <w:u w:val="none"/>
              </w:rPr>
            </w:pPr>
          </w:p>
        </w:tc>
        <w:tc>
          <w:tcPr>
            <w:tcW w:w="832" w:type="pct"/>
            <w:shd w:val="clear" w:color="auto" w:fill="auto"/>
            <w:vAlign w:val="center"/>
          </w:tcPr>
          <w:p w14:paraId="66D9FFC1">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34C4810F">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51818FA5">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08025349">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57C0DB81">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3CC88AF5">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4DA86182">
            <w:pPr>
              <w:jc w:val="center"/>
              <w:rPr>
                <w:rFonts w:hint="eastAsia" w:ascii="仿宋" w:hAnsi="仿宋" w:eastAsia="仿宋" w:cs="仿宋"/>
                <w:i w:val="0"/>
                <w:iCs w:val="0"/>
                <w:color w:val="000000"/>
                <w:sz w:val="18"/>
                <w:szCs w:val="18"/>
                <w:highlight w:val="none"/>
                <w:u w:val="none"/>
              </w:rPr>
            </w:pPr>
          </w:p>
        </w:tc>
      </w:tr>
      <w:tr w14:paraId="05B7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vAlign w:val="center"/>
          </w:tcPr>
          <w:p w14:paraId="5A85427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548" w:type="pct"/>
            <w:shd w:val="clear" w:color="auto" w:fill="auto"/>
            <w:vAlign w:val="center"/>
          </w:tcPr>
          <w:p w14:paraId="5B14E68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六门更衣柜</w:t>
            </w:r>
          </w:p>
        </w:tc>
        <w:tc>
          <w:tcPr>
            <w:tcW w:w="502" w:type="pct"/>
            <w:shd w:val="clear" w:color="auto" w:fill="auto"/>
            <w:noWrap/>
            <w:vAlign w:val="center"/>
          </w:tcPr>
          <w:p w14:paraId="58ABA2B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-17145</wp:posOffset>
                  </wp:positionH>
                  <wp:positionV relativeFrom="paragraph">
                    <wp:posOffset>35560</wp:posOffset>
                  </wp:positionV>
                  <wp:extent cx="852805" cy="569595"/>
                  <wp:effectExtent l="0" t="0" r="4445" b="1905"/>
                  <wp:wrapNone/>
                  <wp:docPr id="37" name="ID_6D897434DF564E37B62B2C5EDD82152A"/>
                  <wp:cNvGraphicFramePr/>
                  <a:graphic xmlns:a="http://schemas.openxmlformats.org/drawingml/2006/main">
                    <a:graphicData uri="http://schemas.openxmlformats.org/drawingml/2006/picture">
                      <pic:pic xmlns:pic="http://schemas.openxmlformats.org/drawingml/2006/picture">
                        <pic:nvPicPr>
                          <pic:cNvPr id="37" name="ID_6D897434DF564E37B62B2C5EDD82152A"/>
                          <pic:cNvPicPr/>
                        </pic:nvPicPr>
                        <pic:blipFill>
                          <a:blip r:embed="rId4"/>
                          <a:stretch>
                            <a:fillRect/>
                          </a:stretch>
                        </pic:blipFill>
                        <pic:spPr>
                          <a:xfrm>
                            <a:off x="0" y="0"/>
                            <a:ext cx="852805" cy="569595"/>
                          </a:xfrm>
                          <a:prstGeom prst="rect">
                            <a:avLst/>
                          </a:prstGeom>
                          <a:noFill/>
                          <a:ln>
                            <a:noFill/>
                          </a:ln>
                        </pic:spPr>
                      </pic:pic>
                    </a:graphicData>
                  </a:graphic>
                </wp:anchor>
              </w:drawing>
            </w:r>
          </w:p>
        </w:tc>
        <w:tc>
          <w:tcPr>
            <w:tcW w:w="832" w:type="pct"/>
            <w:shd w:val="clear" w:color="auto" w:fill="auto"/>
            <w:vAlign w:val="center"/>
          </w:tcPr>
          <w:p w14:paraId="63BDA5E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900×420×1800mm</w:t>
            </w:r>
          </w:p>
        </w:tc>
        <w:tc>
          <w:tcPr>
            <w:tcW w:w="1559" w:type="pct"/>
            <w:shd w:val="clear" w:color="auto" w:fill="auto"/>
            <w:vAlign w:val="center"/>
          </w:tcPr>
          <w:p w14:paraId="045AB2C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一、结构：上下双层共6门独立储物格，单层承重≥30kg。</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1.柜体：≥0.6mm厚冷轧钢板，表面经除油、磷化、静电喷塑处理，喷塑表面均匀、无脱落、无划伤</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2.地脚：底部配可调节防滑地脚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每门配锁、拉手、铰链</w:t>
            </w:r>
          </w:p>
        </w:tc>
        <w:tc>
          <w:tcPr>
            <w:tcW w:w="376" w:type="pct"/>
            <w:shd w:val="clear" w:color="auto" w:fill="auto"/>
            <w:noWrap/>
            <w:vAlign w:val="center"/>
          </w:tcPr>
          <w:p w14:paraId="12FA8B62">
            <w:pPr>
              <w:jc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3ED5CD0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w:t>
            </w:r>
          </w:p>
        </w:tc>
        <w:tc>
          <w:tcPr>
            <w:tcW w:w="235" w:type="pct"/>
            <w:shd w:val="clear" w:color="auto" w:fill="auto"/>
            <w:noWrap/>
            <w:vAlign w:val="center"/>
          </w:tcPr>
          <w:p w14:paraId="51787DF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个</w:t>
            </w:r>
          </w:p>
        </w:tc>
        <w:tc>
          <w:tcPr>
            <w:tcW w:w="226" w:type="pct"/>
            <w:shd w:val="clear" w:color="auto" w:fill="auto"/>
            <w:noWrap/>
            <w:vAlign w:val="center"/>
          </w:tcPr>
          <w:p w14:paraId="5C6C112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900</w:t>
            </w:r>
          </w:p>
        </w:tc>
        <w:tc>
          <w:tcPr>
            <w:tcW w:w="231" w:type="pct"/>
            <w:shd w:val="clear" w:color="auto" w:fill="auto"/>
            <w:noWrap/>
            <w:vAlign w:val="center"/>
          </w:tcPr>
          <w:p w14:paraId="0E3DB3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3600</w:t>
            </w:r>
          </w:p>
        </w:tc>
      </w:tr>
      <w:tr w14:paraId="0105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270" w:type="pct"/>
            <w:shd w:val="clear" w:color="auto" w:fill="auto"/>
            <w:vAlign w:val="center"/>
          </w:tcPr>
          <w:p w14:paraId="22B817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B</w:t>
            </w:r>
          </w:p>
        </w:tc>
        <w:tc>
          <w:tcPr>
            <w:tcW w:w="548" w:type="pct"/>
            <w:shd w:val="clear" w:color="auto" w:fill="auto"/>
            <w:vAlign w:val="center"/>
          </w:tcPr>
          <w:p w14:paraId="4E58435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冷柜间/检验间</w:t>
            </w:r>
          </w:p>
        </w:tc>
        <w:tc>
          <w:tcPr>
            <w:tcW w:w="502" w:type="pct"/>
            <w:shd w:val="clear" w:color="auto" w:fill="auto"/>
            <w:noWrap/>
            <w:vAlign w:val="center"/>
          </w:tcPr>
          <w:p w14:paraId="7AD97BDC">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46629ED1">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6DB2A6DA">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2777C995">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70E23EF2">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732B2C69">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3E3602D6">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0BBB7DAB">
            <w:pPr>
              <w:jc w:val="center"/>
              <w:rPr>
                <w:rFonts w:hint="eastAsia" w:ascii="仿宋" w:hAnsi="仿宋" w:eastAsia="仿宋" w:cs="仿宋"/>
                <w:i w:val="0"/>
                <w:iCs w:val="0"/>
                <w:color w:val="000000"/>
                <w:sz w:val="18"/>
                <w:szCs w:val="18"/>
                <w:highlight w:val="none"/>
                <w:u w:val="none"/>
              </w:rPr>
            </w:pPr>
          </w:p>
        </w:tc>
      </w:tr>
      <w:tr w14:paraId="0C52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noWrap/>
            <w:vAlign w:val="center"/>
          </w:tcPr>
          <w:p w14:paraId="12ACDD8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548" w:type="pct"/>
            <w:shd w:val="clear" w:color="auto" w:fill="auto"/>
            <w:vAlign w:val="center"/>
          </w:tcPr>
          <w:p w14:paraId="14E8B33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单星右平台</w:t>
            </w:r>
          </w:p>
        </w:tc>
        <w:tc>
          <w:tcPr>
            <w:tcW w:w="502" w:type="pct"/>
            <w:shd w:val="clear" w:color="auto" w:fill="auto"/>
            <w:vAlign w:val="top"/>
          </w:tcPr>
          <w:p w14:paraId="5336D87F">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397510</wp:posOffset>
                  </wp:positionV>
                  <wp:extent cx="811530" cy="523875"/>
                  <wp:effectExtent l="0" t="0" r="7620" b="9525"/>
                  <wp:wrapNone/>
                  <wp:docPr id="18" name="ID_9FA45AD3B97E40A7B3E40E366CF4F169"/>
                  <wp:cNvGraphicFramePr/>
                  <a:graphic xmlns:a="http://schemas.openxmlformats.org/drawingml/2006/main">
                    <a:graphicData uri="http://schemas.openxmlformats.org/drawingml/2006/picture">
                      <pic:pic xmlns:pic="http://schemas.openxmlformats.org/drawingml/2006/picture">
                        <pic:nvPicPr>
                          <pic:cNvPr id="18" name="ID_9FA45AD3B97E40A7B3E40E366CF4F169"/>
                          <pic:cNvPicPr/>
                        </pic:nvPicPr>
                        <pic:blipFill>
                          <a:blip r:embed="rId5"/>
                          <a:stretch>
                            <a:fillRect/>
                          </a:stretch>
                        </pic:blipFill>
                        <pic:spPr>
                          <a:xfrm>
                            <a:off x="0" y="0"/>
                            <a:ext cx="811530" cy="523875"/>
                          </a:xfrm>
                          <a:prstGeom prst="rect">
                            <a:avLst/>
                          </a:prstGeom>
                          <a:noFill/>
                          <a:ln>
                            <a:noFill/>
                          </a:ln>
                        </pic:spPr>
                      </pic:pic>
                    </a:graphicData>
                  </a:graphic>
                </wp:anchor>
              </w:drawing>
            </w:r>
          </w:p>
        </w:tc>
        <w:tc>
          <w:tcPr>
            <w:tcW w:w="832" w:type="pct"/>
            <w:shd w:val="clear" w:color="auto" w:fill="auto"/>
            <w:vAlign w:val="center"/>
          </w:tcPr>
          <w:p w14:paraId="5AA1DC5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1200×700×800mm，后挡水高度150mm</w:t>
            </w:r>
          </w:p>
        </w:tc>
        <w:tc>
          <w:tcPr>
            <w:tcW w:w="1559" w:type="pct"/>
            <w:shd w:val="clear" w:color="auto" w:fill="auto"/>
            <w:vAlign w:val="center"/>
          </w:tcPr>
          <w:p w14:paraId="5DFFC67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一、结构：左星盆+右操作台，带背挡水及前滴水沿，盆斗与面板一体拉伸或无缝焊接，台面四边双曲压弯≤40mm，支架满焊并配防滑脚。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1.面板：304不锈钢：≥1.2mm厚拉丝板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2.加强筋、星盆斗：304不锈钢1.0mm厚板（星盆斗冲压成型）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noWrap/>
            <w:vAlign w:val="center"/>
          </w:tcPr>
          <w:p w14:paraId="3E8727B8">
            <w:pPr>
              <w:jc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6C625A0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16D6A4F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279480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c>
          <w:tcPr>
            <w:tcW w:w="231" w:type="pct"/>
            <w:shd w:val="clear" w:color="auto" w:fill="auto"/>
            <w:noWrap/>
            <w:vAlign w:val="center"/>
          </w:tcPr>
          <w:p w14:paraId="47367D9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r>
      <w:tr w14:paraId="3F05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1" w:hRule="atLeast"/>
        </w:trPr>
        <w:tc>
          <w:tcPr>
            <w:tcW w:w="270" w:type="pct"/>
            <w:shd w:val="clear" w:color="auto" w:fill="auto"/>
            <w:noWrap/>
            <w:vAlign w:val="center"/>
          </w:tcPr>
          <w:p w14:paraId="0BA0D06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548" w:type="pct"/>
            <w:shd w:val="clear" w:color="auto" w:fill="auto"/>
            <w:vAlign w:val="center"/>
          </w:tcPr>
          <w:p w14:paraId="3D433D6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单门留样柜</w:t>
            </w:r>
          </w:p>
        </w:tc>
        <w:tc>
          <w:tcPr>
            <w:tcW w:w="502" w:type="pct"/>
            <w:shd w:val="clear" w:color="auto" w:fill="auto"/>
            <w:vAlign w:val="top"/>
          </w:tcPr>
          <w:p w14:paraId="6940A6D3">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-1905</wp:posOffset>
                  </wp:positionH>
                  <wp:positionV relativeFrom="paragraph">
                    <wp:posOffset>1249680</wp:posOffset>
                  </wp:positionV>
                  <wp:extent cx="788035" cy="669290"/>
                  <wp:effectExtent l="0" t="0" r="12065" b="16510"/>
                  <wp:wrapNone/>
                  <wp:docPr id="61" name="ID_C0CD8334A234459EB22DC7D4F91CDE8C"/>
                  <wp:cNvGraphicFramePr/>
                  <a:graphic xmlns:a="http://schemas.openxmlformats.org/drawingml/2006/main">
                    <a:graphicData uri="http://schemas.openxmlformats.org/drawingml/2006/picture">
                      <pic:pic xmlns:pic="http://schemas.openxmlformats.org/drawingml/2006/picture">
                        <pic:nvPicPr>
                          <pic:cNvPr id="61" name="ID_C0CD8334A234459EB22DC7D4F91CDE8C"/>
                          <pic:cNvPicPr/>
                        </pic:nvPicPr>
                        <pic:blipFill>
                          <a:blip r:embed="rId6"/>
                          <a:stretch>
                            <a:fillRect/>
                          </a:stretch>
                        </pic:blipFill>
                        <pic:spPr>
                          <a:xfrm>
                            <a:off x="0" y="0"/>
                            <a:ext cx="788035" cy="669290"/>
                          </a:xfrm>
                          <a:prstGeom prst="rect">
                            <a:avLst/>
                          </a:prstGeom>
                          <a:noFill/>
                          <a:ln>
                            <a:noFill/>
                          </a:ln>
                        </pic:spPr>
                      </pic:pic>
                    </a:graphicData>
                  </a:graphic>
                </wp:anchor>
              </w:drawing>
            </w:r>
          </w:p>
        </w:tc>
        <w:tc>
          <w:tcPr>
            <w:tcW w:w="832" w:type="pct"/>
            <w:shd w:val="clear" w:color="auto" w:fill="auto"/>
            <w:vAlign w:val="center"/>
          </w:tcPr>
          <w:p w14:paraId="7B26B2D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032AEBB1">
            <w:pPr>
              <w:keepNext w:val="0"/>
              <w:keepLines w:val="0"/>
              <w:widowControl/>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一、结构：风冷制冷，有效容积≥450L，工作温度维持在0～10℃，数字温控+超温报警；90°自动回归门，多气囊磁封条，除凝露电热丝，高密度发泡保温。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1.外壳：201无磁不锈钢抗指纹板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2.内胆及层架：201不锈钢</w:t>
            </w:r>
          </w:p>
          <w:p w14:paraId="5E02139B">
            <w:pPr>
              <w:keepNext w:val="0"/>
              <w:keepLines w:val="0"/>
              <w:widowControl/>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3.制冷管路：全铜管制冷；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2.功率1.1kW</w:t>
            </w:r>
          </w:p>
          <w:p w14:paraId="67F6A8CE">
            <w:pPr>
              <w:keepNext w:val="0"/>
              <w:keepLines w:val="0"/>
              <w:widowControl/>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lang w:eastAsia="zh-CN" w:bidi="ar"/>
              </w:rPr>
            </w:pPr>
            <w:r>
              <w:rPr>
                <w:rFonts w:hint="eastAsia" w:ascii="仿宋" w:hAnsi="仿宋" w:eastAsia="仿宋" w:cs="仿宋"/>
                <w:i w:val="0"/>
                <w:iCs w:val="0"/>
                <w:color w:val="000000"/>
                <w:kern w:val="0"/>
                <w:sz w:val="18"/>
                <w:szCs w:val="18"/>
                <w:highlight w:val="none"/>
                <w:u w:val="none"/>
                <w:lang w:val="en-US" w:eastAsia="zh-CN" w:bidi="ar"/>
              </w:rPr>
              <w:t>3.所有原材料及配件（直接/非直接接触）：符合国家食品标准</w:t>
            </w:r>
            <w:r>
              <w:rPr>
                <w:rFonts w:hint="eastAsia" w:ascii="仿宋" w:hAnsi="仿宋" w:eastAsia="仿宋" w:cs="仿宋"/>
                <w:i w:val="0"/>
                <w:iCs w:val="0"/>
                <w:color w:val="000000"/>
                <w:kern w:val="0"/>
                <w:sz w:val="18"/>
                <w:szCs w:val="18"/>
                <w:highlight w:val="none"/>
                <w:u w:val="none"/>
                <w:lang w:val="en-US" w:eastAsia="zh-CN" w:bidi="ar"/>
              </w:rPr>
              <w:br w:type="textWrapping"/>
            </w:r>
            <m:oMath>
              <m:r>
                <m:rPr>
                  <m:sty m:val="p"/>
                </m:rPr>
                <w:rPr>
                  <w:rFonts w:hint="eastAsia" w:ascii="Cambria Math" w:hAnsi="Cambria Math" w:eastAsia="仿宋" w:cs="仿宋"/>
                  <w:color w:val="000000"/>
                  <w:kern w:val="0"/>
                  <w:sz w:val="18"/>
                  <w:szCs w:val="18"/>
                  <w:highlight w:val="none"/>
                  <w:u w:val="none"/>
                  <w:lang w:val="en-US" w:eastAsia="zh-CN" w:bidi="ar"/>
                </w:rPr>
                <m:t>★</m:t>
              </m:r>
            </m:oMath>
            <w:r>
              <w:rPr>
                <w:rFonts w:hint="eastAsia" w:ascii="仿宋" w:hAnsi="仿宋" w:eastAsia="仿宋" w:cs="仿宋"/>
                <w:b w:val="0"/>
                <w:i w:val="0"/>
                <w:color w:val="000000"/>
                <w:kern w:val="0"/>
                <w:sz w:val="18"/>
                <w:szCs w:val="18"/>
                <w:highlight w:val="none"/>
                <w:u w:val="none"/>
                <w:lang w:val="en-US" w:eastAsia="zh-CN" w:bidi="ar"/>
              </w:rPr>
              <w:t>4.</w:t>
            </w:r>
            <w:r>
              <w:rPr>
                <w:rFonts w:hint="eastAsia" w:ascii="仿宋" w:hAnsi="仿宋" w:eastAsia="仿宋" w:cs="仿宋"/>
                <w:i w:val="0"/>
                <w:iCs w:val="0"/>
                <w:caps w:val="0"/>
                <w:color w:val="000000"/>
                <w:spacing w:val="0"/>
                <w:kern w:val="0"/>
                <w:sz w:val="18"/>
                <w:szCs w:val="18"/>
                <w:highlight w:val="none"/>
                <w:u w:val="none"/>
                <w:shd w:val="clear" w:fill="auto"/>
                <w:lang w:bidi="ar"/>
              </w:rPr>
              <w:t>能效等级：二级</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依据 GB 26920-2024</w:t>
            </w:r>
            <w:r>
              <w:rPr>
                <w:rFonts w:hint="eastAsia" w:ascii="仿宋" w:hAnsi="仿宋" w:eastAsia="仿宋" w:cs="仿宋"/>
                <w:i w:val="0"/>
                <w:iCs w:val="0"/>
                <w:color w:val="000000"/>
                <w:kern w:val="0"/>
                <w:sz w:val="18"/>
                <w:szCs w:val="18"/>
                <w:highlight w:val="none"/>
                <w:u w:val="none"/>
                <w:lang w:bidi="ar"/>
              </w:rPr>
              <w:t>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fill="auto"/>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进行判定</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以下任一证明材料（须</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加盖供应商公章</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（1）</w:t>
            </w:r>
            <w:r>
              <w:rPr>
                <w:rFonts w:hint="eastAsia" w:ascii="仿宋" w:hAnsi="仿宋" w:eastAsia="仿宋" w:cs="仿宋"/>
                <w:i w:val="0"/>
                <w:iCs w:val="0"/>
                <w:caps w:val="0"/>
                <w:color w:val="000000"/>
                <w:spacing w:val="0"/>
                <w:kern w:val="0"/>
                <w:sz w:val="18"/>
                <w:szCs w:val="18"/>
                <w:highlight w:val="none"/>
                <w:u w:val="none"/>
                <w:shd w:val="clear"/>
                <w:lang w:bidi="ar"/>
              </w:rPr>
              <w:t>中国能效标识网（</w:t>
            </w:r>
            <w:r>
              <w:rPr>
                <w:rFonts w:hint="eastAsia" w:ascii="仿宋" w:hAnsi="仿宋" w:eastAsia="仿宋" w:cs="仿宋"/>
                <w:i w:val="0"/>
                <w:iCs w:val="0"/>
                <w:caps w:val="0"/>
                <w:color w:val="000000"/>
                <w:spacing w:val="0"/>
                <w:kern w:val="0"/>
                <w:sz w:val="18"/>
                <w:szCs w:val="18"/>
                <w:highlight w:val="none"/>
                <w:u w:val="none"/>
                <w:shd w:val="clear"/>
                <w:lang w:bidi="ar"/>
              </w:rPr>
              <w:fldChar w:fldCharType="begin"/>
            </w:r>
            <w:r>
              <w:rPr>
                <w:rFonts w:hint="eastAsia" w:ascii="仿宋" w:hAnsi="仿宋" w:eastAsia="仿宋" w:cs="仿宋"/>
                <w:i w:val="0"/>
                <w:iCs w:val="0"/>
                <w:caps w:val="0"/>
                <w:color w:val="000000"/>
                <w:spacing w:val="0"/>
                <w:kern w:val="0"/>
                <w:sz w:val="18"/>
                <w:szCs w:val="18"/>
                <w:highlight w:val="none"/>
                <w:u w:val="none"/>
                <w:shd w:val="clear"/>
                <w:lang w:bidi="ar"/>
              </w:rPr>
              <w:instrText xml:space="preserve"> HYPERLINK "https://www.energylabel.com.cn/" \t "https://chat.deepseek.com/a/chat/s/_blank" </w:instrText>
            </w:r>
            <w:r>
              <w:rPr>
                <w:rFonts w:hint="eastAsia" w:ascii="仿宋" w:hAnsi="仿宋" w:eastAsia="仿宋" w:cs="仿宋"/>
                <w:i w:val="0"/>
                <w:iCs w:val="0"/>
                <w:caps w:val="0"/>
                <w:color w:val="000000"/>
                <w:spacing w:val="0"/>
                <w:kern w:val="0"/>
                <w:sz w:val="18"/>
                <w:szCs w:val="18"/>
                <w:highlight w:val="none"/>
                <w:u w:val="none"/>
                <w:shd w:val="clear"/>
                <w:lang w:bidi="ar"/>
              </w:rPr>
              <w:fldChar w:fldCharType="separate"/>
            </w:r>
            <w:r>
              <w:rPr>
                <w:rFonts w:hint="eastAsia" w:ascii="仿宋" w:hAnsi="仿宋" w:eastAsia="仿宋" w:cs="仿宋"/>
                <w:i w:val="0"/>
                <w:iCs w:val="0"/>
                <w:caps w:val="0"/>
                <w:color w:val="000000"/>
                <w:spacing w:val="0"/>
                <w:kern w:val="0"/>
                <w:sz w:val="18"/>
                <w:szCs w:val="18"/>
                <w:highlight w:val="none"/>
                <w:u w:val="none"/>
                <w:shd w:val="clear"/>
                <w:lang w:bidi="ar"/>
              </w:rPr>
              <w:t>https://www.energylabel.com.cn</w:t>
            </w:r>
            <w:r>
              <w:rPr>
                <w:rFonts w:hint="eastAsia" w:ascii="仿宋" w:hAnsi="仿宋" w:eastAsia="仿宋" w:cs="仿宋"/>
                <w:i w:val="0"/>
                <w:iCs w:val="0"/>
                <w:caps w:val="0"/>
                <w:color w:val="000000"/>
                <w:spacing w:val="0"/>
                <w:kern w:val="0"/>
                <w:sz w:val="18"/>
                <w:szCs w:val="18"/>
                <w:highlight w:val="none"/>
                <w:u w:val="none"/>
                <w:shd w:val="clear"/>
                <w:lang w:bidi="ar"/>
              </w:rPr>
              <w:fldChar w:fldCharType="end"/>
            </w:r>
            <w:r>
              <w:rPr>
                <w:rFonts w:hint="eastAsia" w:ascii="仿宋" w:hAnsi="仿宋" w:eastAsia="仿宋" w:cs="仿宋"/>
                <w:i w:val="0"/>
                <w:iCs w:val="0"/>
                <w:caps w:val="0"/>
                <w:color w:val="000000"/>
                <w:spacing w:val="0"/>
                <w:kern w:val="0"/>
                <w:sz w:val="18"/>
                <w:szCs w:val="18"/>
                <w:highlight w:val="none"/>
                <w:u w:val="none"/>
                <w:shd w:val="clear"/>
                <w:lang w:bidi="ar"/>
              </w:rPr>
              <w:t>）备案查询截图（截图须清晰显示产品型号</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能效等级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及依据的</w:t>
            </w:r>
            <w:r>
              <w:rPr>
                <w:rFonts w:hint="eastAsia" w:ascii="仿宋" w:hAnsi="仿宋" w:eastAsia="仿宋" w:cs="仿宋"/>
                <w:i w:val="0"/>
                <w:iCs w:val="0"/>
                <w:caps w:val="0"/>
                <w:color w:val="000000"/>
                <w:spacing w:val="0"/>
                <w:kern w:val="0"/>
                <w:sz w:val="18"/>
                <w:szCs w:val="18"/>
                <w:highlight w:val="none"/>
                <w:u w:val="none"/>
                <w:shd w:val="clear"/>
                <w:lang w:bidi="ar"/>
              </w:rPr>
              <w:t>标准）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由具备CMA资质的第三方检测机构出具的检测报告复印件（须清晰显示能效等级判定结果，并载明检测依据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p>
          <w:p w14:paraId="25E5C2A9">
            <w:pPr>
              <w:keepNext w:val="0"/>
              <w:keepLines w:val="0"/>
              <w:widowControl/>
              <w:suppressLineNumbers w:val="0"/>
              <w:jc w:val="left"/>
              <w:textAlignment w:val="auto"/>
              <w:rPr>
                <w:rFonts w:hint="eastAsia" w:ascii="仿宋" w:hAnsi="仿宋" w:eastAsia="仿宋" w:cs="仿宋"/>
                <w:i w:val="0"/>
                <w:iCs w:val="0"/>
                <w:color w:val="000000"/>
                <w:sz w:val="18"/>
                <w:szCs w:val="18"/>
                <w:highlight w:val="none"/>
                <w:u w:val="none"/>
                <w:lang w:eastAsia="zh-CN"/>
              </w:rPr>
            </w:pPr>
            <w:r>
              <w:rPr>
                <w:rFonts w:hint="eastAsia" w:ascii="仿宋" w:hAnsi="仿宋" w:eastAsia="仿宋" w:cs="仿宋"/>
                <w:i w:val="0"/>
                <w:iCs w:val="0"/>
                <w:caps w:val="0"/>
                <w:color w:val="000000"/>
                <w:spacing w:val="0"/>
                <w:kern w:val="0"/>
                <w:sz w:val="18"/>
                <w:szCs w:val="18"/>
                <w:highlight w:val="none"/>
                <w:u w:val="none"/>
                <w:shd w:val="clear"/>
                <w:lang w:val="en-US" w:eastAsia="zh-CN" w:bidi="ar"/>
              </w:rPr>
              <w:t>说明：（1）</w:t>
            </w:r>
            <w:r>
              <w:rPr>
                <w:rFonts w:hint="eastAsia" w:ascii="仿宋" w:hAnsi="仿宋" w:eastAsia="仿宋" w:cs="仿宋"/>
                <w:i w:val="0"/>
                <w:iCs w:val="0"/>
                <w:caps w:val="0"/>
                <w:color w:val="000000"/>
                <w:spacing w:val="0"/>
                <w:kern w:val="0"/>
                <w:sz w:val="18"/>
                <w:szCs w:val="18"/>
                <w:highlight w:val="none"/>
                <w:u w:val="none"/>
                <w:shd w:val="clear"/>
                <w:lang w:bidi="ar"/>
              </w:rPr>
              <w:t>评审时</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专家</w:t>
            </w:r>
            <w:r>
              <w:rPr>
                <w:rFonts w:hint="eastAsia" w:ascii="仿宋" w:hAnsi="仿宋" w:eastAsia="仿宋" w:cs="仿宋"/>
                <w:i w:val="0"/>
                <w:iCs w:val="0"/>
                <w:caps w:val="0"/>
                <w:color w:val="000000"/>
                <w:spacing w:val="0"/>
                <w:kern w:val="0"/>
                <w:sz w:val="18"/>
                <w:szCs w:val="18"/>
                <w:highlight w:val="none"/>
                <w:u w:val="none"/>
                <w:shd w:val="clear"/>
                <w:lang w:bidi="ar"/>
              </w:rPr>
              <w:t>有权通过中国能效标识网对能效等级进行核实。核实结果与供应商提供的证明材料不一致的，以中国能效标识网备案数据为准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如所投产品不在中国能效标识网备案范围内，则以检测报告为准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证明材料即</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或</w:t>
            </w:r>
            <w:r>
              <w:rPr>
                <w:rFonts w:hint="eastAsia" w:ascii="仿宋" w:hAnsi="仿宋" w:eastAsia="仿宋" w:cs="仿宋"/>
                <w:i w:val="0"/>
                <w:iCs w:val="0"/>
                <w:caps w:val="0"/>
                <w:color w:val="000000"/>
                <w:spacing w:val="0"/>
                <w:kern w:val="0"/>
                <w:sz w:val="18"/>
                <w:szCs w:val="18"/>
                <w:highlight w:val="none"/>
                <w:u w:val="none"/>
                <w:shd w:val="clear"/>
                <w:lang w:bidi="ar"/>
              </w:rPr>
              <w:t>备案截图所载明的产品型号均须与所投产品型号完全一致，否则视为负偏离。</w:t>
            </w:r>
          </w:p>
        </w:tc>
        <w:tc>
          <w:tcPr>
            <w:tcW w:w="376" w:type="pct"/>
            <w:shd w:val="clear" w:color="auto" w:fill="auto"/>
            <w:noWrap/>
            <w:vAlign w:val="center"/>
          </w:tcPr>
          <w:p w14:paraId="06542E0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星星、</w:t>
            </w:r>
            <w:r>
              <w:rPr>
                <w:rFonts w:hint="eastAsia" w:ascii="仿宋" w:hAnsi="仿宋" w:eastAsia="仿宋" w:cs="仿宋"/>
                <w:i w:val="0"/>
                <w:iCs w:val="0"/>
                <w:color w:val="000000"/>
                <w:sz w:val="18"/>
                <w:szCs w:val="18"/>
                <w:highlight w:val="none"/>
                <w:u w:val="none"/>
              </w:rPr>
              <w:t>德宝</w:t>
            </w:r>
            <w:r>
              <w:rPr>
                <w:rFonts w:hint="eastAsia" w:ascii="仿宋" w:hAnsi="仿宋" w:eastAsia="仿宋" w:cs="仿宋"/>
                <w:i w:val="0"/>
                <w:iCs w:val="0"/>
                <w:color w:val="000000"/>
                <w:sz w:val="18"/>
                <w:szCs w:val="18"/>
                <w:highlight w:val="none"/>
                <w:u w:val="none"/>
                <w:lang w:eastAsia="zh-CN"/>
              </w:rPr>
              <w:t>、通宝</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26F2D07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59E9506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6B6AAB8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3025</w:t>
            </w:r>
          </w:p>
        </w:tc>
        <w:tc>
          <w:tcPr>
            <w:tcW w:w="231" w:type="pct"/>
            <w:shd w:val="clear" w:color="auto" w:fill="auto"/>
            <w:noWrap/>
            <w:vAlign w:val="center"/>
          </w:tcPr>
          <w:p w14:paraId="718D3D4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3025</w:t>
            </w:r>
          </w:p>
        </w:tc>
      </w:tr>
      <w:tr w14:paraId="2DF1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noWrap/>
            <w:vAlign w:val="center"/>
          </w:tcPr>
          <w:p w14:paraId="2B8D4CC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w:t>
            </w:r>
          </w:p>
        </w:tc>
        <w:tc>
          <w:tcPr>
            <w:tcW w:w="548" w:type="pct"/>
            <w:shd w:val="clear" w:color="auto" w:fill="auto"/>
            <w:vAlign w:val="center"/>
          </w:tcPr>
          <w:p w14:paraId="35B30BD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双温四门高身柜</w:t>
            </w:r>
          </w:p>
        </w:tc>
        <w:tc>
          <w:tcPr>
            <w:tcW w:w="502" w:type="pct"/>
            <w:shd w:val="clear" w:color="auto" w:fill="auto"/>
            <w:vAlign w:val="top"/>
          </w:tcPr>
          <w:p w14:paraId="0525469B">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-24765</wp:posOffset>
                  </wp:positionH>
                  <wp:positionV relativeFrom="paragraph">
                    <wp:posOffset>902335</wp:posOffset>
                  </wp:positionV>
                  <wp:extent cx="841375" cy="775970"/>
                  <wp:effectExtent l="0" t="0" r="15875" b="5080"/>
                  <wp:wrapNone/>
                  <wp:docPr id="5" name="ID_F1C62B8C24E84C4DBA9A7B6EC6759F2E"/>
                  <wp:cNvGraphicFramePr/>
                  <a:graphic xmlns:a="http://schemas.openxmlformats.org/drawingml/2006/main">
                    <a:graphicData uri="http://schemas.openxmlformats.org/drawingml/2006/picture">
                      <pic:pic xmlns:pic="http://schemas.openxmlformats.org/drawingml/2006/picture">
                        <pic:nvPicPr>
                          <pic:cNvPr id="5" name="ID_F1C62B8C24E84C4DBA9A7B6EC6759F2E"/>
                          <pic:cNvPicPr/>
                        </pic:nvPicPr>
                        <pic:blipFill>
                          <a:blip r:embed="rId7"/>
                          <a:stretch>
                            <a:fillRect/>
                          </a:stretch>
                        </pic:blipFill>
                        <pic:spPr>
                          <a:xfrm>
                            <a:off x="0" y="0"/>
                            <a:ext cx="841375" cy="775970"/>
                          </a:xfrm>
                          <a:prstGeom prst="rect">
                            <a:avLst/>
                          </a:prstGeom>
                          <a:noFill/>
                          <a:ln>
                            <a:noFill/>
                          </a:ln>
                        </pic:spPr>
                      </pic:pic>
                    </a:graphicData>
                  </a:graphic>
                </wp:anchor>
              </w:drawing>
            </w:r>
          </w:p>
        </w:tc>
        <w:tc>
          <w:tcPr>
            <w:tcW w:w="832" w:type="pct"/>
            <w:shd w:val="clear" w:color="auto" w:fill="auto"/>
            <w:vAlign w:val="center"/>
          </w:tcPr>
          <w:p w14:paraId="2C81042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0AB3E3CC">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p>
          <w:p w14:paraId="606845AB">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1.有效容积：≥900L（冷冻≥450L/冷藏≥450L）</w:t>
            </w:r>
          </w:p>
          <w:p w14:paraId="22395509">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2.双温四门设计，冷藏室工作温度维持0℃～10℃，冷冻室工作温度维持-6℃～-18℃，风冷制冷，双路独立温控</w:t>
            </w:r>
          </w:p>
          <w:p w14:paraId="7AEA6D9A">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3.门体整体发泡结构，配自动回弹或助力闭合功能及磁性密封条</w:t>
            </w:r>
          </w:p>
          <w:p w14:paraId="065A1C84">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4.内部多层可调层架，底部配可调节防滑地脚或万向轮</w:t>
            </w:r>
          </w:p>
          <w:p w14:paraId="3AAEB93D">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二、材质与工艺：</w:t>
            </w:r>
          </w:p>
          <w:p w14:paraId="6EEE8AE3">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1.机体、门体、内胆：201不锈钢</w:t>
            </w:r>
          </w:p>
          <w:p w14:paraId="2A734CA9">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2.制冷系统：全铜管，R290、R600a等环保制冷剂</w:t>
            </w:r>
          </w:p>
          <w:p w14:paraId="7B64B875">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3.门封条：优质磁性橡胶</w:t>
            </w:r>
          </w:p>
          <w:p w14:paraId="6580B4F4">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4.保温层：环戊烷发泡材料，厚度≥50mm</w:t>
            </w:r>
          </w:p>
          <w:p w14:paraId="491B0BA1">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5.中梁加热除霜</w:t>
            </w:r>
          </w:p>
          <w:p w14:paraId="14A94AE4">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三、电气性能与认证：</w:t>
            </w:r>
          </w:p>
          <w:p w14:paraId="5DC2744B">
            <w:pPr>
              <w:keepNext w:val="0"/>
              <w:keepLines w:val="0"/>
              <w:widowControl/>
              <w:numPr>
                <w:ilvl w:val="0"/>
                <w:numId w:val="0"/>
              </w:numPr>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1.电压/频率：220V/50Hz</w:t>
            </w:r>
          </w:p>
          <w:p w14:paraId="59E69B98">
            <w:pPr>
              <w:keepNext w:val="0"/>
              <w:keepLines w:val="0"/>
              <w:widowControl/>
              <w:numPr>
                <w:ilvl w:val="0"/>
                <w:numId w:val="0"/>
              </w:numPr>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lang w:eastAsia="zh-CN" w:bidi="ar"/>
              </w:rPr>
            </w:pPr>
            <w:r>
              <w:rPr>
                <w:rFonts w:hint="eastAsia" w:ascii="仿宋" w:hAnsi="仿宋" w:eastAsia="仿宋" w:cs="仿宋"/>
                <w:i w:val="0"/>
                <w:iCs w:val="0"/>
                <w:color w:val="000000"/>
                <w:kern w:val="0"/>
                <w:sz w:val="18"/>
                <w:szCs w:val="18"/>
                <w:highlight w:val="none"/>
                <w:u w:val="none"/>
                <w:lang w:eastAsia="zh-CN" w:bidi="ar"/>
              </w:rPr>
              <w:t>2</w:t>
            </w:r>
            <w:r>
              <w:rPr>
                <w:rFonts w:hint="eastAsia" w:ascii="仿宋" w:hAnsi="仿宋" w:eastAsia="仿宋" w:cs="仿宋"/>
                <w:i w:val="0"/>
                <w:iCs w:val="0"/>
                <w:color w:val="000000"/>
                <w:kern w:val="0"/>
                <w:sz w:val="18"/>
                <w:szCs w:val="18"/>
                <w:highlight w:val="none"/>
                <w:u w:val="none"/>
                <w:lang w:bidi="ar"/>
              </w:rPr>
              <w:t>.能效等级</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一级</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依据 GB 26920-2024</w:t>
            </w:r>
            <w:r>
              <w:rPr>
                <w:rFonts w:hint="eastAsia" w:ascii="仿宋" w:hAnsi="仿宋" w:eastAsia="仿宋" w:cs="仿宋"/>
                <w:i w:val="0"/>
                <w:iCs w:val="0"/>
                <w:color w:val="000000"/>
                <w:kern w:val="0"/>
                <w:sz w:val="18"/>
                <w:szCs w:val="18"/>
                <w:highlight w:val="none"/>
                <w:u w:val="none"/>
                <w:lang w:bidi="ar"/>
              </w:rPr>
              <w:t>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fill="auto"/>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进行判定</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以下任一证明材料（须</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加盖供应商公章</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（1）</w:t>
            </w:r>
            <w:r>
              <w:rPr>
                <w:rFonts w:hint="eastAsia" w:ascii="仿宋" w:hAnsi="仿宋" w:eastAsia="仿宋" w:cs="仿宋"/>
                <w:i w:val="0"/>
                <w:iCs w:val="0"/>
                <w:caps w:val="0"/>
                <w:color w:val="000000"/>
                <w:spacing w:val="0"/>
                <w:kern w:val="0"/>
                <w:sz w:val="18"/>
                <w:szCs w:val="18"/>
                <w:highlight w:val="none"/>
                <w:u w:val="none"/>
                <w:shd w:val="clear"/>
                <w:lang w:bidi="ar"/>
              </w:rPr>
              <w:t>中国能效标识网（</w:t>
            </w:r>
            <w:r>
              <w:rPr>
                <w:rFonts w:hint="eastAsia" w:ascii="仿宋" w:hAnsi="仿宋" w:eastAsia="仿宋" w:cs="仿宋"/>
                <w:i w:val="0"/>
                <w:iCs w:val="0"/>
                <w:caps w:val="0"/>
                <w:color w:val="000000"/>
                <w:spacing w:val="0"/>
                <w:kern w:val="0"/>
                <w:sz w:val="18"/>
                <w:szCs w:val="18"/>
                <w:highlight w:val="none"/>
                <w:u w:val="none"/>
                <w:shd w:val="clear"/>
                <w:lang w:bidi="ar"/>
              </w:rPr>
              <w:fldChar w:fldCharType="begin"/>
            </w:r>
            <w:r>
              <w:rPr>
                <w:rFonts w:hint="eastAsia" w:ascii="仿宋" w:hAnsi="仿宋" w:eastAsia="仿宋" w:cs="仿宋"/>
                <w:i w:val="0"/>
                <w:iCs w:val="0"/>
                <w:caps w:val="0"/>
                <w:color w:val="000000"/>
                <w:spacing w:val="0"/>
                <w:kern w:val="0"/>
                <w:sz w:val="18"/>
                <w:szCs w:val="18"/>
                <w:highlight w:val="none"/>
                <w:u w:val="none"/>
                <w:shd w:val="clear"/>
                <w:lang w:bidi="ar"/>
              </w:rPr>
              <w:instrText xml:space="preserve"> HYPERLINK "https://www.energylabel.com.cn/" \t "https://chat.deepseek.com/a/chat/s/_blank" </w:instrText>
            </w:r>
            <w:r>
              <w:rPr>
                <w:rFonts w:hint="eastAsia" w:ascii="仿宋" w:hAnsi="仿宋" w:eastAsia="仿宋" w:cs="仿宋"/>
                <w:i w:val="0"/>
                <w:iCs w:val="0"/>
                <w:caps w:val="0"/>
                <w:color w:val="000000"/>
                <w:spacing w:val="0"/>
                <w:kern w:val="0"/>
                <w:sz w:val="18"/>
                <w:szCs w:val="18"/>
                <w:highlight w:val="none"/>
                <w:u w:val="none"/>
                <w:shd w:val="clear"/>
                <w:lang w:bidi="ar"/>
              </w:rPr>
              <w:fldChar w:fldCharType="separate"/>
            </w:r>
            <w:r>
              <w:rPr>
                <w:rFonts w:hint="eastAsia" w:ascii="仿宋" w:hAnsi="仿宋" w:eastAsia="仿宋" w:cs="仿宋"/>
                <w:i w:val="0"/>
                <w:iCs w:val="0"/>
                <w:caps w:val="0"/>
                <w:color w:val="000000"/>
                <w:spacing w:val="0"/>
                <w:kern w:val="0"/>
                <w:sz w:val="18"/>
                <w:szCs w:val="18"/>
                <w:highlight w:val="none"/>
                <w:u w:val="none"/>
                <w:shd w:val="clear"/>
                <w:lang w:bidi="ar"/>
              </w:rPr>
              <w:t>https://www.energylabel.com.cn</w:t>
            </w:r>
            <w:r>
              <w:rPr>
                <w:rFonts w:hint="eastAsia" w:ascii="仿宋" w:hAnsi="仿宋" w:eastAsia="仿宋" w:cs="仿宋"/>
                <w:i w:val="0"/>
                <w:iCs w:val="0"/>
                <w:caps w:val="0"/>
                <w:color w:val="000000"/>
                <w:spacing w:val="0"/>
                <w:kern w:val="0"/>
                <w:sz w:val="18"/>
                <w:szCs w:val="18"/>
                <w:highlight w:val="none"/>
                <w:u w:val="none"/>
                <w:shd w:val="clear"/>
                <w:lang w:bidi="ar"/>
              </w:rPr>
              <w:fldChar w:fldCharType="end"/>
            </w:r>
            <w:r>
              <w:rPr>
                <w:rFonts w:hint="eastAsia" w:ascii="仿宋" w:hAnsi="仿宋" w:eastAsia="仿宋" w:cs="仿宋"/>
                <w:i w:val="0"/>
                <w:iCs w:val="0"/>
                <w:caps w:val="0"/>
                <w:color w:val="000000"/>
                <w:spacing w:val="0"/>
                <w:kern w:val="0"/>
                <w:sz w:val="18"/>
                <w:szCs w:val="18"/>
                <w:highlight w:val="none"/>
                <w:u w:val="none"/>
                <w:shd w:val="clear"/>
                <w:lang w:bidi="ar"/>
              </w:rPr>
              <w:t>）备案查询截图（截图须清晰显示产品型号</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能效等级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及依据的</w:t>
            </w:r>
            <w:r>
              <w:rPr>
                <w:rFonts w:hint="eastAsia" w:ascii="仿宋" w:hAnsi="仿宋" w:eastAsia="仿宋" w:cs="仿宋"/>
                <w:i w:val="0"/>
                <w:iCs w:val="0"/>
                <w:caps w:val="0"/>
                <w:color w:val="000000"/>
                <w:spacing w:val="0"/>
                <w:kern w:val="0"/>
                <w:sz w:val="18"/>
                <w:szCs w:val="18"/>
                <w:highlight w:val="none"/>
                <w:u w:val="none"/>
                <w:shd w:val="clear"/>
                <w:lang w:bidi="ar"/>
              </w:rPr>
              <w:t>标准）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（须清晰显示能效等级判定结果，并载明检测依据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p>
          <w:p w14:paraId="747FB11A">
            <w:pPr>
              <w:keepNext w:val="0"/>
              <w:keepLines w:val="0"/>
              <w:widowControl/>
              <w:numPr>
                <w:ilvl w:val="-1"/>
                <w:numId w:val="0"/>
              </w:numPr>
              <w:suppressLineNumbers w:val="0"/>
              <w:jc w:val="left"/>
              <w:textAlignment w:val="auto"/>
              <w:rPr>
                <w:rFonts w:hint="eastAsia" w:ascii="仿宋" w:hAnsi="仿宋" w:eastAsia="仿宋" w:cs="仿宋"/>
                <w:i w:val="0"/>
                <w:iCs w:val="0"/>
                <w:color w:val="000000"/>
                <w:kern w:val="0"/>
                <w:sz w:val="18"/>
                <w:szCs w:val="18"/>
                <w:highlight w:val="none"/>
                <w:u w:val="none"/>
                <w:lang w:eastAsia="zh-CN" w:bidi="ar"/>
              </w:rPr>
            </w:pPr>
            <w:r>
              <w:rPr>
                <w:rFonts w:hint="eastAsia" w:ascii="仿宋" w:hAnsi="仿宋" w:eastAsia="仿宋" w:cs="仿宋"/>
                <w:i w:val="0"/>
                <w:iCs w:val="0"/>
                <w:caps w:val="0"/>
                <w:color w:val="000000"/>
                <w:spacing w:val="0"/>
                <w:kern w:val="0"/>
                <w:sz w:val="18"/>
                <w:szCs w:val="18"/>
                <w:highlight w:val="none"/>
                <w:u w:val="none"/>
                <w:shd w:val="clear"/>
                <w:lang w:val="en-US" w:eastAsia="zh-CN" w:bidi="ar"/>
              </w:rPr>
              <w:t>说明：（1）</w:t>
            </w:r>
            <w:r>
              <w:rPr>
                <w:rFonts w:hint="eastAsia" w:ascii="仿宋" w:hAnsi="仿宋" w:eastAsia="仿宋" w:cs="仿宋"/>
                <w:i w:val="0"/>
                <w:iCs w:val="0"/>
                <w:caps w:val="0"/>
                <w:color w:val="000000"/>
                <w:spacing w:val="0"/>
                <w:kern w:val="0"/>
                <w:sz w:val="18"/>
                <w:szCs w:val="18"/>
                <w:highlight w:val="none"/>
                <w:u w:val="none"/>
                <w:shd w:val="clear"/>
                <w:lang w:bidi="ar"/>
              </w:rPr>
              <w:t>评审时</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专家</w:t>
            </w:r>
            <w:r>
              <w:rPr>
                <w:rFonts w:hint="eastAsia" w:ascii="仿宋" w:hAnsi="仿宋" w:eastAsia="仿宋" w:cs="仿宋"/>
                <w:i w:val="0"/>
                <w:iCs w:val="0"/>
                <w:caps w:val="0"/>
                <w:color w:val="000000"/>
                <w:spacing w:val="0"/>
                <w:kern w:val="0"/>
                <w:sz w:val="18"/>
                <w:szCs w:val="18"/>
                <w:highlight w:val="none"/>
                <w:u w:val="none"/>
                <w:shd w:val="clear"/>
                <w:lang w:bidi="ar"/>
              </w:rPr>
              <w:t>有权通过中国能效标识网对能效等级进行核实。核实结果与供应商提供的证明材料不一致的，以中国能效标识网备案数据为准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如所投产品不在中国能效标识网备案范围内，则以检测报告为准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证明材料即</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或</w:t>
            </w:r>
            <w:r>
              <w:rPr>
                <w:rFonts w:hint="eastAsia" w:ascii="仿宋" w:hAnsi="仿宋" w:eastAsia="仿宋" w:cs="仿宋"/>
                <w:i w:val="0"/>
                <w:iCs w:val="0"/>
                <w:caps w:val="0"/>
                <w:color w:val="000000"/>
                <w:spacing w:val="0"/>
                <w:kern w:val="0"/>
                <w:sz w:val="18"/>
                <w:szCs w:val="18"/>
                <w:highlight w:val="none"/>
                <w:u w:val="none"/>
                <w:shd w:val="clear"/>
                <w:lang w:bidi="ar"/>
              </w:rPr>
              <w:t>备案截图所载明的产品型号均须与所投产品型号完全一致，否则视为负偏离。</w:t>
            </w:r>
          </w:p>
          <w:p w14:paraId="37F650B3">
            <w:pPr>
              <w:keepNext w:val="0"/>
              <w:keepLines w:val="0"/>
              <w:widowControl/>
              <w:numPr>
                <w:ilvl w:val="0"/>
                <w:numId w:val="0"/>
              </w:numPr>
              <w:suppressLineNumbers w:val="0"/>
              <w:jc w:val="left"/>
              <w:textAlignment w:val="auto"/>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kern w:val="0"/>
                <w:sz w:val="18"/>
                <w:szCs w:val="18"/>
                <w:highlight w:val="none"/>
                <w:u w:val="none"/>
                <w:lang w:val="en-US" w:eastAsia="zh-CN" w:bidi="ar"/>
              </w:rPr>
              <w:t>★3</w:t>
            </w:r>
            <w:r>
              <w:rPr>
                <w:rFonts w:hint="eastAsia" w:ascii="仿宋" w:hAnsi="仿宋" w:eastAsia="仿宋" w:cs="仿宋"/>
                <w:i w:val="0"/>
                <w:iCs w:val="0"/>
                <w:color w:val="000000"/>
                <w:kern w:val="0"/>
                <w:sz w:val="18"/>
                <w:szCs w:val="18"/>
                <w:highlight w:val="none"/>
                <w:u w:val="none"/>
                <w:lang w:bidi="ar"/>
              </w:rPr>
              <w:t>.整机性能检测：所投产品须依据SB/T10794.2-2012标准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bidi="ar"/>
              </w:rPr>
              <w:t>进行检测，</w:t>
            </w:r>
            <w:r>
              <w:rPr>
                <w:rFonts w:hint="eastAsia" w:ascii="仿宋" w:hAnsi="仿宋" w:eastAsia="仿宋" w:cs="仿宋"/>
                <w:i w:val="0"/>
                <w:iCs w:val="0"/>
                <w:color w:val="000000"/>
                <w:kern w:val="0"/>
                <w:sz w:val="18"/>
                <w:szCs w:val="18"/>
                <w:highlight w:val="none"/>
                <w:u w:val="none"/>
                <w:lang w:val="en-US" w:eastAsia="zh-CN" w:bidi="ar"/>
              </w:rPr>
              <w:t>检测项目至少包括：</w:t>
            </w:r>
            <w:r>
              <w:rPr>
                <w:rFonts w:hint="eastAsia" w:ascii="仿宋" w:hAnsi="仿宋" w:eastAsia="仿宋" w:cs="仿宋"/>
                <w:i w:val="0"/>
                <w:iCs w:val="0"/>
                <w:color w:val="000000"/>
                <w:kern w:val="0"/>
                <w:sz w:val="18"/>
                <w:szCs w:val="18"/>
                <w:highlight w:val="none"/>
                <w:u w:val="none"/>
                <w:lang w:bidi="ar"/>
              </w:rPr>
              <w:t>总容积、冷却速度、耗电量、负载温度回升时间、储藏温度、噪声、制冷系统密封性能</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上述所有</w:t>
            </w:r>
            <w:r>
              <w:rPr>
                <w:rFonts w:hint="eastAsia" w:ascii="仿宋" w:hAnsi="仿宋" w:eastAsia="仿宋" w:cs="仿宋"/>
                <w:i w:val="0"/>
                <w:iCs w:val="0"/>
                <w:color w:val="000000"/>
                <w:kern w:val="0"/>
                <w:sz w:val="18"/>
                <w:szCs w:val="18"/>
                <w:highlight w:val="none"/>
                <w:u w:val="none"/>
                <w:lang w:bidi="ar"/>
              </w:rPr>
              <w:t>检测结果均须为合格。</w:t>
            </w:r>
            <w:r>
              <w:rPr>
                <w:rFonts w:hint="eastAsia" w:ascii="仿宋" w:hAnsi="仿宋" w:eastAsia="仿宋" w:cs="仿宋"/>
                <w:i w:val="0"/>
                <w:iCs w:val="0"/>
                <w:color w:val="000000"/>
                <w:kern w:val="0"/>
                <w:sz w:val="18"/>
                <w:szCs w:val="18"/>
                <w:highlight w:val="none"/>
                <w:u w:val="none"/>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fill="auto"/>
                <w:lang w:bidi="ar"/>
              </w:rPr>
              <w:t>（须清晰显示上述全部检测项目及对应结论</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tc>
        <w:tc>
          <w:tcPr>
            <w:tcW w:w="376" w:type="pct"/>
            <w:shd w:val="clear" w:color="auto" w:fill="auto"/>
            <w:noWrap/>
            <w:vAlign w:val="center"/>
          </w:tcPr>
          <w:p w14:paraId="7D16910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星星、海尔、澳柯玛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1A0176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43DBCF84">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148F8291">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6149</w:t>
            </w:r>
          </w:p>
        </w:tc>
        <w:tc>
          <w:tcPr>
            <w:tcW w:w="231" w:type="pct"/>
            <w:shd w:val="clear" w:color="auto" w:fill="auto"/>
            <w:noWrap/>
            <w:vAlign w:val="center"/>
          </w:tcPr>
          <w:p w14:paraId="31693F15">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12298</w:t>
            </w:r>
          </w:p>
        </w:tc>
      </w:tr>
      <w:tr w14:paraId="2500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noWrap/>
            <w:vAlign w:val="center"/>
          </w:tcPr>
          <w:p w14:paraId="2C34407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C</w:t>
            </w:r>
          </w:p>
        </w:tc>
        <w:tc>
          <w:tcPr>
            <w:tcW w:w="548" w:type="pct"/>
            <w:shd w:val="clear" w:color="auto" w:fill="auto"/>
            <w:vAlign w:val="center"/>
          </w:tcPr>
          <w:p w14:paraId="7E938D3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蔬菜加工间/肉类加工间/水产加工间</w:t>
            </w:r>
          </w:p>
        </w:tc>
        <w:tc>
          <w:tcPr>
            <w:tcW w:w="502" w:type="pct"/>
            <w:shd w:val="clear" w:color="auto" w:fill="auto"/>
            <w:noWrap/>
            <w:vAlign w:val="center"/>
          </w:tcPr>
          <w:p w14:paraId="6BB2F081">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5C916DCA">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409B50D2">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71E1B553">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526E6A34">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563DA411">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6ECE2441">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502A7BA4">
            <w:pPr>
              <w:jc w:val="center"/>
              <w:rPr>
                <w:rFonts w:hint="eastAsia" w:ascii="仿宋" w:hAnsi="仿宋" w:eastAsia="仿宋" w:cs="仿宋"/>
                <w:i w:val="0"/>
                <w:iCs w:val="0"/>
                <w:color w:val="000000"/>
                <w:sz w:val="18"/>
                <w:szCs w:val="18"/>
                <w:highlight w:val="none"/>
                <w:u w:val="none"/>
              </w:rPr>
            </w:pPr>
          </w:p>
        </w:tc>
      </w:tr>
      <w:tr w14:paraId="373F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noWrap/>
            <w:vAlign w:val="center"/>
          </w:tcPr>
          <w:p w14:paraId="4764B50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w:t>
            </w:r>
          </w:p>
        </w:tc>
        <w:tc>
          <w:tcPr>
            <w:tcW w:w="548" w:type="pct"/>
            <w:shd w:val="clear" w:color="auto" w:fill="auto"/>
            <w:vAlign w:val="center"/>
          </w:tcPr>
          <w:p w14:paraId="7E686BA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773034C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-3175</wp:posOffset>
                  </wp:positionH>
                  <wp:positionV relativeFrom="paragraph">
                    <wp:posOffset>-98425</wp:posOffset>
                  </wp:positionV>
                  <wp:extent cx="789940" cy="524510"/>
                  <wp:effectExtent l="0" t="0" r="10160" b="8890"/>
                  <wp:wrapNone/>
                  <wp:docPr id="45" name="ID_497AC02572CD494D8A4653A32114579D"/>
                  <wp:cNvGraphicFramePr/>
                  <a:graphic xmlns:a="http://schemas.openxmlformats.org/drawingml/2006/main">
                    <a:graphicData uri="http://schemas.openxmlformats.org/drawingml/2006/picture">
                      <pic:pic xmlns:pic="http://schemas.openxmlformats.org/drawingml/2006/picture">
                        <pic:nvPicPr>
                          <pic:cNvPr id="45" name="ID_497AC02572CD494D8A4653A32114579D"/>
                          <pic:cNvPicPr/>
                        </pic:nvPicPr>
                        <pic:blipFill>
                          <a:blip r:embed="rId8"/>
                          <a:stretch>
                            <a:fillRect/>
                          </a:stretch>
                        </pic:blipFill>
                        <pic:spPr>
                          <a:xfrm>
                            <a:off x="0" y="0"/>
                            <a:ext cx="789940" cy="524510"/>
                          </a:xfrm>
                          <a:prstGeom prst="rect">
                            <a:avLst/>
                          </a:prstGeom>
                          <a:noFill/>
                          <a:ln>
                            <a:noFill/>
                          </a:ln>
                        </pic:spPr>
                      </pic:pic>
                    </a:graphicData>
                  </a:graphic>
                </wp:anchor>
              </w:drawing>
            </w:r>
          </w:p>
        </w:tc>
        <w:tc>
          <w:tcPr>
            <w:tcW w:w="832" w:type="pct"/>
            <w:shd w:val="clear" w:color="auto" w:fill="auto"/>
            <w:vAlign w:val="center"/>
          </w:tcPr>
          <w:p w14:paraId="6BD6EA9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1B4B48A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580729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5117351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9A2300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7DA3A9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503939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1E60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270" w:type="pct"/>
            <w:shd w:val="clear" w:color="auto" w:fill="auto"/>
            <w:noWrap/>
            <w:vAlign w:val="center"/>
          </w:tcPr>
          <w:p w14:paraId="2043058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w:t>
            </w:r>
          </w:p>
        </w:tc>
        <w:tc>
          <w:tcPr>
            <w:tcW w:w="548" w:type="pct"/>
            <w:shd w:val="clear" w:color="auto" w:fill="auto"/>
            <w:vAlign w:val="center"/>
          </w:tcPr>
          <w:p w14:paraId="4E26C25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四层栅格货架</w:t>
            </w:r>
          </w:p>
        </w:tc>
        <w:tc>
          <w:tcPr>
            <w:tcW w:w="502" w:type="pct"/>
            <w:shd w:val="clear" w:color="auto" w:fill="auto"/>
            <w:noWrap/>
            <w:vAlign w:val="center"/>
          </w:tcPr>
          <w:p w14:paraId="4D27563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wp:posOffset>
                  </wp:positionH>
                  <wp:positionV relativeFrom="paragraph">
                    <wp:posOffset>111125</wp:posOffset>
                  </wp:positionV>
                  <wp:extent cx="713105" cy="801370"/>
                  <wp:effectExtent l="0" t="0" r="10795" b="17780"/>
                  <wp:wrapNone/>
                  <wp:docPr id="20" name="ID_B8E5471E39AE47AFAA02E4901C2A109A"/>
                  <wp:cNvGraphicFramePr/>
                  <a:graphic xmlns:a="http://schemas.openxmlformats.org/drawingml/2006/main">
                    <a:graphicData uri="http://schemas.openxmlformats.org/drawingml/2006/picture">
                      <pic:pic xmlns:pic="http://schemas.openxmlformats.org/drawingml/2006/picture">
                        <pic:nvPicPr>
                          <pic:cNvPr id="20" name="ID_B8E5471E39AE47AFAA02E4901C2A109A"/>
                          <pic:cNvPicPr/>
                        </pic:nvPicPr>
                        <pic:blipFill>
                          <a:blip r:embed="rId9"/>
                          <a:stretch>
                            <a:fillRect/>
                          </a:stretch>
                        </pic:blipFill>
                        <pic:spPr>
                          <a:xfrm>
                            <a:off x="0" y="0"/>
                            <a:ext cx="713105" cy="801370"/>
                          </a:xfrm>
                          <a:prstGeom prst="rect">
                            <a:avLst/>
                          </a:prstGeom>
                          <a:noFill/>
                          <a:ln>
                            <a:noFill/>
                          </a:ln>
                        </pic:spPr>
                      </pic:pic>
                    </a:graphicData>
                  </a:graphic>
                </wp:anchor>
              </w:drawing>
            </w:r>
          </w:p>
        </w:tc>
        <w:tc>
          <w:tcPr>
            <w:tcW w:w="832" w:type="pct"/>
            <w:shd w:val="clear" w:color="auto" w:fill="auto"/>
            <w:vAlign w:val="center"/>
          </w:tcPr>
          <w:p w14:paraId="6AFE03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1200×500×1550mm</w:t>
            </w:r>
          </w:p>
        </w:tc>
        <w:tc>
          <w:tcPr>
            <w:tcW w:w="1559" w:type="pct"/>
            <w:shd w:val="clear" w:color="auto" w:fill="auto"/>
            <w:vAlign w:val="center"/>
          </w:tcPr>
          <w:p w14:paraId="0E3423A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一、结构：层架整体使用框架嵌入式结构。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1.主框架：38×25mm304不锈钢方管，厚度1.2mm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2.层架间隔条：25×13mm304不锈钢方管，厚度1.0mm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3.柱脚：Φ38mm304不锈钢管及可调高低不锈钢子弹脚</w:t>
            </w:r>
          </w:p>
        </w:tc>
        <w:tc>
          <w:tcPr>
            <w:tcW w:w="376" w:type="pct"/>
            <w:shd w:val="clear" w:color="auto" w:fill="auto"/>
            <w:noWrap/>
            <w:vAlign w:val="center"/>
          </w:tcPr>
          <w:p w14:paraId="65441AA7">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43CA34D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noWrap/>
            <w:vAlign w:val="center"/>
          </w:tcPr>
          <w:p w14:paraId="0DA42B5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个</w:t>
            </w:r>
          </w:p>
        </w:tc>
        <w:tc>
          <w:tcPr>
            <w:tcW w:w="226" w:type="pct"/>
            <w:shd w:val="clear" w:color="auto" w:fill="auto"/>
            <w:noWrap/>
            <w:vAlign w:val="center"/>
          </w:tcPr>
          <w:p w14:paraId="7B939E0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231A23D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4050</w:t>
            </w:r>
          </w:p>
        </w:tc>
      </w:tr>
      <w:tr w14:paraId="2B6C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trPr>
        <w:tc>
          <w:tcPr>
            <w:tcW w:w="270" w:type="pct"/>
            <w:shd w:val="clear" w:color="auto" w:fill="auto"/>
            <w:noWrap/>
            <w:vAlign w:val="center"/>
          </w:tcPr>
          <w:p w14:paraId="58444BA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w:t>
            </w:r>
          </w:p>
        </w:tc>
        <w:tc>
          <w:tcPr>
            <w:tcW w:w="548" w:type="pct"/>
            <w:shd w:val="clear" w:color="auto" w:fill="auto"/>
            <w:vAlign w:val="center"/>
          </w:tcPr>
          <w:p w14:paraId="742CAFE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大单星盆台</w:t>
            </w:r>
          </w:p>
        </w:tc>
        <w:tc>
          <w:tcPr>
            <w:tcW w:w="502" w:type="pct"/>
            <w:shd w:val="clear" w:color="auto" w:fill="auto"/>
            <w:noWrap/>
            <w:vAlign w:val="center"/>
          </w:tcPr>
          <w:p w14:paraId="4CA0C65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8255</wp:posOffset>
                  </wp:positionH>
                  <wp:positionV relativeFrom="paragraph">
                    <wp:posOffset>60960</wp:posOffset>
                  </wp:positionV>
                  <wp:extent cx="722630" cy="770890"/>
                  <wp:effectExtent l="0" t="0" r="1270" b="10160"/>
                  <wp:wrapNone/>
                  <wp:docPr id="46" name="ID_5D21CD6A788D419CA495605E35C9CB46"/>
                  <wp:cNvGraphicFramePr/>
                  <a:graphic xmlns:a="http://schemas.openxmlformats.org/drawingml/2006/main">
                    <a:graphicData uri="http://schemas.openxmlformats.org/drawingml/2006/picture">
                      <pic:pic xmlns:pic="http://schemas.openxmlformats.org/drawingml/2006/picture">
                        <pic:nvPicPr>
                          <pic:cNvPr id="46" name="ID_5D21CD6A788D419CA495605E35C9CB46"/>
                          <pic:cNvPicPr/>
                        </pic:nvPicPr>
                        <pic:blipFill>
                          <a:blip r:embed="rId10"/>
                          <a:stretch>
                            <a:fillRect/>
                          </a:stretch>
                        </pic:blipFill>
                        <pic:spPr>
                          <a:xfrm>
                            <a:off x="0" y="0"/>
                            <a:ext cx="722630" cy="770890"/>
                          </a:xfrm>
                          <a:prstGeom prst="rect">
                            <a:avLst/>
                          </a:prstGeom>
                          <a:noFill/>
                          <a:ln>
                            <a:noFill/>
                          </a:ln>
                        </pic:spPr>
                      </pic:pic>
                    </a:graphicData>
                  </a:graphic>
                </wp:anchor>
              </w:drawing>
            </w:r>
          </w:p>
        </w:tc>
        <w:tc>
          <w:tcPr>
            <w:tcW w:w="832" w:type="pct"/>
            <w:shd w:val="clear" w:color="auto" w:fill="auto"/>
            <w:vAlign w:val="center"/>
          </w:tcPr>
          <w:p w14:paraId="5D7BDE5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1200×700×800mm，后挡水高度150mm</w:t>
            </w:r>
          </w:p>
        </w:tc>
        <w:tc>
          <w:tcPr>
            <w:tcW w:w="1559" w:type="pct"/>
            <w:shd w:val="clear" w:color="auto" w:fill="auto"/>
            <w:vAlign w:val="center"/>
          </w:tcPr>
          <w:p w14:paraId="4B1F013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一、结构：单星盆带背挡水及前滴水沿，盆斗与台面一体拉伸或无缝焊接，台面四周向下双曲压弯≤40mm，支架满焊牢固并配可调节防滑地脚。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noWrap/>
            <w:vAlign w:val="center"/>
          </w:tcPr>
          <w:p w14:paraId="19311DFB">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7E6DE80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noWrap/>
            <w:vAlign w:val="center"/>
          </w:tcPr>
          <w:p w14:paraId="47C9BBA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6051FE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1405</w:t>
            </w:r>
          </w:p>
        </w:tc>
        <w:tc>
          <w:tcPr>
            <w:tcW w:w="231" w:type="pct"/>
            <w:shd w:val="clear" w:color="auto" w:fill="auto"/>
            <w:noWrap/>
            <w:vAlign w:val="center"/>
          </w:tcPr>
          <w:p w14:paraId="6901AD5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4215</w:t>
            </w:r>
          </w:p>
        </w:tc>
      </w:tr>
      <w:tr w14:paraId="73FB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9" w:hRule="atLeast"/>
        </w:trPr>
        <w:tc>
          <w:tcPr>
            <w:tcW w:w="270" w:type="pct"/>
            <w:vMerge w:val="restart"/>
            <w:shd w:val="clear" w:color="auto" w:fill="auto"/>
            <w:noWrap/>
            <w:vAlign w:val="center"/>
          </w:tcPr>
          <w:p w14:paraId="6F40333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w:t>
            </w:r>
          </w:p>
        </w:tc>
        <w:tc>
          <w:tcPr>
            <w:tcW w:w="548" w:type="pct"/>
            <w:vMerge w:val="restart"/>
            <w:shd w:val="clear" w:color="auto" w:fill="auto"/>
            <w:vAlign w:val="center"/>
          </w:tcPr>
          <w:p w14:paraId="037AF17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vMerge w:val="restart"/>
            <w:shd w:val="clear" w:color="auto" w:fill="auto"/>
            <w:noWrap/>
            <w:vAlign w:val="center"/>
          </w:tcPr>
          <w:p w14:paraId="4845EFA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15875</wp:posOffset>
                  </wp:positionH>
                  <wp:positionV relativeFrom="paragraph">
                    <wp:posOffset>908685</wp:posOffset>
                  </wp:positionV>
                  <wp:extent cx="732790" cy="621030"/>
                  <wp:effectExtent l="0" t="0" r="10160" b="7620"/>
                  <wp:wrapNone/>
                  <wp:docPr id="56" name="ID_7FF4A6914D6C4362ABB39FF04DB4DAA3"/>
                  <wp:cNvGraphicFramePr/>
                  <a:graphic xmlns:a="http://schemas.openxmlformats.org/drawingml/2006/main">
                    <a:graphicData uri="http://schemas.openxmlformats.org/drawingml/2006/picture">
                      <pic:pic xmlns:pic="http://schemas.openxmlformats.org/drawingml/2006/picture">
                        <pic:nvPicPr>
                          <pic:cNvPr id="56" name="ID_7FF4A6914D6C4362ABB39FF04DB4DAA3"/>
                          <pic:cNvPicPr/>
                        </pic:nvPicPr>
                        <pic:blipFill>
                          <a:blip r:embed="rId11"/>
                          <a:stretch>
                            <a:fillRect/>
                          </a:stretch>
                        </pic:blipFill>
                        <pic:spPr>
                          <a:xfrm>
                            <a:off x="0" y="0"/>
                            <a:ext cx="732790" cy="621030"/>
                          </a:xfrm>
                          <a:prstGeom prst="rect">
                            <a:avLst/>
                          </a:prstGeom>
                          <a:noFill/>
                          <a:ln>
                            <a:noFill/>
                          </a:ln>
                        </pic:spPr>
                      </pic:pic>
                    </a:graphicData>
                  </a:graphic>
                </wp:anchor>
              </w:drawing>
            </w:r>
          </w:p>
        </w:tc>
        <w:tc>
          <w:tcPr>
            <w:tcW w:w="832" w:type="pct"/>
            <w:shd w:val="clear" w:color="auto" w:fill="auto"/>
            <w:vAlign w:val="center"/>
          </w:tcPr>
          <w:p w14:paraId="6D3887A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1400×700×800mm</w:t>
            </w:r>
          </w:p>
        </w:tc>
        <w:tc>
          <w:tcPr>
            <w:tcW w:w="1559" w:type="pct"/>
            <w:vMerge w:val="restart"/>
            <w:shd w:val="clear" w:color="auto" w:fill="auto"/>
            <w:vAlign w:val="center"/>
          </w:tcPr>
          <w:p w14:paraId="0B35DF0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1.面板：304不锈钢1.2mm厚磨砂板，下垫15mm防水夹板并以0.8mm的优质钢板做底板封板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vMerge w:val="restart"/>
            <w:shd w:val="clear" w:color="auto" w:fill="auto"/>
            <w:noWrap/>
            <w:vAlign w:val="center"/>
          </w:tcPr>
          <w:p w14:paraId="7C3FCBAF">
            <w:pPr>
              <w:jc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定制品</w:t>
            </w:r>
          </w:p>
          <w:p w14:paraId="2DF6C347">
            <w:pPr>
              <w:jc w:val="center"/>
              <w:rPr>
                <w:rFonts w:hint="eastAsia" w:ascii="仿宋" w:hAnsi="仿宋" w:eastAsia="仿宋" w:cs="仿宋"/>
                <w:i w:val="0"/>
                <w:iCs w:val="0"/>
                <w:color w:val="000000"/>
                <w:sz w:val="18"/>
                <w:szCs w:val="18"/>
                <w:highlight w:val="none"/>
                <w:u w:val="none"/>
                <w:lang w:val="en-US" w:eastAsia="zh-CN"/>
              </w:rPr>
            </w:pPr>
          </w:p>
        </w:tc>
        <w:tc>
          <w:tcPr>
            <w:tcW w:w="216" w:type="pct"/>
            <w:shd w:val="clear" w:color="auto" w:fill="auto"/>
            <w:noWrap/>
            <w:vAlign w:val="center"/>
          </w:tcPr>
          <w:p w14:paraId="49DA70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1BCD0A9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975B8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1360</w:t>
            </w:r>
          </w:p>
        </w:tc>
        <w:tc>
          <w:tcPr>
            <w:tcW w:w="231" w:type="pct"/>
            <w:shd w:val="clear" w:color="auto" w:fill="auto"/>
            <w:noWrap/>
            <w:vAlign w:val="center"/>
          </w:tcPr>
          <w:p w14:paraId="539AE79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1360</w:t>
            </w:r>
          </w:p>
        </w:tc>
      </w:tr>
      <w:tr w14:paraId="0715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270" w:type="pct"/>
            <w:vMerge w:val="continue"/>
            <w:shd w:val="clear" w:color="auto" w:fill="auto"/>
            <w:noWrap/>
            <w:vAlign w:val="center"/>
          </w:tcPr>
          <w:p w14:paraId="08EB34A6">
            <w:pPr>
              <w:jc w:val="center"/>
              <w:rPr>
                <w:rFonts w:hint="eastAsia" w:ascii="仿宋" w:hAnsi="仿宋" w:eastAsia="仿宋" w:cs="仿宋"/>
                <w:i w:val="0"/>
                <w:iCs w:val="0"/>
                <w:color w:val="000000"/>
                <w:sz w:val="18"/>
                <w:szCs w:val="18"/>
                <w:highlight w:val="none"/>
                <w:u w:val="none"/>
              </w:rPr>
            </w:pPr>
          </w:p>
        </w:tc>
        <w:tc>
          <w:tcPr>
            <w:tcW w:w="548" w:type="pct"/>
            <w:vMerge w:val="continue"/>
            <w:shd w:val="clear" w:color="auto" w:fill="auto"/>
            <w:vAlign w:val="center"/>
          </w:tcPr>
          <w:p w14:paraId="67A77210">
            <w:pPr>
              <w:jc w:val="center"/>
              <w:rPr>
                <w:rFonts w:hint="eastAsia" w:ascii="仿宋" w:hAnsi="仿宋" w:eastAsia="仿宋" w:cs="仿宋"/>
                <w:i w:val="0"/>
                <w:iCs w:val="0"/>
                <w:color w:val="000000"/>
                <w:sz w:val="18"/>
                <w:szCs w:val="18"/>
                <w:highlight w:val="none"/>
                <w:u w:val="none"/>
              </w:rPr>
            </w:pPr>
          </w:p>
        </w:tc>
        <w:tc>
          <w:tcPr>
            <w:tcW w:w="502" w:type="pct"/>
            <w:vMerge w:val="continue"/>
            <w:shd w:val="clear" w:color="auto" w:fill="auto"/>
            <w:noWrap/>
            <w:vAlign w:val="center"/>
          </w:tcPr>
          <w:p w14:paraId="04B742DC">
            <w:pPr>
              <w:jc w:val="cente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00A7A4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1700×700×800mm</w:t>
            </w:r>
          </w:p>
        </w:tc>
        <w:tc>
          <w:tcPr>
            <w:tcW w:w="1559" w:type="pct"/>
            <w:vMerge w:val="continue"/>
            <w:shd w:val="clear" w:color="auto" w:fill="auto"/>
            <w:vAlign w:val="center"/>
          </w:tcPr>
          <w:p w14:paraId="4B57D3EC">
            <w:pPr>
              <w:jc w:val="left"/>
              <w:rPr>
                <w:rFonts w:hint="eastAsia" w:ascii="仿宋" w:hAnsi="仿宋" w:eastAsia="仿宋" w:cs="仿宋"/>
                <w:i w:val="0"/>
                <w:iCs w:val="0"/>
                <w:color w:val="000000"/>
                <w:sz w:val="18"/>
                <w:szCs w:val="18"/>
                <w:highlight w:val="none"/>
                <w:u w:val="none"/>
              </w:rPr>
            </w:pPr>
          </w:p>
        </w:tc>
        <w:tc>
          <w:tcPr>
            <w:tcW w:w="376" w:type="pct"/>
            <w:vMerge w:val="continue"/>
            <w:shd w:val="clear" w:color="auto" w:fill="auto"/>
            <w:noWrap/>
            <w:vAlign w:val="center"/>
          </w:tcPr>
          <w:p w14:paraId="5419F7B2">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0B4700A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0E3065C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023AABB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1450</w:t>
            </w:r>
          </w:p>
        </w:tc>
        <w:tc>
          <w:tcPr>
            <w:tcW w:w="231" w:type="pct"/>
            <w:shd w:val="clear" w:color="auto" w:fill="auto"/>
            <w:noWrap/>
            <w:vAlign w:val="center"/>
          </w:tcPr>
          <w:p w14:paraId="61182ED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1450</w:t>
            </w:r>
          </w:p>
        </w:tc>
      </w:tr>
      <w:tr w14:paraId="732B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vMerge w:val="continue"/>
            <w:shd w:val="clear" w:color="auto" w:fill="auto"/>
            <w:noWrap/>
            <w:vAlign w:val="center"/>
          </w:tcPr>
          <w:p w14:paraId="456E8C9E">
            <w:pPr>
              <w:jc w:val="center"/>
              <w:rPr>
                <w:rFonts w:hint="eastAsia" w:ascii="仿宋" w:hAnsi="仿宋" w:eastAsia="仿宋" w:cs="仿宋"/>
                <w:i w:val="0"/>
                <w:iCs w:val="0"/>
                <w:color w:val="000000"/>
                <w:sz w:val="18"/>
                <w:szCs w:val="18"/>
                <w:highlight w:val="none"/>
                <w:u w:val="none"/>
              </w:rPr>
            </w:pPr>
          </w:p>
        </w:tc>
        <w:tc>
          <w:tcPr>
            <w:tcW w:w="548" w:type="pct"/>
            <w:vMerge w:val="continue"/>
            <w:shd w:val="clear" w:color="auto" w:fill="auto"/>
            <w:vAlign w:val="center"/>
          </w:tcPr>
          <w:p w14:paraId="16107B7C">
            <w:pPr>
              <w:jc w:val="center"/>
              <w:rPr>
                <w:rFonts w:hint="eastAsia" w:ascii="仿宋" w:hAnsi="仿宋" w:eastAsia="仿宋" w:cs="仿宋"/>
                <w:i w:val="0"/>
                <w:iCs w:val="0"/>
                <w:color w:val="000000"/>
                <w:sz w:val="18"/>
                <w:szCs w:val="18"/>
                <w:highlight w:val="none"/>
                <w:u w:val="none"/>
              </w:rPr>
            </w:pPr>
          </w:p>
        </w:tc>
        <w:tc>
          <w:tcPr>
            <w:tcW w:w="502" w:type="pct"/>
            <w:vMerge w:val="continue"/>
            <w:shd w:val="clear" w:color="auto" w:fill="auto"/>
            <w:noWrap/>
            <w:vAlign w:val="center"/>
          </w:tcPr>
          <w:p w14:paraId="31048C07">
            <w:pPr>
              <w:jc w:val="cente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77FAB1F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vMerge w:val="continue"/>
            <w:shd w:val="clear" w:color="auto" w:fill="auto"/>
            <w:vAlign w:val="center"/>
          </w:tcPr>
          <w:p w14:paraId="6695ECE9">
            <w:pPr>
              <w:jc w:val="left"/>
              <w:rPr>
                <w:rFonts w:hint="eastAsia" w:ascii="仿宋" w:hAnsi="仿宋" w:eastAsia="仿宋" w:cs="仿宋"/>
                <w:i w:val="0"/>
                <w:iCs w:val="0"/>
                <w:color w:val="000000"/>
                <w:sz w:val="18"/>
                <w:szCs w:val="18"/>
                <w:highlight w:val="none"/>
                <w:u w:val="none"/>
              </w:rPr>
            </w:pPr>
          </w:p>
        </w:tc>
        <w:tc>
          <w:tcPr>
            <w:tcW w:w="376" w:type="pct"/>
            <w:vMerge w:val="continue"/>
            <w:shd w:val="clear" w:color="auto" w:fill="auto"/>
            <w:noWrap/>
            <w:vAlign w:val="center"/>
          </w:tcPr>
          <w:p w14:paraId="574C5DE5">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30E11B4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noWrap/>
            <w:vAlign w:val="center"/>
          </w:tcPr>
          <w:p w14:paraId="3CDC82A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2A78827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c>
          <w:tcPr>
            <w:tcW w:w="231" w:type="pct"/>
            <w:shd w:val="clear" w:color="auto" w:fill="auto"/>
            <w:noWrap/>
            <w:vAlign w:val="center"/>
          </w:tcPr>
          <w:p w14:paraId="1FCB4E7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4500</w:t>
            </w:r>
          </w:p>
        </w:tc>
      </w:tr>
      <w:tr w14:paraId="5250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trPr>
        <w:tc>
          <w:tcPr>
            <w:tcW w:w="270" w:type="pct"/>
            <w:shd w:val="clear" w:color="auto" w:fill="auto"/>
            <w:noWrap/>
            <w:vAlign w:val="center"/>
          </w:tcPr>
          <w:p w14:paraId="39F2D3E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w:t>
            </w:r>
          </w:p>
        </w:tc>
        <w:tc>
          <w:tcPr>
            <w:tcW w:w="548" w:type="pct"/>
            <w:shd w:val="clear" w:color="auto" w:fill="auto"/>
            <w:vAlign w:val="center"/>
          </w:tcPr>
          <w:p w14:paraId="54E41EE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单孔污碟台</w:t>
            </w:r>
          </w:p>
        </w:tc>
        <w:tc>
          <w:tcPr>
            <w:tcW w:w="502" w:type="pct"/>
            <w:shd w:val="clear" w:color="auto" w:fill="auto"/>
            <w:noWrap/>
            <w:vAlign w:val="center"/>
          </w:tcPr>
          <w:p w14:paraId="0CF58A8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-3175</wp:posOffset>
                  </wp:positionH>
                  <wp:positionV relativeFrom="paragraph">
                    <wp:posOffset>29210</wp:posOffset>
                  </wp:positionV>
                  <wp:extent cx="811530" cy="624205"/>
                  <wp:effectExtent l="0" t="0" r="7620" b="4445"/>
                  <wp:wrapNone/>
                  <wp:docPr id="47" name="ID_B51EE4B322144B518E61D332938793A0"/>
                  <wp:cNvGraphicFramePr/>
                  <a:graphic xmlns:a="http://schemas.openxmlformats.org/drawingml/2006/main">
                    <a:graphicData uri="http://schemas.openxmlformats.org/drawingml/2006/picture">
                      <pic:pic xmlns:pic="http://schemas.openxmlformats.org/drawingml/2006/picture">
                        <pic:nvPicPr>
                          <pic:cNvPr id="47" name="ID_B51EE4B322144B518E61D332938793A0"/>
                          <pic:cNvPicPr/>
                        </pic:nvPicPr>
                        <pic:blipFill>
                          <a:blip r:embed="rId12"/>
                          <a:stretch>
                            <a:fillRect/>
                          </a:stretch>
                        </pic:blipFill>
                        <pic:spPr>
                          <a:xfrm>
                            <a:off x="0" y="0"/>
                            <a:ext cx="811530" cy="624205"/>
                          </a:xfrm>
                          <a:prstGeom prst="rect">
                            <a:avLst/>
                          </a:prstGeom>
                          <a:noFill/>
                          <a:ln>
                            <a:noFill/>
                          </a:ln>
                        </pic:spPr>
                      </pic:pic>
                    </a:graphicData>
                  </a:graphic>
                </wp:anchor>
              </w:drawing>
            </w:r>
          </w:p>
        </w:tc>
        <w:tc>
          <w:tcPr>
            <w:tcW w:w="832" w:type="pct"/>
            <w:shd w:val="clear" w:color="auto" w:fill="auto"/>
            <w:vAlign w:val="center"/>
          </w:tcPr>
          <w:p w14:paraId="0A968C0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700×700×800mm</w:t>
            </w:r>
          </w:p>
        </w:tc>
        <w:tc>
          <w:tcPr>
            <w:tcW w:w="1559" w:type="pct"/>
            <w:shd w:val="clear" w:color="auto" w:fill="auto"/>
            <w:vAlign w:val="center"/>
          </w:tcPr>
          <w:p w14:paraId="7CA39E5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一、结构：单孔收残台，台面下衬双工字型加强筋，底部配可调子弹脚。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1.台面304不锈钢1.2mm，下衬304不锈钢1.0mm方通加强筋，种订加固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2.脚：Φ38全钢可调子弹脚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3.满焊，羊毛轮抛光打蜡，拉丝纹路一致</w:t>
            </w:r>
          </w:p>
        </w:tc>
        <w:tc>
          <w:tcPr>
            <w:tcW w:w="376" w:type="pct"/>
            <w:shd w:val="clear" w:color="auto" w:fill="auto"/>
            <w:noWrap/>
            <w:vAlign w:val="center"/>
          </w:tcPr>
          <w:p w14:paraId="3BC6AE8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1BA0E51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noWrap/>
            <w:vAlign w:val="center"/>
          </w:tcPr>
          <w:p w14:paraId="59C4CEC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6D0DFF8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w:t>
            </w:r>
          </w:p>
        </w:tc>
        <w:tc>
          <w:tcPr>
            <w:tcW w:w="231" w:type="pct"/>
            <w:shd w:val="clear" w:color="auto" w:fill="auto"/>
            <w:noWrap/>
            <w:vAlign w:val="center"/>
          </w:tcPr>
          <w:p w14:paraId="5E9A64F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3300</w:t>
            </w:r>
          </w:p>
        </w:tc>
      </w:tr>
      <w:tr w14:paraId="29F6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69" w:hRule="atLeast"/>
        </w:trPr>
        <w:tc>
          <w:tcPr>
            <w:tcW w:w="270" w:type="pct"/>
            <w:shd w:val="clear" w:color="auto" w:fill="auto"/>
            <w:noWrap/>
            <w:vAlign w:val="center"/>
          </w:tcPr>
          <w:p w14:paraId="3E2B3CC0">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w:t>
            </w:r>
          </w:p>
        </w:tc>
        <w:tc>
          <w:tcPr>
            <w:tcW w:w="548" w:type="pct"/>
            <w:shd w:val="clear" w:color="auto" w:fill="auto"/>
            <w:vAlign w:val="center"/>
          </w:tcPr>
          <w:p w14:paraId="15F3E72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双星工作台</w:t>
            </w:r>
          </w:p>
        </w:tc>
        <w:tc>
          <w:tcPr>
            <w:tcW w:w="502" w:type="pct"/>
            <w:shd w:val="clear" w:color="auto" w:fill="auto"/>
            <w:noWrap/>
            <w:vAlign w:val="center"/>
          </w:tcPr>
          <w:p w14:paraId="63495F3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19685</wp:posOffset>
                  </wp:positionH>
                  <wp:positionV relativeFrom="paragraph">
                    <wp:posOffset>80645</wp:posOffset>
                  </wp:positionV>
                  <wp:extent cx="702310" cy="768985"/>
                  <wp:effectExtent l="0" t="0" r="2540" b="12065"/>
                  <wp:wrapNone/>
                  <wp:docPr id="48" name="ID_2BE47C39CD2241A18D837DDD8CC2E1B7"/>
                  <wp:cNvGraphicFramePr/>
                  <a:graphic xmlns:a="http://schemas.openxmlformats.org/drawingml/2006/main">
                    <a:graphicData uri="http://schemas.openxmlformats.org/drawingml/2006/picture">
                      <pic:pic xmlns:pic="http://schemas.openxmlformats.org/drawingml/2006/picture">
                        <pic:nvPicPr>
                          <pic:cNvPr id="48" name="ID_2BE47C39CD2241A18D837DDD8CC2E1B7"/>
                          <pic:cNvPicPr/>
                        </pic:nvPicPr>
                        <pic:blipFill>
                          <a:blip r:embed="rId13"/>
                          <a:stretch>
                            <a:fillRect/>
                          </a:stretch>
                        </pic:blipFill>
                        <pic:spPr>
                          <a:xfrm>
                            <a:off x="0" y="0"/>
                            <a:ext cx="702310" cy="768985"/>
                          </a:xfrm>
                          <a:prstGeom prst="rect">
                            <a:avLst/>
                          </a:prstGeom>
                          <a:noFill/>
                          <a:ln>
                            <a:noFill/>
                          </a:ln>
                        </pic:spPr>
                      </pic:pic>
                    </a:graphicData>
                  </a:graphic>
                </wp:anchor>
              </w:drawing>
            </w:r>
          </w:p>
        </w:tc>
        <w:tc>
          <w:tcPr>
            <w:tcW w:w="832" w:type="pct"/>
            <w:shd w:val="clear" w:color="auto" w:fill="auto"/>
            <w:vAlign w:val="center"/>
          </w:tcPr>
          <w:p w14:paraId="33A4C7B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1800×700×800mm，后挡水高度150mm</w:t>
            </w:r>
          </w:p>
        </w:tc>
        <w:tc>
          <w:tcPr>
            <w:tcW w:w="1559" w:type="pct"/>
            <w:shd w:val="clear" w:color="auto" w:fill="auto"/>
            <w:vAlign w:val="center"/>
          </w:tcPr>
          <w:p w14:paraId="3C5028D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一、结构：双星盆+工作台，带背挡水及前滴水沿，盆斗与面板一体拉伸或无缝焊接，台面四边双曲压弯40mm，支架满焊并配防滑脚。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1.面板：304不锈钢1.2mm厚拉丝板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三、配件（每个星盆配）：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2.304提笼式去水器（带防臭存水弯）</w:t>
            </w:r>
          </w:p>
        </w:tc>
        <w:tc>
          <w:tcPr>
            <w:tcW w:w="376" w:type="pct"/>
            <w:shd w:val="clear" w:color="auto" w:fill="auto"/>
            <w:noWrap/>
            <w:vAlign w:val="center"/>
          </w:tcPr>
          <w:p w14:paraId="15097269">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37D1BA2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5904B21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14FB5AC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1820</w:t>
            </w:r>
          </w:p>
        </w:tc>
        <w:tc>
          <w:tcPr>
            <w:tcW w:w="231" w:type="pct"/>
            <w:shd w:val="clear" w:color="auto" w:fill="auto"/>
            <w:noWrap/>
            <w:vAlign w:val="center"/>
          </w:tcPr>
          <w:p w14:paraId="244F19F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1820</w:t>
            </w:r>
          </w:p>
        </w:tc>
      </w:tr>
      <w:tr w14:paraId="3F09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1" w:hRule="atLeast"/>
        </w:trPr>
        <w:tc>
          <w:tcPr>
            <w:tcW w:w="270" w:type="pct"/>
            <w:shd w:val="clear" w:color="auto" w:fill="auto"/>
            <w:noWrap/>
            <w:vAlign w:val="center"/>
          </w:tcPr>
          <w:p w14:paraId="45015EC8">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11</w:t>
            </w:r>
          </w:p>
        </w:tc>
        <w:tc>
          <w:tcPr>
            <w:tcW w:w="548" w:type="pct"/>
            <w:shd w:val="clear" w:color="auto" w:fill="auto"/>
            <w:vAlign w:val="center"/>
          </w:tcPr>
          <w:p w14:paraId="6FCB41D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左星杀鱼台</w:t>
            </w:r>
          </w:p>
        </w:tc>
        <w:tc>
          <w:tcPr>
            <w:tcW w:w="502" w:type="pct"/>
            <w:shd w:val="clear" w:color="auto" w:fill="auto"/>
            <w:noWrap/>
            <w:vAlign w:val="center"/>
          </w:tcPr>
          <w:p w14:paraId="15C33F9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-24765</wp:posOffset>
                  </wp:positionH>
                  <wp:positionV relativeFrom="paragraph">
                    <wp:posOffset>-28575</wp:posOffset>
                  </wp:positionV>
                  <wp:extent cx="784225" cy="739140"/>
                  <wp:effectExtent l="0" t="0" r="15875" b="3810"/>
                  <wp:wrapNone/>
                  <wp:docPr id="49" name="ID_B78D78CED066440FA0CA5871CCEA4AE7"/>
                  <wp:cNvGraphicFramePr/>
                  <a:graphic xmlns:a="http://schemas.openxmlformats.org/drawingml/2006/main">
                    <a:graphicData uri="http://schemas.openxmlformats.org/drawingml/2006/picture">
                      <pic:pic xmlns:pic="http://schemas.openxmlformats.org/drawingml/2006/picture">
                        <pic:nvPicPr>
                          <pic:cNvPr id="49" name="ID_B78D78CED066440FA0CA5871CCEA4AE7"/>
                          <pic:cNvPicPr/>
                        </pic:nvPicPr>
                        <pic:blipFill>
                          <a:blip r:embed="rId14"/>
                          <a:stretch>
                            <a:fillRect/>
                          </a:stretch>
                        </pic:blipFill>
                        <pic:spPr>
                          <a:xfrm>
                            <a:off x="0" y="0"/>
                            <a:ext cx="784225" cy="739140"/>
                          </a:xfrm>
                          <a:prstGeom prst="rect">
                            <a:avLst/>
                          </a:prstGeom>
                          <a:noFill/>
                          <a:ln>
                            <a:noFill/>
                          </a:ln>
                        </pic:spPr>
                      </pic:pic>
                    </a:graphicData>
                  </a:graphic>
                </wp:anchor>
              </w:drawing>
            </w:r>
          </w:p>
        </w:tc>
        <w:tc>
          <w:tcPr>
            <w:tcW w:w="832" w:type="pct"/>
            <w:shd w:val="clear" w:color="auto" w:fill="auto"/>
            <w:vAlign w:val="center"/>
          </w:tcPr>
          <w:p w14:paraId="35B585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1500×700×800mm，后挡水高度150mm</w:t>
            </w:r>
          </w:p>
        </w:tc>
        <w:tc>
          <w:tcPr>
            <w:tcW w:w="1559" w:type="pct"/>
            <w:shd w:val="clear" w:color="auto" w:fill="auto"/>
            <w:vAlign w:val="center"/>
          </w:tcPr>
          <w:p w14:paraId="0A4B8EB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一、结构：左单星杀鱼台，槽体深度≥250mm（防溅水设计），支架满焊加固，底部配可调不锈钢子弹脚。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1.台面板：1.2mm厚304不锈钢发纹贴塑板（耐磨抗指纹）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2.星盆：1.2mm厚304不锈钢，一体拉伸或满焊，不漏水、不生锈</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3.支架、通脚：φ38×1.0mm不锈钢管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4.拉筋：φ25×1mm不锈钢管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1.304不锈钢抽拉式水龙头（DN15，4分口），带重力球自动回位，全铜陶瓷阀芯，支持花洒/水柱双模式切换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2.304提笼式去水器（带防臭存水弯）</w:t>
            </w:r>
          </w:p>
        </w:tc>
        <w:tc>
          <w:tcPr>
            <w:tcW w:w="376" w:type="pct"/>
            <w:shd w:val="clear" w:color="auto" w:fill="auto"/>
            <w:noWrap/>
            <w:vAlign w:val="center"/>
          </w:tcPr>
          <w:p w14:paraId="5DA16A39">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5BF7D20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73FA37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0872724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1630</w:t>
            </w:r>
          </w:p>
        </w:tc>
        <w:tc>
          <w:tcPr>
            <w:tcW w:w="231" w:type="pct"/>
            <w:shd w:val="clear" w:color="auto" w:fill="auto"/>
            <w:noWrap/>
            <w:vAlign w:val="center"/>
          </w:tcPr>
          <w:p w14:paraId="2A33083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1630</w:t>
            </w:r>
          </w:p>
        </w:tc>
      </w:tr>
      <w:tr w14:paraId="19A5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4" w:hRule="atLeast"/>
        </w:trPr>
        <w:tc>
          <w:tcPr>
            <w:tcW w:w="270" w:type="pct"/>
            <w:shd w:val="clear" w:color="auto" w:fill="auto"/>
            <w:noWrap/>
            <w:vAlign w:val="center"/>
          </w:tcPr>
          <w:p w14:paraId="2629991A">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12</w:t>
            </w:r>
          </w:p>
        </w:tc>
        <w:tc>
          <w:tcPr>
            <w:tcW w:w="548" w:type="pct"/>
            <w:shd w:val="clear" w:color="auto" w:fill="auto"/>
            <w:vAlign w:val="center"/>
          </w:tcPr>
          <w:p w14:paraId="7DAF27E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土豆脱皮机</w:t>
            </w:r>
          </w:p>
        </w:tc>
        <w:tc>
          <w:tcPr>
            <w:tcW w:w="502" w:type="pct"/>
            <w:shd w:val="clear" w:color="auto" w:fill="auto"/>
            <w:noWrap/>
            <w:vAlign w:val="center"/>
          </w:tcPr>
          <w:p w14:paraId="39E86E1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-15875</wp:posOffset>
                  </wp:positionH>
                  <wp:positionV relativeFrom="paragraph">
                    <wp:posOffset>334645</wp:posOffset>
                  </wp:positionV>
                  <wp:extent cx="810895" cy="1252855"/>
                  <wp:effectExtent l="0" t="0" r="8255" b="4445"/>
                  <wp:wrapNone/>
                  <wp:docPr id="2" name="ID_188F1800EBFE4DEDB4C138F277632D00"/>
                  <wp:cNvGraphicFramePr/>
                  <a:graphic xmlns:a="http://schemas.openxmlformats.org/drawingml/2006/main">
                    <a:graphicData uri="http://schemas.openxmlformats.org/drawingml/2006/picture">
                      <pic:pic xmlns:pic="http://schemas.openxmlformats.org/drawingml/2006/picture">
                        <pic:nvPicPr>
                          <pic:cNvPr id="2" name="ID_188F1800EBFE4DEDB4C138F277632D00"/>
                          <pic:cNvPicPr/>
                        </pic:nvPicPr>
                        <pic:blipFill>
                          <a:blip r:embed="rId15"/>
                          <a:stretch>
                            <a:fillRect/>
                          </a:stretch>
                        </pic:blipFill>
                        <pic:spPr>
                          <a:xfrm>
                            <a:off x="0" y="0"/>
                            <a:ext cx="810895" cy="1252855"/>
                          </a:xfrm>
                          <a:prstGeom prst="rect">
                            <a:avLst/>
                          </a:prstGeom>
                          <a:noFill/>
                          <a:ln>
                            <a:noFill/>
                          </a:ln>
                        </pic:spPr>
                      </pic:pic>
                    </a:graphicData>
                  </a:graphic>
                </wp:anchor>
              </w:drawing>
            </w:r>
          </w:p>
        </w:tc>
        <w:tc>
          <w:tcPr>
            <w:tcW w:w="832" w:type="pct"/>
            <w:shd w:val="clear" w:color="auto" w:fill="auto"/>
            <w:vAlign w:val="center"/>
          </w:tcPr>
          <w:p w14:paraId="64B6E3B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4847FF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一、结构：料桶容积≥45L，每次投料≥15kg，采用可拆卸式砂板，更换方便。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1.外壳：201不锈钢（包括料筒盖）</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3.砂板：可拆卸式</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2.功率：0.75kW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3.频率：50Hz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4.净重：≥66kg</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5.生产能力：≥200kg/h</w:t>
            </w:r>
          </w:p>
        </w:tc>
        <w:tc>
          <w:tcPr>
            <w:tcW w:w="376" w:type="pct"/>
            <w:shd w:val="clear" w:color="auto" w:fill="auto"/>
            <w:noWrap/>
            <w:vAlign w:val="center"/>
          </w:tcPr>
          <w:p w14:paraId="26F3C807">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12E646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18C97AB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99EBBD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5000</w:t>
            </w:r>
          </w:p>
        </w:tc>
        <w:tc>
          <w:tcPr>
            <w:tcW w:w="231" w:type="pct"/>
            <w:shd w:val="clear" w:color="auto" w:fill="auto"/>
            <w:noWrap/>
            <w:vAlign w:val="center"/>
          </w:tcPr>
          <w:p w14:paraId="78D0A4C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5000</w:t>
            </w:r>
          </w:p>
        </w:tc>
      </w:tr>
      <w:tr w14:paraId="6C0B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noWrap/>
            <w:vAlign w:val="center"/>
          </w:tcPr>
          <w:p w14:paraId="4C9365BD">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13</w:t>
            </w:r>
          </w:p>
        </w:tc>
        <w:tc>
          <w:tcPr>
            <w:tcW w:w="548" w:type="pct"/>
            <w:shd w:val="clear" w:color="auto" w:fill="auto"/>
            <w:vAlign w:val="center"/>
          </w:tcPr>
          <w:p w14:paraId="119BF7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多功能切菜机</w:t>
            </w:r>
          </w:p>
        </w:tc>
        <w:tc>
          <w:tcPr>
            <w:tcW w:w="502" w:type="pct"/>
            <w:shd w:val="clear" w:color="auto" w:fill="auto"/>
            <w:noWrap/>
            <w:vAlign w:val="center"/>
          </w:tcPr>
          <w:p w14:paraId="390D625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-1270</wp:posOffset>
                  </wp:positionH>
                  <wp:positionV relativeFrom="paragraph">
                    <wp:posOffset>247650</wp:posOffset>
                  </wp:positionV>
                  <wp:extent cx="788035" cy="920750"/>
                  <wp:effectExtent l="0" t="0" r="12065" b="12700"/>
                  <wp:wrapNone/>
                  <wp:docPr id="10" name="ID_931E61EF8CA04F0EBB3FC4DD007564A5"/>
                  <wp:cNvGraphicFramePr/>
                  <a:graphic xmlns:a="http://schemas.openxmlformats.org/drawingml/2006/main">
                    <a:graphicData uri="http://schemas.openxmlformats.org/drawingml/2006/picture">
                      <pic:pic xmlns:pic="http://schemas.openxmlformats.org/drawingml/2006/picture">
                        <pic:nvPicPr>
                          <pic:cNvPr id="10" name="ID_931E61EF8CA04F0EBB3FC4DD007564A5"/>
                          <pic:cNvPicPr/>
                        </pic:nvPicPr>
                        <pic:blipFill>
                          <a:blip r:embed="rId16"/>
                          <a:stretch>
                            <a:fillRect/>
                          </a:stretch>
                        </pic:blipFill>
                        <pic:spPr>
                          <a:xfrm>
                            <a:off x="0" y="0"/>
                            <a:ext cx="788035" cy="920750"/>
                          </a:xfrm>
                          <a:prstGeom prst="rect">
                            <a:avLst/>
                          </a:prstGeom>
                          <a:noFill/>
                          <a:ln>
                            <a:noFill/>
                          </a:ln>
                        </pic:spPr>
                      </pic:pic>
                    </a:graphicData>
                  </a:graphic>
                </wp:anchor>
              </w:drawing>
            </w:r>
          </w:p>
        </w:tc>
        <w:tc>
          <w:tcPr>
            <w:tcW w:w="832" w:type="pct"/>
            <w:shd w:val="clear" w:color="auto" w:fill="auto"/>
            <w:vAlign w:val="center"/>
          </w:tcPr>
          <w:p w14:paraId="4A74D0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3C1AE90">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一、结构：双头（叶菜+根茎），叶菜切段1-60mm可调，根茎切片/丝/丁（切片2-6mm、丝2-6mm、丁8-20mm），变频调速，底部万向刹车脚轮。</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1.食品接触部件：304不锈钢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2.外壳/机架：201不锈钢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3.含全套刀盘</w:t>
            </w:r>
          </w:p>
          <w:p w14:paraId="22E9710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4.配置国标纯铜双电机、双变频器，两个工作头可同时独立运行</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3.综合产能：≥300kg/h-1000kg/h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4.净重：≥120kg</w:t>
            </w:r>
          </w:p>
        </w:tc>
        <w:tc>
          <w:tcPr>
            <w:tcW w:w="376" w:type="pct"/>
            <w:shd w:val="clear" w:color="auto" w:fill="auto"/>
            <w:noWrap/>
            <w:vAlign w:val="center"/>
          </w:tcPr>
          <w:p w14:paraId="571C9925">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5EA3B1C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2DB0F4B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2833F7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25000</w:t>
            </w:r>
          </w:p>
        </w:tc>
        <w:tc>
          <w:tcPr>
            <w:tcW w:w="231" w:type="pct"/>
            <w:shd w:val="clear" w:color="auto" w:fill="auto"/>
            <w:noWrap/>
            <w:vAlign w:val="center"/>
          </w:tcPr>
          <w:p w14:paraId="79B5269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25000</w:t>
            </w:r>
          </w:p>
        </w:tc>
      </w:tr>
      <w:tr w14:paraId="7543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noWrap/>
            <w:vAlign w:val="center"/>
          </w:tcPr>
          <w:p w14:paraId="190DCD15">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14</w:t>
            </w:r>
          </w:p>
        </w:tc>
        <w:tc>
          <w:tcPr>
            <w:tcW w:w="548" w:type="pct"/>
            <w:shd w:val="clear" w:color="auto" w:fill="auto"/>
            <w:vAlign w:val="center"/>
          </w:tcPr>
          <w:p w14:paraId="5BCDB65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双温四门高身柜</w:t>
            </w:r>
          </w:p>
        </w:tc>
        <w:tc>
          <w:tcPr>
            <w:tcW w:w="502" w:type="pct"/>
            <w:shd w:val="clear" w:color="auto" w:fill="auto"/>
            <w:vAlign w:val="top"/>
          </w:tcPr>
          <w:p w14:paraId="2CEB9091">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-22225</wp:posOffset>
                  </wp:positionH>
                  <wp:positionV relativeFrom="paragraph">
                    <wp:posOffset>579120</wp:posOffset>
                  </wp:positionV>
                  <wp:extent cx="841375" cy="775970"/>
                  <wp:effectExtent l="0" t="0" r="15875" b="5080"/>
                  <wp:wrapNone/>
                  <wp:docPr id="147" name="ID_F1C62B8C24E84C4DBA9A7B6EC6759F2E"/>
                  <wp:cNvGraphicFramePr/>
                  <a:graphic xmlns:a="http://schemas.openxmlformats.org/drawingml/2006/main">
                    <a:graphicData uri="http://schemas.openxmlformats.org/drawingml/2006/picture">
                      <pic:pic xmlns:pic="http://schemas.openxmlformats.org/drawingml/2006/picture">
                        <pic:nvPicPr>
                          <pic:cNvPr id="147" name="ID_F1C62B8C24E84C4DBA9A7B6EC6759F2E"/>
                          <pic:cNvPicPr/>
                        </pic:nvPicPr>
                        <pic:blipFill>
                          <a:blip r:embed="rId7"/>
                          <a:stretch>
                            <a:fillRect/>
                          </a:stretch>
                        </pic:blipFill>
                        <pic:spPr>
                          <a:xfrm>
                            <a:off x="0" y="0"/>
                            <a:ext cx="841375" cy="775970"/>
                          </a:xfrm>
                          <a:prstGeom prst="rect">
                            <a:avLst/>
                          </a:prstGeom>
                          <a:noFill/>
                          <a:ln>
                            <a:noFill/>
                          </a:ln>
                        </pic:spPr>
                      </pic:pic>
                    </a:graphicData>
                  </a:graphic>
                </wp:anchor>
              </w:drawing>
            </w: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40640</wp:posOffset>
                  </wp:positionH>
                  <wp:positionV relativeFrom="paragraph">
                    <wp:posOffset>2483485</wp:posOffset>
                  </wp:positionV>
                  <wp:extent cx="795020" cy="793115"/>
                  <wp:effectExtent l="0" t="0" r="5080" b="6985"/>
                  <wp:wrapNone/>
                  <wp:docPr id="3" name="ID_F1C62B8C24E84C4DBA9A7B6EC6759F2E_SpCnt_1"/>
                  <wp:cNvGraphicFramePr/>
                  <a:graphic xmlns:a="http://schemas.openxmlformats.org/drawingml/2006/main">
                    <a:graphicData uri="http://schemas.openxmlformats.org/drawingml/2006/picture">
                      <pic:pic xmlns:pic="http://schemas.openxmlformats.org/drawingml/2006/picture">
                        <pic:nvPicPr>
                          <pic:cNvPr id="3" name="ID_F1C62B8C24E84C4DBA9A7B6EC6759F2E_SpCnt_1"/>
                          <pic:cNvPicPr/>
                        </pic:nvPicPr>
                        <pic:blipFill>
                          <a:blip r:embed="rId7"/>
                          <a:stretch>
                            <a:fillRect/>
                          </a:stretch>
                        </pic:blipFill>
                        <pic:spPr>
                          <a:xfrm>
                            <a:off x="0" y="0"/>
                            <a:ext cx="795020" cy="793115"/>
                          </a:xfrm>
                          <a:prstGeom prst="rect">
                            <a:avLst/>
                          </a:prstGeom>
                          <a:noFill/>
                          <a:ln>
                            <a:noFill/>
                          </a:ln>
                        </pic:spPr>
                      </pic:pic>
                    </a:graphicData>
                  </a:graphic>
                </wp:anchor>
              </w:drawing>
            </w:r>
          </w:p>
        </w:tc>
        <w:tc>
          <w:tcPr>
            <w:tcW w:w="832" w:type="pct"/>
            <w:shd w:val="clear" w:color="auto" w:fill="auto"/>
            <w:vAlign w:val="center"/>
          </w:tcPr>
          <w:p w14:paraId="7EDD2E6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F28F387">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p>
          <w:p w14:paraId="20A3EC5D">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1.有效容积：≥900L（冷冻≥450L/冷藏≥450L）</w:t>
            </w:r>
          </w:p>
          <w:p w14:paraId="794B8AD1">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2.双温四门设计，冷藏室0℃～10℃，冷冻室-6℃～-18℃，风冷制冷，双路独立温控</w:t>
            </w:r>
          </w:p>
          <w:p w14:paraId="62BCAB2E">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3.门体整体发泡结构，配自动回弹或助力闭合功能及磁性密封条</w:t>
            </w:r>
          </w:p>
          <w:p w14:paraId="2433FE51">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4.内部多层可调层架，底部配可调节防滑地脚或万向轮</w:t>
            </w:r>
          </w:p>
          <w:p w14:paraId="52FE6234">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二、材质与工艺：</w:t>
            </w:r>
          </w:p>
          <w:p w14:paraId="19B77DF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1.机体、门体、内胆：201不锈钢</w:t>
            </w:r>
          </w:p>
          <w:p w14:paraId="62FA01C0">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2.制冷系统：全铜管，R290、R600a等环保制冷剂</w:t>
            </w:r>
          </w:p>
          <w:p w14:paraId="51A8BABD">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3.门封条：优质磁性橡胶</w:t>
            </w:r>
          </w:p>
          <w:p w14:paraId="4401C8A4">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4.保温层：环戊烷发泡材料，厚度≥50mm</w:t>
            </w:r>
          </w:p>
          <w:p w14:paraId="12155097">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5.中梁加热除霜</w:t>
            </w:r>
          </w:p>
          <w:p w14:paraId="0C950A6F">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三、电气性能与认证：</w:t>
            </w:r>
          </w:p>
          <w:p w14:paraId="1657F2EA">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1.电压/频率：220V/50Hz</w:t>
            </w:r>
          </w:p>
          <w:p w14:paraId="0B110685">
            <w:pPr>
              <w:keepNext w:val="0"/>
              <w:keepLines w:val="0"/>
              <w:widowControl/>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lang w:eastAsia="zh-CN" w:bidi="ar"/>
              </w:rPr>
            </w:pPr>
            <w:r>
              <w:rPr>
                <w:rFonts w:hint="eastAsia" w:ascii="仿宋" w:hAnsi="仿宋" w:eastAsia="仿宋" w:cs="仿宋"/>
                <w:i w:val="0"/>
                <w:iCs w:val="0"/>
                <w:color w:val="000000"/>
                <w:kern w:val="0"/>
                <w:sz w:val="18"/>
                <w:szCs w:val="18"/>
                <w:highlight w:val="none"/>
                <w:u w:val="none"/>
                <w:lang w:val="en-US" w:eastAsia="zh-CN" w:bidi="ar"/>
              </w:rPr>
              <w:t>★2.能效等级：一级，</w:t>
            </w:r>
            <w:r>
              <w:rPr>
                <w:rFonts w:hint="eastAsia" w:ascii="仿宋" w:hAnsi="仿宋" w:eastAsia="仿宋" w:cs="仿宋"/>
                <w:i w:val="0"/>
                <w:iCs w:val="0"/>
                <w:caps w:val="0"/>
                <w:color w:val="000000"/>
                <w:spacing w:val="0"/>
                <w:kern w:val="0"/>
                <w:sz w:val="18"/>
                <w:szCs w:val="18"/>
                <w:highlight w:val="none"/>
                <w:u w:val="none"/>
                <w:shd w:val="clear" w:fill="auto"/>
                <w:lang w:bidi="ar"/>
              </w:rPr>
              <w:t>依据 GB 26920-2024</w:t>
            </w:r>
            <w:r>
              <w:rPr>
                <w:rFonts w:hint="eastAsia" w:ascii="仿宋" w:hAnsi="仿宋" w:eastAsia="仿宋" w:cs="仿宋"/>
                <w:i w:val="0"/>
                <w:iCs w:val="0"/>
                <w:color w:val="000000"/>
                <w:kern w:val="0"/>
                <w:sz w:val="18"/>
                <w:szCs w:val="18"/>
                <w:highlight w:val="none"/>
                <w:u w:val="none"/>
                <w:lang w:bidi="ar"/>
              </w:rPr>
              <w:t>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fill="auto"/>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进行判定</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以下任一证明材料（须</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加盖供应商公章</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（1）</w:t>
            </w:r>
            <w:r>
              <w:rPr>
                <w:rFonts w:hint="eastAsia" w:ascii="仿宋" w:hAnsi="仿宋" w:eastAsia="仿宋" w:cs="仿宋"/>
                <w:i w:val="0"/>
                <w:iCs w:val="0"/>
                <w:caps w:val="0"/>
                <w:color w:val="000000"/>
                <w:spacing w:val="0"/>
                <w:kern w:val="0"/>
                <w:sz w:val="18"/>
                <w:szCs w:val="18"/>
                <w:highlight w:val="none"/>
                <w:u w:val="none"/>
                <w:shd w:val="clear"/>
                <w:lang w:bidi="ar"/>
              </w:rPr>
              <w:t>中国能效标识网（</w:t>
            </w:r>
            <w:r>
              <w:rPr>
                <w:rFonts w:hint="eastAsia" w:ascii="仿宋" w:hAnsi="仿宋" w:eastAsia="仿宋" w:cs="仿宋"/>
                <w:i w:val="0"/>
                <w:iCs w:val="0"/>
                <w:caps w:val="0"/>
                <w:color w:val="000000"/>
                <w:spacing w:val="0"/>
                <w:kern w:val="0"/>
                <w:sz w:val="18"/>
                <w:szCs w:val="18"/>
                <w:highlight w:val="none"/>
                <w:u w:val="none"/>
                <w:shd w:val="clear"/>
                <w:lang w:bidi="ar"/>
              </w:rPr>
              <w:fldChar w:fldCharType="begin"/>
            </w:r>
            <w:r>
              <w:rPr>
                <w:rFonts w:hint="eastAsia" w:ascii="仿宋" w:hAnsi="仿宋" w:eastAsia="仿宋" w:cs="仿宋"/>
                <w:i w:val="0"/>
                <w:iCs w:val="0"/>
                <w:caps w:val="0"/>
                <w:color w:val="000000"/>
                <w:spacing w:val="0"/>
                <w:kern w:val="0"/>
                <w:sz w:val="18"/>
                <w:szCs w:val="18"/>
                <w:highlight w:val="none"/>
                <w:u w:val="none"/>
                <w:shd w:val="clear"/>
                <w:lang w:bidi="ar"/>
              </w:rPr>
              <w:instrText xml:space="preserve"> HYPERLINK "https://www.energylabel.com.cn/" \t "https://chat.deepseek.com/a/chat/s/_blank" </w:instrText>
            </w:r>
            <w:r>
              <w:rPr>
                <w:rFonts w:hint="eastAsia" w:ascii="仿宋" w:hAnsi="仿宋" w:eastAsia="仿宋" w:cs="仿宋"/>
                <w:i w:val="0"/>
                <w:iCs w:val="0"/>
                <w:caps w:val="0"/>
                <w:color w:val="000000"/>
                <w:spacing w:val="0"/>
                <w:kern w:val="0"/>
                <w:sz w:val="18"/>
                <w:szCs w:val="18"/>
                <w:highlight w:val="none"/>
                <w:u w:val="none"/>
                <w:shd w:val="clear"/>
                <w:lang w:bidi="ar"/>
              </w:rPr>
              <w:fldChar w:fldCharType="separate"/>
            </w:r>
            <w:r>
              <w:rPr>
                <w:rFonts w:hint="eastAsia" w:ascii="仿宋" w:hAnsi="仿宋" w:eastAsia="仿宋" w:cs="仿宋"/>
                <w:i w:val="0"/>
                <w:iCs w:val="0"/>
                <w:caps w:val="0"/>
                <w:color w:val="000000"/>
                <w:spacing w:val="0"/>
                <w:kern w:val="0"/>
                <w:sz w:val="18"/>
                <w:szCs w:val="18"/>
                <w:highlight w:val="none"/>
                <w:u w:val="none"/>
                <w:shd w:val="clear"/>
                <w:lang w:bidi="ar"/>
              </w:rPr>
              <w:t>https://www.energylabel.com.cn</w:t>
            </w:r>
            <w:r>
              <w:rPr>
                <w:rFonts w:hint="eastAsia" w:ascii="仿宋" w:hAnsi="仿宋" w:eastAsia="仿宋" w:cs="仿宋"/>
                <w:i w:val="0"/>
                <w:iCs w:val="0"/>
                <w:caps w:val="0"/>
                <w:color w:val="000000"/>
                <w:spacing w:val="0"/>
                <w:kern w:val="0"/>
                <w:sz w:val="18"/>
                <w:szCs w:val="18"/>
                <w:highlight w:val="none"/>
                <w:u w:val="none"/>
                <w:shd w:val="clear"/>
                <w:lang w:bidi="ar"/>
              </w:rPr>
              <w:fldChar w:fldCharType="end"/>
            </w:r>
            <w:r>
              <w:rPr>
                <w:rFonts w:hint="eastAsia" w:ascii="仿宋" w:hAnsi="仿宋" w:eastAsia="仿宋" w:cs="仿宋"/>
                <w:i w:val="0"/>
                <w:iCs w:val="0"/>
                <w:caps w:val="0"/>
                <w:color w:val="000000"/>
                <w:spacing w:val="0"/>
                <w:kern w:val="0"/>
                <w:sz w:val="18"/>
                <w:szCs w:val="18"/>
                <w:highlight w:val="none"/>
                <w:u w:val="none"/>
                <w:shd w:val="clear"/>
                <w:lang w:bidi="ar"/>
              </w:rPr>
              <w:t>）备案查询截图（截图须清晰显示产品型号</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能效等级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及依据的</w:t>
            </w:r>
            <w:r>
              <w:rPr>
                <w:rFonts w:hint="eastAsia" w:ascii="仿宋" w:hAnsi="仿宋" w:eastAsia="仿宋" w:cs="仿宋"/>
                <w:i w:val="0"/>
                <w:iCs w:val="0"/>
                <w:caps w:val="0"/>
                <w:color w:val="000000"/>
                <w:spacing w:val="0"/>
                <w:kern w:val="0"/>
                <w:sz w:val="18"/>
                <w:szCs w:val="18"/>
                <w:highlight w:val="none"/>
                <w:u w:val="none"/>
                <w:shd w:val="clear"/>
                <w:lang w:bidi="ar"/>
              </w:rPr>
              <w:t>标准）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w:t>
            </w:r>
            <w:r>
              <w:rPr>
                <w:rFonts w:hint="eastAsia" w:ascii="仿宋" w:hAnsi="仿宋" w:eastAsia="仿宋" w:cs="仿宋"/>
                <w:i w:val="0"/>
                <w:iCs w:val="0"/>
                <w:caps w:val="0"/>
                <w:color w:val="000000"/>
                <w:spacing w:val="0"/>
                <w:kern w:val="0"/>
                <w:sz w:val="18"/>
                <w:szCs w:val="18"/>
                <w:highlight w:val="none"/>
                <w:u w:val="none"/>
                <w:shd w:val="clear"/>
                <w:lang w:bidi="ar"/>
              </w:rPr>
              <w:t>的第三方检测报告复印件（须清晰显示能效等级判定结果，并载明检测依据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p>
          <w:p w14:paraId="49F2CD69">
            <w:pPr>
              <w:keepNext w:val="0"/>
              <w:keepLines w:val="0"/>
              <w:widowControl/>
              <w:suppressLineNumbers w:val="0"/>
              <w:jc w:val="left"/>
              <w:textAlignment w:val="center"/>
              <w:rPr>
                <w:rFonts w:hint="default"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aps w:val="0"/>
                <w:color w:val="000000"/>
                <w:spacing w:val="0"/>
                <w:kern w:val="0"/>
                <w:sz w:val="18"/>
                <w:szCs w:val="18"/>
                <w:highlight w:val="none"/>
                <w:u w:val="none"/>
                <w:shd w:val="clear"/>
                <w:lang w:val="en-US" w:eastAsia="zh-CN" w:bidi="ar"/>
              </w:rPr>
              <w:t>说明：（1）</w:t>
            </w:r>
            <w:r>
              <w:rPr>
                <w:rFonts w:hint="eastAsia" w:ascii="仿宋" w:hAnsi="仿宋" w:eastAsia="仿宋" w:cs="仿宋"/>
                <w:i w:val="0"/>
                <w:iCs w:val="0"/>
                <w:caps w:val="0"/>
                <w:color w:val="000000"/>
                <w:spacing w:val="0"/>
                <w:kern w:val="0"/>
                <w:sz w:val="18"/>
                <w:szCs w:val="18"/>
                <w:highlight w:val="none"/>
                <w:u w:val="none"/>
                <w:shd w:val="clear"/>
                <w:lang w:bidi="ar"/>
              </w:rPr>
              <w:t>评审时</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专家</w:t>
            </w:r>
            <w:r>
              <w:rPr>
                <w:rFonts w:hint="eastAsia" w:ascii="仿宋" w:hAnsi="仿宋" w:eastAsia="仿宋" w:cs="仿宋"/>
                <w:i w:val="0"/>
                <w:iCs w:val="0"/>
                <w:caps w:val="0"/>
                <w:color w:val="000000"/>
                <w:spacing w:val="0"/>
                <w:kern w:val="0"/>
                <w:sz w:val="18"/>
                <w:szCs w:val="18"/>
                <w:highlight w:val="none"/>
                <w:u w:val="none"/>
                <w:shd w:val="clear"/>
                <w:lang w:bidi="ar"/>
              </w:rPr>
              <w:t>有权通过中国能效标识网对能效等级进行核实。核实结果与供应商提供的证明材料不一致的，以中国能效标识网备案数据为准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如所投产品不在中国能效标识网备案范围内，则以检测报告为准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证明材料即</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或</w:t>
            </w:r>
            <w:r>
              <w:rPr>
                <w:rFonts w:hint="eastAsia" w:ascii="仿宋" w:hAnsi="仿宋" w:eastAsia="仿宋" w:cs="仿宋"/>
                <w:i w:val="0"/>
                <w:iCs w:val="0"/>
                <w:caps w:val="0"/>
                <w:color w:val="000000"/>
                <w:spacing w:val="0"/>
                <w:kern w:val="0"/>
                <w:sz w:val="18"/>
                <w:szCs w:val="18"/>
                <w:highlight w:val="none"/>
                <w:u w:val="none"/>
                <w:shd w:val="clear"/>
                <w:lang w:bidi="ar"/>
              </w:rPr>
              <w:t>备案截图所载明的产品型号均须与所投产品型号完全一致，否则视为负偏离。</w:t>
            </w:r>
          </w:p>
          <w:p w14:paraId="3B105890">
            <w:pPr>
              <w:rPr>
                <w:highlight w:val="none"/>
              </w:rPr>
            </w:pPr>
            <w:r>
              <w:rPr>
                <w:rFonts w:hint="eastAsia" w:ascii="仿宋" w:hAnsi="仿宋" w:eastAsia="仿宋" w:cs="仿宋"/>
                <w:i w:val="0"/>
                <w:iCs w:val="0"/>
                <w:color w:val="000000"/>
                <w:kern w:val="0"/>
                <w:sz w:val="18"/>
                <w:szCs w:val="18"/>
                <w:highlight w:val="none"/>
                <w:u w:val="none"/>
                <w:lang w:val="en-US" w:eastAsia="zh-CN" w:bidi="ar"/>
              </w:rPr>
              <w:t>★</w:t>
            </w:r>
          </w:p>
          <w:p w14:paraId="6EB64F4E">
            <w:pPr>
              <w:rPr>
                <w:highlight w:val="none"/>
              </w:rPr>
            </w:pPr>
          </w:p>
          <w:p w14:paraId="31F2197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3</w:t>
            </w:r>
            <w:r>
              <w:rPr>
                <w:rFonts w:hint="eastAsia" w:ascii="仿宋" w:hAnsi="仿宋" w:eastAsia="仿宋" w:cs="仿宋"/>
                <w:i w:val="0"/>
                <w:iCs w:val="0"/>
                <w:color w:val="000000"/>
                <w:sz w:val="18"/>
                <w:szCs w:val="18"/>
                <w:highlight w:val="none"/>
                <w:u w:val="none"/>
              </w:rPr>
              <w:t>.整机性能检测：所投产品须依据SB/T10794.2-2012标准进行检测，</w:t>
            </w:r>
            <w:r>
              <w:rPr>
                <w:rFonts w:hint="eastAsia" w:ascii="仿宋" w:hAnsi="仿宋" w:eastAsia="仿宋" w:cs="仿宋"/>
                <w:i w:val="0"/>
                <w:iCs w:val="0"/>
                <w:color w:val="000000"/>
                <w:sz w:val="18"/>
                <w:szCs w:val="18"/>
                <w:highlight w:val="none"/>
                <w:u w:val="none"/>
                <w:lang w:val="en-US" w:eastAsia="zh-CN"/>
              </w:rPr>
              <w:t>检测项目至少包括：</w:t>
            </w:r>
            <w:r>
              <w:rPr>
                <w:rFonts w:hint="eastAsia" w:ascii="仿宋" w:hAnsi="仿宋" w:eastAsia="仿宋" w:cs="仿宋"/>
                <w:i w:val="0"/>
                <w:iCs w:val="0"/>
                <w:color w:val="000000"/>
                <w:sz w:val="18"/>
                <w:szCs w:val="18"/>
                <w:highlight w:val="none"/>
                <w:u w:val="none"/>
              </w:rPr>
              <w:t>总容积、冷却速度、耗电量、负载温度回升时间、储藏温度、噪声、制冷系统密封性能</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lang w:val="en-US" w:eastAsia="zh-CN"/>
              </w:rPr>
              <w:t>上述所有</w:t>
            </w:r>
            <w:r>
              <w:rPr>
                <w:rFonts w:hint="eastAsia" w:ascii="仿宋" w:hAnsi="仿宋" w:eastAsia="仿宋" w:cs="仿宋"/>
                <w:i w:val="0"/>
                <w:iCs w:val="0"/>
                <w:color w:val="000000"/>
                <w:sz w:val="18"/>
                <w:szCs w:val="18"/>
                <w:highlight w:val="none"/>
                <w:u w:val="none"/>
              </w:rPr>
              <w:t>检测结果均须为合格。</w:t>
            </w:r>
            <w:r>
              <w:rPr>
                <w:rFonts w:hint="eastAsia" w:ascii="仿宋" w:hAnsi="仿宋" w:eastAsia="仿宋" w:cs="仿宋"/>
                <w:i w:val="0"/>
                <w:iCs w:val="0"/>
                <w:color w:val="000000"/>
                <w:kern w:val="0"/>
                <w:sz w:val="18"/>
                <w:szCs w:val="18"/>
                <w:highlight w:val="none"/>
                <w:u w:val="none"/>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fill="auto"/>
                <w:lang w:bidi="ar"/>
              </w:rPr>
              <w:t>（须清晰显示上述全部检测项目及对应结论</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tc>
        <w:tc>
          <w:tcPr>
            <w:tcW w:w="376" w:type="pct"/>
            <w:shd w:val="clear" w:color="auto" w:fill="auto"/>
            <w:noWrap/>
            <w:vAlign w:val="center"/>
          </w:tcPr>
          <w:p w14:paraId="2A2C93A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星星、海尔、澳柯玛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65D4340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68C8573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77994D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6149</w:t>
            </w:r>
          </w:p>
        </w:tc>
        <w:tc>
          <w:tcPr>
            <w:tcW w:w="231" w:type="pct"/>
            <w:shd w:val="clear" w:color="auto" w:fill="auto"/>
            <w:noWrap/>
            <w:vAlign w:val="center"/>
          </w:tcPr>
          <w:p w14:paraId="6D78E91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6149</w:t>
            </w:r>
          </w:p>
        </w:tc>
      </w:tr>
      <w:tr w14:paraId="2DE4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8" w:hRule="atLeast"/>
        </w:trPr>
        <w:tc>
          <w:tcPr>
            <w:tcW w:w="270" w:type="pct"/>
            <w:shd w:val="clear" w:color="auto" w:fill="auto"/>
            <w:noWrap/>
            <w:vAlign w:val="center"/>
          </w:tcPr>
          <w:p w14:paraId="16D2E16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15</w:t>
            </w:r>
          </w:p>
        </w:tc>
        <w:tc>
          <w:tcPr>
            <w:tcW w:w="548" w:type="pct"/>
            <w:shd w:val="clear" w:color="auto" w:fill="auto"/>
            <w:vAlign w:val="center"/>
          </w:tcPr>
          <w:p w14:paraId="696323B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切肉片机</w:t>
            </w:r>
          </w:p>
        </w:tc>
        <w:tc>
          <w:tcPr>
            <w:tcW w:w="502" w:type="pct"/>
            <w:shd w:val="clear" w:color="auto" w:fill="auto"/>
            <w:vAlign w:val="top"/>
          </w:tcPr>
          <w:p w14:paraId="13D23AD8">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144780</wp:posOffset>
                  </wp:positionH>
                  <wp:positionV relativeFrom="paragraph">
                    <wp:posOffset>745490</wp:posOffset>
                  </wp:positionV>
                  <wp:extent cx="514350" cy="826135"/>
                  <wp:effectExtent l="0" t="0" r="0" b="12065"/>
                  <wp:wrapNone/>
                  <wp:docPr id="50" name="ID_F6C4F1B2A05542BAB39EC2AAB48C0C5F"/>
                  <wp:cNvGraphicFramePr/>
                  <a:graphic xmlns:a="http://schemas.openxmlformats.org/drawingml/2006/main">
                    <a:graphicData uri="http://schemas.openxmlformats.org/drawingml/2006/picture">
                      <pic:pic xmlns:pic="http://schemas.openxmlformats.org/drawingml/2006/picture">
                        <pic:nvPicPr>
                          <pic:cNvPr id="50" name="ID_F6C4F1B2A05542BAB39EC2AAB48C0C5F"/>
                          <pic:cNvPicPr/>
                        </pic:nvPicPr>
                        <pic:blipFill>
                          <a:blip r:embed="rId17"/>
                          <a:stretch>
                            <a:fillRect/>
                          </a:stretch>
                        </pic:blipFill>
                        <pic:spPr>
                          <a:xfrm>
                            <a:off x="0" y="0"/>
                            <a:ext cx="514350" cy="826135"/>
                          </a:xfrm>
                          <a:prstGeom prst="rect">
                            <a:avLst/>
                          </a:prstGeom>
                          <a:noFill/>
                          <a:ln>
                            <a:noFill/>
                          </a:ln>
                        </pic:spPr>
                      </pic:pic>
                    </a:graphicData>
                  </a:graphic>
                </wp:anchor>
              </w:drawing>
            </w:r>
          </w:p>
        </w:tc>
        <w:tc>
          <w:tcPr>
            <w:tcW w:w="832" w:type="pct"/>
            <w:shd w:val="clear" w:color="auto" w:fill="auto"/>
            <w:vAlign w:val="center"/>
          </w:tcPr>
          <w:p w14:paraId="46AAB2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4A5904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一、结构：两组旋转刀片交叉剪切（片/丝），刀片可拆卸清洗，进料口安全防护，底部防滑脚垫。</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2.食品接触部件：304不锈钢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2.功率0.75KW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3.产能：肉片≥300kg/h，肉丝≥150kg/h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4.切片厚度：0-10mm可调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5.净重≥46kg</w:t>
            </w:r>
          </w:p>
        </w:tc>
        <w:tc>
          <w:tcPr>
            <w:tcW w:w="376" w:type="pct"/>
            <w:shd w:val="clear" w:color="auto" w:fill="auto"/>
            <w:noWrap/>
            <w:vAlign w:val="center"/>
          </w:tcPr>
          <w:p w14:paraId="38A9AA6A">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裕飞永强、恒联、恒基隆</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5B68D88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2DDE666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1696293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1950</w:t>
            </w:r>
          </w:p>
        </w:tc>
        <w:tc>
          <w:tcPr>
            <w:tcW w:w="231" w:type="pct"/>
            <w:shd w:val="clear" w:color="auto" w:fill="auto"/>
            <w:noWrap/>
            <w:vAlign w:val="center"/>
          </w:tcPr>
          <w:p w14:paraId="59B9C44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1950</w:t>
            </w:r>
          </w:p>
        </w:tc>
      </w:tr>
      <w:tr w14:paraId="704A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noWrap/>
            <w:vAlign w:val="center"/>
          </w:tcPr>
          <w:p w14:paraId="787785A6">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16</w:t>
            </w:r>
          </w:p>
        </w:tc>
        <w:tc>
          <w:tcPr>
            <w:tcW w:w="548" w:type="pct"/>
            <w:shd w:val="clear" w:color="auto" w:fill="auto"/>
            <w:vAlign w:val="center"/>
          </w:tcPr>
          <w:p w14:paraId="629C6EA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绞肉机</w:t>
            </w:r>
          </w:p>
        </w:tc>
        <w:tc>
          <w:tcPr>
            <w:tcW w:w="502" w:type="pct"/>
            <w:shd w:val="clear" w:color="auto" w:fill="auto"/>
            <w:vAlign w:val="top"/>
          </w:tcPr>
          <w:p w14:paraId="7A4045DA">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81915</wp:posOffset>
                  </wp:positionH>
                  <wp:positionV relativeFrom="paragraph">
                    <wp:posOffset>294005</wp:posOffset>
                  </wp:positionV>
                  <wp:extent cx="681355" cy="991235"/>
                  <wp:effectExtent l="0" t="0" r="4445" b="18415"/>
                  <wp:wrapNone/>
                  <wp:docPr id="54" name="ID_65088E6CC36044EDB07CEA79CF28A92F"/>
                  <wp:cNvGraphicFramePr/>
                  <a:graphic xmlns:a="http://schemas.openxmlformats.org/drawingml/2006/main">
                    <a:graphicData uri="http://schemas.openxmlformats.org/drawingml/2006/picture">
                      <pic:pic xmlns:pic="http://schemas.openxmlformats.org/drawingml/2006/picture">
                        <pic:nvPicPr>
                          <pic:cNvPr id="54" name="ID_65088E6CC36044EDB07CEA79CF28A92F"/>
                          <pic:cNvPicPr/>
                        </pic:nvPicPr>
                        <pic:blipFill>
                          <a:blip r:embed="rId18"/>
                          <a:stretch>
                            <a:fillRect/>
                          </a:stretch>
                        </pic:blipFill>
                        <pic:spPr>
                          <a:xfrm>
                            <a:off x="0" y="0"/>
                            <a:ext cx="681355" cy="991235"/>
                          </a:xfrm>
                          <a:prstGeom prst="rect">
                            <a:avLst/>
                          </a:prstGeom>
                          <a:noFill/>
                          <a:ln>
                            <a:noFill/>
                          </a:ln>
                        </pic:spPr>
                      </pic:pic>
                    </a:graphicData>
                  </a:graphic>
                </wp:anchor>
              </w:drawing>
            </w:r>
          </w:p>
        </w:tc>
        <w:tc>
          <w:tcPr>
            <w:tcW w:w="832" w:type="pct"/>
            <w:shd w:val="clear" w:color="auto" w:fill="auto"/>
            <w:vAlign w:val="center"/>
          </w:tcPr>
          <w:p w14:paraId="2DADDA5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2EFC45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一、结构：全封闭齿轮传动，机头及接触件可拆卸清洗，进料口安全防护，底部防滑脚垫。</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2.食品接触部件：304不锈钢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2.功率0.75kW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3.产能≥220kg/h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4.净重≥44kg</w:t>
            </w:r>
          </w:p>
        </w:tc>
        <w:tc>
          <w:tcPr>
            <w:tcW w:w="376" w:type="pct"/>
            <w:shd w:val="clear" w:color="auto" w:fill="auto"/>
            <w:noWrap/>
            <w:vAlign w:val="center"/>
          </w:tcPr>
          <w:p w14:paraId="30964FC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裕飞永强、恒基隆、恒联</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6CF19FE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6B518CC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0F5280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1950</w:t>
            </w:r>
          </w:p>
        </w:tc>
        <w:tc>
          <w:tcPr>
            <w:tcW w:w="231" w:type="pct"/>
            <w:shd w:val="clear" w:color="auto" w:fill="auto"/>
            <w:noWrap/>
            <w:vAlign w:val="center"/>
          </w:tcPr>
          <w:p w14:paraId="3F72FA4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1950</w:t>
            </w:r>
          </w:p>
        </w:tc>
      </w:tr>
      <w:tr w14:paraId="5BE4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2" w:hRule="atLeast"/>
        </w:trPr>
        <w:tc>
          <w:tcPr>
            <w:tcW w:w="270" w:type="pct"/>
            <w:shd w:val="clear" w:color="auto" w:fill="auto"/>
            <w:noWrap/>
            <w:vAlign w:val="center"/>
          </w:tcPr>
          <w:p w14:paraId="33E9162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17</w:t>
            </w:r>
          </w:p>
        </w:tc>
        <w:tc>
          <w:tcPr>
            <w:tcW w:w="548" w:type="pct"/>
            <w:shd w:val="clear" w:color="auto" w:fill="auto"/>
            <w:vAlign w:val="center"/>
          </w:tcPr>
          <w:p w14:paraId="293B3C1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砧板刀具消毒柜</w:t>
            </w:r>
          </w:p>
        </w:tc>
        <w:tc>
          <w:tcPr>
            <w:tcW w:w="502" w:type="pct"/>
            <w:shd w:val="clear" w:color="auto" w:fill="auto"/>
            <w:vAlign w:val="top"/>
          </w:tcPr>
          <w:p w14:paraId="1BF3BD48">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8255</wp:posOffset>
                  </wp:positionH>
                  <wp:positionV relativeFrom="paragraph">
                    <wp:posOffset>763905</wp:posOffset>
                  </wp:positionV>
                  <wp:extent cx="788035" cy="863600"/>
                  <wp:effectExtent l="0" t="0" r="12065" b="12700"/>
                  <wp:wrapNone/>
                  <wp:docPr id="11" name="ID_13D16AA3308A461A9D6E3C557F8F7755"/>
                  <wp:cNvGraphicFramePr/>
                  <a:graphic xmlns:a="http://schemas.openxmlformats.org/drawingml/2006/main">
                    <a:graphicData uri="http://schemas.openxmlformats.org/drawingml/2006/picture">
                      <pic:pic xmlns:pic="http://schemas.openxmlformats.org/drawingml/2006/picture">
                        <pic:nvPicPr>
                          <pic:cNvPr id="11" name="ID_13D16AA3308A461A9D6E3C557F8F7755"/>
                          <pic:cNvPicPr/>
                        </pic:nvPicPr>
                        <pic:blipFill>
                          <a:blip r:embed="rId19"/>
                          <a:stretch>
                            <a:fillRect/>
                          </a:stretch>
                        </pic:blipFill>
                        <pic:spPr>
                          <a:xfrm>
                            <a:off x="0" y="0"/>
                            <a:ext cx="788035" cy="863600"/>
                          </a:xfrm>
                          <a:prstGeom prst="rect">
                            <a:avLst/>
                          </a:prstGeom>
                          <a:noFill/>
                          <a:ln>
                            <a:noFill/>
                          </a:ln>
                        </pic:spPr>
                      </pic:pic>
                    </a:graphicData>
                  </a:graphic>
                </wp:anchor>
              </w:drawing>
            </w:r>
          </w:p>
        </w:tc>
        <w:tc>
          <w:tcPr>
            <w:tcW w:w="832" w:type="pct"/>
            <w:shd w:val="clear" w:color="auto" w:fill="auto"/>
            <w:vAlign w:val="center"/>
          </w:tcPr>
          <w:p w14:paraId="05185960">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67B174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一、结构：上下柜，紫外+热风双重消毒。内部分区：砧板刀具区容纳≥8块砧板(Φ≥500mm)+≥10把刀具(L≥260mm)；毛巾杂项区配≥2层网格层架+≥2根可拆不锈钢毛巾挂杆。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1.整体框架≥1.0mm201不锈钢板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2.内胆/架：201不锈钢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3.焊接精细，边缘圆滑</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▲消毒等级：国标二星级</w:t>
            </w:r>
          </w:p>
        </w:tc>
        <w:tc>
          <w:tcPr>
            <w:tcW w:w="376" w:type="pct"/>
            <w:shd w:val="clear" w:color="auto" w:fill="auto"/>
            <w:noWrap/>
            <w:vAlign w:val="center"/>
          </w:tcPr>
          <w:p w14:paraId="384E4547">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rPr>
              <w:t>万宝</w:t>
            </w:r>
            <w:r>
              <w:rPr>
                <w:rFonts w:hint="eastAsia" w:ascii="仿宋" w:hAnsi="仿宋" w:eastAsia="仿宋" w:cs="仿宋"/>
                <w:i w:val="0"/>
                <w:iCs w:val="0"/>
                <w:color w:val="000000"/>
                <w:sz w:val="18"/>
                <w:szCs w:val="18"/>
                <w:highlight w:val="none"/>
                <w:u w:val="none"/>
                <w:lang w:eastAsia="zh-CN"/>
              </w:rPr>
              <w:t>、鑫朗特、康白洁</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06057BE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587CAC2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E78B3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5500</w:t>
            </w:r>
          </w:p>
        </w:tc>
        <w:tc>
          <w:tcPr>
            <w:tcW w:w="231" w:type="pct"/>
            <w:shd w:val="clear" w:color="auto" w:fill="auto"/>
            <w:noWrap/>
            <w:vAlign w:val="center"/>
          </w:tcPr>
          <w:p w14:paraId="1BBA90B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5500</w:t>
            </w:r>
          </w:p>
        </w:tc>
      </w:tr>
      <w:tr w14:paraId="403B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vAlign w:val="center"/>
          </w:tcPr>
          <w:p w14:paraId="1A2A5E7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D</w:t>
            </w:r>
          </w:p>
        </w:tc>
        <w:tc>
          <w:tcPr>
            <w:tcW w:w="548" w:type="pct"/>
            <w:shd w:val="clear" w:color="auto" w:fill="auto"/>
            <w:vAlign w:val="center"/>
          </w:tcPr>
          <w:p w14:paraId="290362F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面点间</w:t>
            </w:r>
          </w:p>
        </w:tc>
        <w:tc>
          <w:tcPr>
            <w:tcW w:w="502" w:type="pct"/>
            <w:shd w:val="clear" w:color="auto" w:fill="auto"/>
            <w:vAlign w:val="center"/>
          </w:tcPr>
          <w:p w14:paraId="5C070E85">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37CFA64C">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3B10473">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643D5254">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6B9A1D36">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040A0585">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52DDB8F0">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0C902BBE">
            <w:pPr>
              <w:jc w:val="center"/>
              <w:rPr>
                <w:rFonts w:hint="eastAsia" w:ascii="仿宋" w:hAnsi="仿宋" w:eastAsia="仿宋" w:cs="仿宋"/>
                <w:i w:val="0"/>
                <w:iCs w:val="0"/>
                <w:color w:val="000000"/>
                <w:sz w:val="18"/>
                <w:szCs w:val="18"/>
                <w:highlight w:val="none"/>
                <w:u w:val="none"/>
              </w:rPr>
            </w:pPr>
          </w:p>
        </w:tc>
      </w:tr>
      <w:tr w14:paraId="6A83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42" w:hRule="atLeast"/>
        </w:trPr>
        <w:tc>
          <w:tcPr>
            <w:tcW w:w="270" w:type="pct"/>
            <w:shd w:val="clear" w:color="auto" w:fill="auto"/>
            <w:vAlign w:val="center"/>
          </w:tcPr>
          <w:p w14:paraId="4B0AC6C4">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18</w:t>
            </w:r>
          </w:p>
        </w:tc>
        <w:tc>
          <w:tcPr>
            <w:tcW w:w="548" w:type="pct"/>
            <w:shd w:val="clear" w:color="auto" w:fill="auto"/>
            <w:vAlign w:val="center"/>
          </w:tcPr>
          <w:p w14:paraId="57C7819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0402A21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-3175</wp:posOffset>
                  </wp:positionH>
                  <wp:positionV relativeFrom="paragraph">
                    <wp:posOffset>147955</wp:posOffset>
                  </wp:positionV>
                  <wp:extent cx="735330" cy="561340"/>
                  <wp:effectExtent l="0" t="0" r="7620" b="10160"/>
                  <wp:wrapNone/>
                  <wp:docPr id="57" name="ID_497AC02572CD494D8A4653A32114579D_SpCnt_1"/>
                  <wp:cNvGraphicFramePr/>
                  <a:graphic xmlns:a="http://schemas.openxmlformats.org/drawingml/2006/main">
                    <a:graphicData uri="http://schemas.openxmlformats.org/drawingml/2006/picture">
                      <pic:pic xmlns:pic="http://schemas.openxmlformats.org/drawingml/2006/picture">
                        <pic:nvPicPr>
                          <pic:cNvPr id="57" name="ID_497AC02572CD494D8A4653A32114579D_SpCnt_1"/>
                          <pic:cNvPicPr/>
                        </pic:nvPicPr>
                        <pic:blipFill>
                          <a:blip r:embed="rId8"/>
                          <a:stretch>
                            <a:fillRect/>
                          </a:stretch>
                        </pic:blipFill>
                        <pic:spPr>
                          <a:xfrm>
                            <a:off x="0" y="0"/>
                            <a:ext cx="735330" cy="561340"/>
                          </a:xfrm>
                          <a:prstGeom prst="rect">
                            <a:avLst/>
                          </a:prstGeom>
                          <a:noFill/>
                          <a:ln>
                            <a:noFill/>
                          </a:ln>
                        </pic:spPr>
                      </pic:pic>
                    </a:graphicData>
                  </a:graphic>
                </wp:anchor>
              </w:drawing>
            </w:r>
          </w:p>
        </w:tc>
        <w:tc>
          <w:tcPr>
            <w:tcW w:w="832" w:type="pct"/>
            <w:shd w:val="clear" w:color="auto" w:fill="auto"/>
            <w:vAlign w:val="center"/>
          </w:tcPr>
          <w:p w14:paraId="6243DED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5F3FC0F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306B0B8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7BD3B2C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7A4C6E4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A6A165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6C8EB60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1BB6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270" w:type="pct"/>
            <w:shd w:val="clear" w:color="auto" w:fill="auto"/>
            <w:vAlign w:val="center"/>
          </w:tcPr>
          <w:p w14:paraId="2889226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19</w:t>
            </w:r>
          </w:p>
        </w:tc>
        <w:tc>
          <w:tcPr>
            <w:tcW w:w="548" w:type="pct"/>
            <w:shd w:val="clear" w:color="auto" w:fill="auto"/>
            <w:vAlign w:val="center"/>
          </w:tcPr>
          <w:p w14:paraId="4614C53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饼盘车</w:t>
            </w:r>
          </w:p>
        </w:tc>
        <w:tc>
          <w:tcPr>
            <w:tcW w:w="502" w:type="pct"/>
            <w:shd w:val="clear" w:color="auto" w:fill="auto"/>
            <w:vAlign w:val="top"/>
          </w:tcPr>
          <w:p w14:paraId="79CADA55">
            <w:pPr>
              <w:keepNext w:val="0"/>
              <w:keepLines w:val="0"/>
              <w:widowControl/>
              <w:suppressLineNumbers w:val="0"/>
              <w:jc w:val="center"/>
              <w:textAlignment w:val="top"/>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10795</wp:posOffset>
                  </wp:positionH>
                  <wp:positionV relativeFrom="paragraph">
                    <wp:posOffset>196850</wp:posOffset>
                  </wp:positionV>
                  <wp:extent cx="716915" cy="436880"/>
                  <wp:effectExtent l="0" t="0" r="6985" b="1270"/>
                  <wp:wrapNone/>
                  <wp:docPr id="12" name="ID_405E02DA33AB4CE1B16F0B6C0F4450D0"/>
                  <wp:cNvGraphicFramePr/>
                  <a:graphic xmlns:a="http://schemas.openxmlformats.org/drawingml/2006/main">
                    <a:graphicData uri="http://schemas.openxmlformats.org/drawingml/2006/picture">
                      <pic:pic xmlns:pic="http://schemas.openxmlformats.org/drawingml/2006/picture">
                        <pic:nvPicPr>
                          <pic:cNvPr id="12" name="ID_405E02DA33AB4CE1B16F0B6C0F4450D0"/>
                          <pic:cNvPicPr/>
                        </pic:nvPicPr>
                        <pic:blipFill>
                          <a:blip r:embed="rId20"/>
                          <a:stretch>
                            <a:fillRect/>
                          </a:stretch>
                        </pic:blipFill>
                        <pic:spPr>
                          <a:xfrm>
                            <a:off x="0" y="0"/>
                            <a:ext cx="716915" cy="436880"/>
                          </a:xfrm>
                          <a:prstGeom prst="rect">
                            <a:avLst/>
                          </a:prstGeom>
                          <a:noFill/>
                          <a:ln>
                            <a:noFill/>
                          </a:ln>
                        </pic:spPr>
                      </pic:pic>
                    </a:graphicData>
                  </a:graphic>
                </wp:anchor>
              </w:drawing>
            </w:r>
          </w:p>
        </w:tc>
        <w:tc>
          <w:tcPr>
            <w:tcW w:w="832" w:type="pct"/>
            <w:shd w:val="clear" w:color="auto" w:fill="auto"/>
            <w:vAlign w:val="center"/>
          </w:tcPr>
          <w:p w14:paraId="2E4BF61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420*720*1670mm</w:t>
            </w:r>
          </w:p>
        </w:tc>
        <w:tc>
          <w:tcPr>
            <w:tcW w:w="1559" w:type="pct"/>
            <w:shd w:val="clear" w:color="auto" w:fill="auto"/>
            <w:vAlign w:val="center"/>
          </w:tcPr>
          <w:p w14:paraId="5933EFB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一、结构：饼盘车（落地架），底部配天然橡胶耐磨脚轮。</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1.主体：1.0mm厚304不锈钢，表面光滑易清洗</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2.脚轮：天然橡胶耐磨轮</w:t>
            </w:r>
          </w:p>
        </w:tc>
        <w:tc>
          <w:tcPr>
            <w:tcW w:w="376" w:type="pct"/>
            <w:shd w:val="clear" w:color="auto" w:fill="auto"/>
            <w:vAlign w:val="center"/>
          </w:tcPr>
          <w:p w14:paraId="401D91B5">
            <w:pPr>
              <w:jc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150E23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243487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451B924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c>
          <w:tcPr>
            <w:tcW w:w="231" w:type="pct"/>
            <w:shd w:val="clear" w:color="auto" w:fill="auto"/>
            <w:noWrap/>
            <w:vAlign w:val="center"/>
          </w:tcPr>
          <w:p w14:paraId="0499719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r>
      <w:tr w14:paraId="1AD6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2" w:hRule="atLeast"/>
        </w:trPr>
        <w:tc>
          <w:tcPr>
            <w:tcW w:w="270" w:type="pct"/>
            <w:shd w:val="clear" w:color="auto" w:fill="auto"/>
            <w:vAlign w:val="center"/>
          </w:tcPr>
          <w:p w14:paraId="2EB5040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20</w:t>
            </w:r>
          </w:p>
        </w:tc>
        <w:tc>
          <w:tcPr>
            <w:tcW w:w="548" w:type="pct"/>
            <w:shd w:val="clear" w:color="auto" w:fill="auto"/>
            <w:vAlign w:val="center"/>
          </w:tcPr>
          <w:p w14:paraId="584AFB9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搅拌机</w:t>
            </w:r>
          </w:p>
        </w:tc>
        <w:tc>
          <w:tcPr>
            <w:tcW w:w="502" w:type="pct"/>
            <w:shd w:val="clear" w:color="auto" w:fill="auto"/>
            <w:vAlign w:val="center"/>
          </w:tcPr>
          <w:p w14:paraId="09E3659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67945</wp:posOffset>
                  </wp:positionH>
                  <wp:positionV relativeFrom="paragraph">
                    <wp:posOffset>44450</wp:posOffset>
                  </wp:positionV>
                  <wp:extent cx="655955" cy="822325"/>
                  <wp:effectExtent l="0" t="0" r="10795" b="15875"/>
                  <wp:wrapNone/>
                  <wp:docPr id="13" name="ID_910C4138A58A47899AD9D8E776237533"/>
                  <wp:cNvGraphicFramePr/>
                  <a:graphic xmlns:a="http://schemas.openxmlformats.org/drawingml/2006/main">
                    <a:graphicData uri="http://schemas.openxmlformats.org/drawingml/2006/picture">
                      <pic:pic xmlns:pic="http://schemas.openxmlformats.org/drawingml/2006/picture">
                        <pic:nvPicPr>
                          <pic:cNvPr id="13" name="ID_910C4138A58A47899AD9D8E776237533"/>
                          <pic:cNvPicPr/>
                        </pic:nvPicPr>
                        <pic:blipFill>
                          <a:blip r:embed="rId21"/>
                          <a:stretch>
                            <a:fillRect/>
                          </a:stretch>
                        </pic:blipFill>
                        <pic:spPr>
                          <a:xfrm>
                            <a:off x="0" y="0"/>
                            <a:ext cx="655955" cy="822325"/>
                          </a:xfrm>
                          <a:prstGeom prst="rect">
                            <a:avLst/>
                          </a:prstGeom>
                          <a:noFill/>
                          <a:ln>
                            <a:noFill/>
                          </a:ln>
                        </pic:spPr>
                      </pic:pic>
                    </a:graphicData>
                  </a:graphic>
                </wp:anchor>
              </w:drawing>
            </w:r>
          </w:p>
        </w:tc>
        <w:tc>
          <w:tcPr>
            <w:tcW w:w="832" w:type="pct"/>
            <w:shd w:val="clear" w:color="auto" w:fill="auto"/>
            <w:vAlign w:val="center"/>
          </w:tcPr>
          <w:p w14:paraId="5C60D46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1613C4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一、结构：可拆卸料筒，三档机械调速（低/中/高速），支持搅拌、打蛋、和面，运行稳定，底部防滑。</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1.机身：201不锈钢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2.料筒及搅拌配件：均采用304不锈钢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2.功率：1.1kW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3.料桶容量：≥20L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4.挡位：三档可调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5.净重：≥64kg</w:t>
            </w:r>
          </w:p>
        </w:tc>
        <w:tc>
          <w:tcPr>
            <w:tcW w:w="376" w:type="pct"/>
            <w:shd w:val="clear" w:color="auto" w:fill="auto"/>
            <w:vAlign w:val="center"/>
          </w:tcPr>
          <w:p w14:paraId="6A017F4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裕飞永强、德玛仕、恒联</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022B512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021D19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48CA84B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4750</w:t>
            </w:r>
          </w:p>
        </w:tc>
        <w:tc>
          <w:tcPr>
            <w:tcW w:w="231" w:type="pct"/>
            <w:shd w:val="clear" w:color="auto" w:fill="auto"/>
            <w:noWrap/>
            <w:vAlign w:val="center"/>
          </w:tcPr>
          <w:p w14:paraId="731604D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4750</w:t>
            </w:r>
          </w:p>
        </w:tc>
      </w:tr>
      <w:tr w14:paraId="6A4F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270" w:type="pct"/>
            <w:shd w:val="clear" w:color="auto" w:fill="auto"/>
            <w:vAlign w:val="center"/>
          </w:tcPr>
          <w:p w14:paraId="1D12E955">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21</w:t>
            </w:r>
          </w:p>
        </w:tc>
        <w:tc>
          <w:tcPr>
            <w:tcW w:w="548" w:type="pct"/>
            <w:shd w:val="clear" w:color="auto" w:fill="auto"/>
            <w:vAlign w:val="center"/>
          </w:tcPr>
          <w:p w14:paraId="33B86E6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压切面机</w:t>
            </w:r>
          </w:p>
        </w:tc>
        <w:tc>
          <w:tcPr>
            <w:tcW w:w="502" w:type="pct"/>
            <w:shd w:val="clear" w:color="auto" w:fill="auto"/>
            <w:vAlign w:val="center"/>
          </w:tcPr>
          <w:p w14:paraId="01AF5BD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44450</wp:posOffset>
                  </wp:positionH>
                  <wp:positionV relativeFrom="paragraph">
                    <wp:posOffset>125730</wp:posOffset>
                  </wp:positionV>
                  <wp:extent cx="622935" cy="1226185"/>
                  <wp:effectExtent l="0" t="0" r="5715" b="12065"/>
                  <wp:wrapNone/>
                  <wp:docPr id="21" name="ID_EBAA1A37B9ED4166971CA7D49D70ABB9"/>
                  <wp:cNvGraphicFramePr/>
                  <a:graphic xmlns:a="http://schemas.openxmlformats.org/drawingml/2006/main">
                    <a:graphicData uri="http://schemas.openxmlformats.org/drawingml/2006/picture">
                      <pic:pic xmlns:pic="http://schemas.openxmlformats.org/drawingml/2006/picture">
                        <pic:nvPicPr>
                          <pic:cNvPr id="21" name="ID_EBAA1A37B9ED4166971CA7D49D70ABB9"/>
                          <pic:cNvPicPr/>
                        </pic:nvPicPr>
                        <pic:blipFill>
                          <a:blip r:embed="rId22"/>
                          <a:stretch>
                            <a:fillRect/>
                          </a:stretch>
                        </pic:blipFill>
                        <pic:spPr>
                          <a:xfrm>
                            <a:off x="0" y="0"/>
                            <a:ext cx="622935" cy="1226185"/>
                          </a:xfrm>
                          <a:prstGeom prst="rect">
                            <a:avLst/>
                          </a:prstGeom>
                          <a:noFill/>
                          <a:ln>
                            <a:noFill/>
                          </a:ln>
                        </pic:spPr>
                      </pic:pic>
                    </a:graphicData>
                  </a:graphic>
                </wp:anchor>
              </w:drawing>
            </w:r>
          </w:p>
        </w:tc>
        <w:tc>
          <w:tcPr>
            <w:tcW w:w="832" w:type="pct"/>
            <w:shd w:val="clear" w:color="auto" w:fill="auto"/>
            <w:vAlign w:val="center"/>
          </w:tcPr>
          <w:p w14:paraId="13B47AA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543BEC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一、结构：压切一体，配多规格切面刀组（快速切换），进料口安全防护挡板，底部重型防滑脚垫。</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1.食品接触部件（压面辊、刀片、切刀等）：304不锈钢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2.机身外壳：201不锈钢，拉丝/抛光处理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1.电源：220/380V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3.压面辊转速：60r/min</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4.压面辊规格：长度230mm，直径87mm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5.压面厚度：1-8mm可调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6.工作效率：25-30kg/h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7.净重：86kg</w:t>
            </w:r>
          </w:p>
        </w:tc>
        <w:tc>
          <w:tcPr>
            <w:tcW w:w="376" w:type="pct"/>
            <w:shd w:val="clear" w:color="auto" w:fill="auto"/>
            <w:vAlign w:val="center"/>
          </w:tcPr>
          <w:p w14:paraId="125E592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裕飞永强、力丰、恒基隆</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273E359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2BDBE9D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186CC24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4000</w:t>
            </w:r>
          </w:p>
        </w:tc>
        <w:tc>
          <w:tcPr>
            <w:tcW w:w="231" w:type="pct"/>
            <w:shd w:val="clear" w:color="auto" w:fill="auto"/>
            <w:noWrap/>
            <w:vAlign w:val="center"/>
          </w:tcPr>
          <w:p w14:paraId="12A732C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4000</w:t>
            </w:r>
          </w:p>
        </w:tc>
      </w:tr>
      <w:tr w14:paraId="1481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16" w:hRule="atLeast"/>
        </w:trPr>
        <w:tc>
          <w:tcPr>
            <w:tcW w:w="270" w:type="pct"/>
            <w:shd w:val="clear" w:color="auto" w:fill="auto"/>
            <w:vAlign w:val="center"/>
          </w:tcPr>
          <w:p w14:paraId="369ACDA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22</w:t>
            </w:r>
          </w:p>
        </w:tc>
        <w:tc>
          <w:tcPr>
            <w:tcW w:w="548" w:type="pct"/>
            <w:shd w:val="clear" w:color="auto" w:fill="auto"/>
            <w:vAlign w:val="center"/>
          </w:tcPr>
          <w:p w14:paraId="72B11BB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双动和面机</w:t>
            </w:r>
          </w:p>
        </w:tc>
        <w:tc>
          <w:tcPr>
            <w:tcW w:w="502" w:type="pct"/>
            <w:shd w:val="clear" w:color="auto" w:fill="auto"/>
            <w:vAlign w:val="center"/>
          </w:tcPr>
          <w:p w14:paraId="595CCEA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41910</wp:posOffset>
                  </wp:positionH>
                  <wp:positionV relativeFrom="paragraph">
                    <wp:posOffset>67310</wp:posOffset>
                  </wp:positionV>
                  <wp:extent cx="709930" cy="787400"/>
                  <wp:effectExtent l="0" t="0" r="13970" b="12700"/>
                  <wp:wrapNone/>
                  <wp:docPr id="86" name="ID_DD4BF2D2820446ABA9F570A968A8E81C"/>
                  <wp:cNvGraphicFramePr/>
                  <a:graphic xmlns:a="http://schemas.openxmlformats.org/drawingml/2006/main">
                    <a:graphicData uri="http://schemas.openxmlformats.org/drawingml/2006/picture">
                      <pic:pic xmlns:pic="http://schemas.openxmlformats.org/drawingml/2006/picture">
                        <pic:nvPicPr>
                          <pic:cNvPr id="86" name="ID_DD4BF2D2820446ABA9F570A968A8E81C"/>
                          <pic:cNvPicPr/>
                        </pic:nvPicPr>
                        <pic:blipFill>
                          <a:blip r:embed="rId23"/>
                          <a:stretch>
                            <a:fillRect/>
                          </a:stretch>
                        </pic:blipFill>
                        <pic:spPr>
                          <a:xfrm>
                            <a:off x="0" y="0"/>
                            <a:ext cx="709930" cy="787400"/>
                          </a:xfrm>
                          <a:prstGeom prst="rect">
                            <a:avLst/>
                          </a:prstGeom>
                          <a:noFill/>
                          <a:ln>
                            <a:noFill/>
                          </a:ln>
                        </pic:spPr>
                      </pic:pic>
                    </a:graphicData>
                  </a:graphic>
                </wp:anchor>
              </w:drawing>
            </w:r>
          </w:p>
        </w:tc>
        <w:tc>
          <w:tcPr>
            <w:tcW w:w="832" w:type="pct"/>
            <w:shd w:val="clear" w:color="auto" w:fill="auto"/>
            <w:vAlign w:val="center"/>
          </w:tcPr>
          <w:p w14:paraId="3C0D440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B2B4C2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一、结构：立式双动双速，料桶容量40L，面粉处理5-16kg/次。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1.机身：201不锈钢/优质加厚冷板喷塑</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2.搅拌钩、料桶：304不锈钢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3.配防护罩，底部防滑</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2.功率:1.8kw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3.搅拌转速:≥120(r/min)</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4.料桶转速:≥15(r/min)</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5.最大和面量:≥16kg/次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6.净重≥80kg</w:t>
            </w:r>
          </w:p>
        </w:tc>
        <w:tc>
          <w:tcPr>
            <w:tcW w:w="376" w:type="pct"/>
            <w:shd w:val="clear" w:color="auto" w:fill="auto"/>
            <w:vAlign w:val="center"/>
          </w:tcPr>
          <w:p w14:paraId="65A6DB0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裕飞永强、力丰、乐创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1104D91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1165403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A0401F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5000</w:t>
            </w:r>
          </w:p>
        </w:tc>
        <w:tc>
          <w:tcPr>
            <w:tcW w:w="231" w:type="pct"/>
            <w:shd w:val="clear" w:color="auto" w:fill="auto"/>
            <w:noWrap/>
            <w:vAlign w:val="center"/>
          </w:tcPr>
          <w:p w14:paraId="0121B4A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5000</w:t>
            </w:r>
          </w:p>
        </w:tc>
      </w:tr>
      <w:tr w14:paraId="71BC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7" w:hRule="atLeast"/>
        </w:trPr>
        <w:tc>
          <w:tcPr>
            <w:tcW w:w="270" w:type="pct"/>
            <w:shd w:val="clear" w:color="auto" w:fill="auto"/>
            <w:vAlign w:val="center"/>
          </w:tcPr>
          <w:p w14:paraId="638B069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23</w:t>
            </w:r>
          </w:p>
        </w:tc>
        <w:tc>
          <w:tcPr>
            <w:tcW w:w="548" w:type="pct"/>
            <w:shd w:val="clear" w:color="auto" w:fill="auto"/>
            <w:vAlign w:val="center"/>
          </w:tcPr>
          <w:p w14:paraId="6607962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单星盆台</w:t>
            </w:r>
          </w:p>
        </w:tc>
        <w:tc>
          <w:tcPr>
            <w:tcW w:w="502" w:type="pct"/>
            <w:shd w:val="clear" w:color="auto" w:fill="auto"/>
            <w:noWrap/>
            <w:vAlign w:val="center"/>
          </w:tcPr>
          <w:p w14:paraId="6B9C3F7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26670</wp:posOffset>
                  </wp:positionH>
                  <wp:positionV relativeFrom="paragraph">
                    <wp:posOffset>-136525</wp:posOffset>
                  </wp:positionV>
                  <wp:extent cx="719455" cy="612775"/>
                  <wp:effectExtent l="0" t="0" r="4445" b="15875"/>
                  <wp:wrapNone/>
                  <wp:docPr id="73" name="ID_70243986FD6346189F17B187775CBFA3_SpCnt_1"/>
                  <wp:cNvGraphicFramePr/>
                  <a:graphic xmlns:a="http://schemas.openxmlformats.org/drawingml/2006/main">
                    <a:graphicData uri="http://schemas.openxmlformats.org/drawingml/2006/picture">
                      <pic:pic xmlns:pic="http://schemas.openxmlformats.org/drawingml/2006/picture">
                        <pic:nvPicPr>
                          <pic:cNvPr id="73" name="ID_70243986FD6346189F17B187775CBFA3_SpCnt_1"/>
                          <pic:cNvPicPr/>
                        </pic:nvPicPr>
                        <pic:blipFill>
                          <a:blip r:embed="rId24"/>
                          <a:stretch>
                            <a:fillRect/>
                          </a:stretch>
                        </pic:blipFill>
                        <pic:spPr>
                          <a:xfrm>
                            <a:off x="0" y="0"/>
                            <a:ext cx="719455" cy="612775"/>
                          </a:xfrm>
                          <a:prstGeom prst="rect">
                            <a:avLst/>
                          </a:prstGeom>
                          <a:noFill/>
                          <a:ln>
                            <a:noFill/>
                          </a:ln>
                        </pic:spPr>
                      </pic:pic>
                    </a:graphicData>
                  </a:graphic>
                </wp:anchor>
              </w:drawing>
            </w:r>
          </w:p>
        </w:tc>
        <w:tc>
          <w:tcPr>
            <w:tcW w:w="832" w:type="pct"/>
            <w:shd w:val="clear" w:color="auto" w:fill="auto"/>
            <w:vAlign w:val="center"/>
          </w:tcPr>
          <w:p w14:paraId="4008784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700×700×800mm，后挡水高度150mm</w:t>
            </w:r>
          </w:p>
        </w:tc>
        <w:tc>
          <w:tcPr>
            <w:tcW w:w="1559" w:type="pct"/>
            <w:shd w:val="clear" w:color="auto" w:fill="auto"/>
            <w:vAlign w:val="center"/>
          </w:tcPr>
          <w:p w14:paraId="1E77277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一、结构：单星盆带背挡水及前滴水沿，盆斗与台面一体拉伸或无缝焊接，台面四周向下双曲压弯40mm，支架满焊牢固并配可调节防滑地脚。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vAlign w:val="center"/>
          </w:tcPr>
          <w:p w14:paraId="771B48DE">
            <w:pPr>
              <w:jc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F07BC7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7D31104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48B08E3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c>
          <w:tcPr>
            <w:tcW w:w="231" w:type="pct"/>
            <w:shd w:val="clear" w:color="auto" w:fill="auto"/>
            <w:noWrap/>
            <w:vAlign w:val="center"/>
          </w:tcPr>
          <w:p w14:paraId="3B125F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r>
      <w:tr w14:paraId="68A4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74" w:hRule="atLeast"/>
        </w:trPr>
        <w:tc>
          <w:tcPr>
            <w:tcW w:w="270" w:type="pct"/>
            <w:shd w:val="clear" w:color="auto" w:fill="auto"/>
            <w:vAlign w:val="center"/>
          </w:tcPr>
          <w:p w14:paraId="00BC8A6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24</w:t>
            </w:r>
          </w:p>
        </w:tc>
        <w:tc>
          <w:tcPr>
            <w:tcW w:w="548" w:type="pct"/>
            <w:shd w:val="clear" w:color="auto" w:fill="auto"/>
            <w:vAlign w:val="center"/>
          </w:tcPr>
          <w:p w14:paraId="7654278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电饼铛</w:t>
            </w:r>
          </w:p>
        </w:tc>
        <w:tc>
          <w:tcPr>
            <w:tcW w:w="502" w:type="pct"/>
            <w:shd w:val="clear" w:color="auto" w:fill="auto"/>
            <w:vAlign w:val="top"/>
          </w:tcPr>
          <w:p w14:paraId="652B8D75">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75565</wp:posOffset>
                  </wp:positionH>
                  <wp:positionV relativeFrom="paragraph">
                    <wp:posOffset>796925</wp:posOffset>
                  </wp:positionV>
                  <wp:extent cx="595630" cy="759460"/>
                  <wp:effectExtent l="0" t="0" r="13970" b="2540"/>
                  <wp:wrapNone/>
                  <wp:docPr id="92" name="ID_E267253ED2654BE6901079B989931EF9"/>
                  <wp:cNvGraphicFramePr/>
                  <a:graphic xmlns:a="http://schemas.openxmlformats.org/drawingml/2006/main">
                    <a:graphicData uri="http://schemas.openxmlformats.org/drawingml/2006/picture">
                      <pic:pic xmlns:pic="http://schemas.openxmlformats.org/drawingml/2006/picture">
                        <pic:nvPicPr>
                          <pic:cNvPr id="92" name="ID_E267253ED2654BE6901079B989931EF9"/>
                          <pic:cNvPicPr/>
                        </pic:nvPicPr>
                        <pic:blipFill>
                          <a:blip r:embed="rId25"/>
                          <a:stretch>
                            <a:fillRect/>
                          </a:stretch>
                        </pic:blipFill>
                        <pic:spPr>
                          <a:xfrm>
                            <a:off x="0" y="0"/>
                            <a:ext cx="595630" cy="759460"/>
                          </a:xfrm>
                          <a:prstGeom prst="rect">
                            <a:avLst/>
                          </a:prstGeom>
                          <a:noFill/>
                          <a:ln>
                            <a:noFill/>
                          </a:ln>
                        </pic:spPr>
                      </pic:pic>
                    </a:graphicData>
                  </a:graphic>
                </wp:anchor>
              </w:drawing>
            </w:r>
          </w:p>
        </w:tc>
        <w:tc>
          <w:tcPr>
            <w:tcW w:w="832" w:type="pct"/>
            <w:shd w:val="clear" w:color="auto" w:fill="auto"/>
            <w:vAlign w:val="center"/>
          </w:tcPr>
          <w:p w14:paraId="25198CC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422FDA8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一、结构：立式悬浮款电饼铛。</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1.烤盘铝合金</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2.机身201不锈钢/喷涂优质钢板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1.电压：220/380V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3.温控室温：~300℃</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4.锅直径：530mm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5.锅深约：30mm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6.净重≥35kg</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7.产量约25-30kg/h</w:t>
            </w:r>
          </w:p>
        </w:tc>
        <w:tc>
          <w:tcPr>
            <w:tcW w:w="376" w:type="pct"/>
            <w:shd w:val="clear" w:color="auto" w:fill="auto"/>
            <w:vAlign w:val="center"/>
          </w:tcPr>
          <w:p w14:paraId="5D8C9FF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粤华、德玛仕、乐创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21499B9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EA7345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7536652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1950</w:t>
            </w:r>
          </w:p>
        </w:tc>
        <w:tc>
          <w:tcPr>
            <w:tcW w:w="231" w:type="pct"/>
            <w:shd w:val="clear" w:color="auto" w:fill="auto"/>
            <w:noWrap/>
            <w:vAlign w:val="center"/>
          </w:tcPr>
          <w:p w14:paraId="1E84341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1950</w:t>
            </w:r>
          </w:p>
        </w:tc>
      </w:tr>
      <w:tr w14:paraId="53CE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4" w:hRule="atLeast"/>
        </w:trPr>
        <w:tc>
          <w:tcPr>
            <w:tcW w:w="270" w:type="pct"/>
            <w:shd w:val="clear" w:color="auto" w:fill="auto"/>
            <w:vAlign w:val="center"/>
          </w:tcPr>
          <w:p w14:paraId="2D4DCC10">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25</w:t>
            </w:r>
          </w:p>
        </w:tc>
        <w:tc>
          <w:tcPr>
            <w:tcW w:w="548" w:type="pct"/>
            <w:shd w:val="clear" w:color="auto" w:fill="auto"/>
            <w:vAlign w:val="center"/>
          </w:tcPr>
          <w:p w14:paraId="09D5C6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不锈钢双门发酵箱</w:t>
            </w:r>
          </w:p>
        </w:tc>
        <w:tc>
          <w:tcPr>
            <w:tcW w:w="502" w:type="pct"/>
            <w:shd w:val="clear" w:color="auto" w:fill="auto"/>
            <w:vAlign w:val="top"/>
          </w:tcPr>
          <w:p w14:paraId="37DD8509">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-64135</wp:posOffset>
                  </wp:positionH>
                  <wp:positionV relativeFrom="paragraph">
                    <wp:posOffset>1492250</wp:posOffset>
                  </wp:positionV>
                  <wp:extent cx="888365" cy="810895"/>
                  <wp:effectExtent l="0" t="0" r="6985" b="8255"/>
                  <wp:wrapNone/>
                  <wp:docPr id="89" name="ID_7C06DE8E94FB4D22B7586301D129B7DB"/>
                  <wp:cNvGraphicFramePr/>
                  <a:graphic xmlns:a="http://schemas.openxmlformats.org/drawingml/2006/main">
                    <a:graphicData uri="http://schemas.openxmlformats.org/drawingml/2006/picture">
                      <pic:pic xmlns:pic="http://schemas.openxmlformats.org/drawingml/2006/picture">
                        <pic:nvPicPr>
                          <pic:cNvPr id="89" name="ID_7C06DE8E94FB4D22B7586301D129B7DB"/>
                          <pic:cNvPicPr/>
                        </pic:nvPicPr>
                        <pic:blipFill>
                          <a:blip r:embed="rId26"/>
                          <a:stretch>
                            <a:fillRect/>
                          </a:stretch>
                        </pic:blipFill>
                        <pic:spPr>
                          <a:xfrm>
                            <a:off x="0" y="0"/>
                            <a:ext cx="888365" cy="810895"/>
                          </a:xfrm>
                          <a:prstGeom prst="rect">
                            <a:avLst/>
                          </a:prstGeom>
                          <a:noFill/>
                          <a:ln>
                            <a:noFill/>
                          </a:ln>
                        </pic:spPr>
                      </pic:pic>
                    </a:graphicData>
                  </a:graphic>
                </wp:anchor>
              </w:drawing>
            </w:r>
          </w:p>
        </w:tc>
        <w:tc>
          <w:tcPr>
            <w:tcW w:w="832" w:type="pct"/>
            <w:shd w:val="clear" w:color="auto" w:fill="auto"/>
            <w:vAlign w:val="center"/>
          </w:tcPr>
          <w:p w14:paraId="38F8F3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8F845E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双门结构，内部设计26层活动层架，层架间距可调（常用烤盘间距90mm），适配标准烤盘（400×600mm）。配备宽敞玻璃视窗和内置照明系统，发酵过程一目了然。内置风机循环装置，通过控制电路使箱内温度均匀一致。设自动进水装置和任意调节层架。底部配万向脚轮及可调节脚架。</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箱体内外均采用201不锈钢制造。内胆无缝拉伸，无卫生死角；柜门采用耐高温磁性密封条。保温层采用高密度聚氨酯整体发泡，锁温性能优异。门体采用钢化玻璃视窗，透光性好，密封严密。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1.电源：220V/50Hz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2.功率：2.8kW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3.温控范围：30-60%，湿度范围：80-100%</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4.控制方式：全自动微电脑触摸式数控系统，温湿度双控，精准控制箱内环境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5.烤盘规格：400×600mm（26盘）</w:t>
            </w:r>
          </w:p>
        </w:tc>
        <w:tc>
          <w:tcPr>
            <w:tcW w:w="376" w:type="pct"/>
            <w:shd w:val="clear" w:color="auto" w:fill="auto"/>
            <w:vAlign w:val="center"/>
          </w:tcPr>
          <w:p w14:paraId="04C1023F">
            <w:pPr>
              <w:jc w:val="center"/>
              <w:rPr>
                <w:rFonts w:hint="eastAsia" w:ascii="仿宋" w:hAnsi="仿宋" w:eastAsia="仿宋" w:cs="仿宋"/>
                <w:i w:val="0"/>
                <w:iCs w:val="0"/>
                <w:color w:val="000000"/>
                <w:sz w:val="18"/>
                <w:szCs w:val="18"/>
                <w:highlight w:val="none"/>
                <w:u w:val="none"/>
                <w:lang w:eastAsia="zh-CN"/>
              </w:rPr>
            </w:pPr>
            <w:r>
              <w:rPr>
                <w:rFonts w:hint="eastAsia" w:ascii="仿宋" w:hAnsi="仿宋" w:eastAsia="仿宋" w:cs="仿宋"/>
                <w:i w:val="0"/>
                <w:iCs w:val="0"/>
                <w:color w:val="000000"/>
                <w:sz w:val="18"/>
                <w:szCs w:val="18"/>
                <w:highlight w:val="none"/>
                <w:u w:val="none"/>
              </w:rPr>
              <w:t>德玛仕、恒联、乐创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7FD5280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0BCC0FB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FD25DC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4300</w:t>
            </w:r>
          </w:p>
        </w:tc>
        <w:tc>
          <w:tcPr>
            <w:tcW w:w="231" w:type="pct"/>
            <w:shd w:val="clear" w:color="auto" w:fill="auto"/>
            <w:noWrap/>
            <w:vAlign w:val="center"/>
          </w:tcPr>
          <w:p w14:paraId="31E5327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4300</w:t>
            </w:r>
          </w:p>
        </w:tc>
      </w:tr>
      <w:tr w14:paraId="4C00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18" w:hRule="atLeast"/>
        </w:trPr>
        <w:tc>
          <w:tcPr>
            <w:tcW w:w="270" w:type="pct"/>
            <w:shd w:val="clear" w:color="auto" w:fill="auto"/>
            <w:vAlign w:val="center"/>
          </w:tcPr>
          <w:p w14:paraId="147E19EB">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26</w:t>
            </w:r>
          </w:p>
        </w:tc>
        <w:tc>
          <w:tcPr>
            <w:tcW w:w="548" w:type="pct"/>
            <w:shd w:val="clear" w:color="auto" w:fill="auto"/>
            <w:vAlign w:val="center"/>
          </w:tcPr>
          <w:p w14:paraId="429016B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面粉车</w:t>
            </w:r>
          </w:p>
        </w:tc>
        <w:tc>
          <w:tcPr>
            <w:tcW w:w="502" w:type="pct"/>
            <w:shd w:val="clear" w:color="auto" w:fill="auto"/>
            <w:vAlign w:val="center"/>
          </w:tcPr>
          <w:p w14:paraId="0858473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-45085</wp:posOffset>
                  </wp:positionH>
                  <wp:positionV relativeFrom="paragraph">
                    <wp:posOffset>-213995</wp:posOffset>
                  </wp:positionV>
                  <wp:extent cx="877570" cy="746125"/>
                  <wp:effectExtent l="0" t="0" r="17780" b="15875"/>
                  <wp:wrapNone/>
                  <wp:docPr id="65" name="ID_430E341FBA2D4A358682A17EA408663C"/>
                  <wp:cNvGraphicFramePr/>
                  <a:graphic xmlns:a="http://schemas.openxmlformats.org/drawingml/2006/main">
                    <a:graphicData uri="http://schemas.openxmlformats.org/drawingml/2006/picture">
                      <pic:pic xmlns:pic="http://schemas.openxmlformats.org/drawingml/2006/picture">
                        <pic:nvPicPr>
                          <pic:cNvPr id="65" name="ID_430E341FBA2D4A358682A17EA408663C"/>
                          <pic:cNvPicPr/>
                        </pic:nvPicPr>
                        <pic:blipFill>
                          <a:blip r:embed="rId27"/>
                          <a:stretch>
                            <a:fillRect/>
                          </a:stretch>
                        </pic:blipFill>
                        <pic:spPr>
                          <a:xfrm>
                            <a:off x="0" y="0"/>
                            <a:ext cx="877570" cy="746125"/>
                          </a:xfrm>
                          <a:prstGeom prst="rect">
                            <a:avLst/>
                          </a:prstGeom>
                          <a:noFill/>
                          <a:ln>
                            <a:noFill/>
                          </a:ln>
                        </pic:spPr>
                      </pic:pic>
                    </a:graphicData>
                  </a:graphic>
                </wp:anchor>
              </w:drawing>
            </w:r>
          </w:p>
        </w:tc>
        <w:tc>
          <w:tcPr>
            <w:tcW w:w="832" w:type="pct"/>
            <w:shd w:val="clear" w:color="auto" w:fill="auto"/>
            <w:vAlign w:val="center"/>
          </w:tcPr>
          <w:p w14:paraId="17605D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500×500×550mm</w:t>
            </w:r>
          </w:p>
        </w:tc>
        <w:tc>
          <w:tcPr>
            <w:tcW w:w="1559" w:type="pct"/>
            <w:shd w:val="clear" w:color="auto" w:fill="auto"/>
            <w:vAlign w:val="center"/>
          </w:tcPr>
          <w:p w14:paraId="55C4DF8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一、结构：面粉车，底部万向轮带刹车。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1.板材：1.2mm304不锈钢板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2.加强筋：1.0mm304不锈钢板折弯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3.脚轮：万向带刹车</w:t>
            </w:r>
          </w:p>
        </w:tc>
        <w:tc>
          <w:tcPr>
            <w:tcW w:w="376" w:type="pct"/>
            <w:shd w:val="clear" w:color="auto" w:fill="auto"/>
            <w:vAlign w:val="center"/>
          </w:tcPr>
          <w:p w14:paraId="6D1E9DAA">
            <w:pPr>
              <w:jc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967A02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3EC1D5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9442C2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w:t>
            </w:r>
          </w:p>
        </w:tc>
        <w:tc>
          <w:tcPr>
            <w:tcW w:w="231" w:type="pct"/>
            <w:shd w:val="clear" w:color="auto" w:fill="auto"/>
            <w:noWrap/>
            <w:vAlign w:val="center"/>
          </w:tcPr>
          <w:p w14:paraId="1B57A9F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w:t>
            </w:r>
          </w:p>
        </w:tc>
      </w:tr>
      <w:tr w14:paraId="09C6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70" w:type="pct"/>
            <w:shd w:val="clear" w:color="auto" w:fill="auto"/>
            <w:vAlign w:val="center"/>
          </w:tcPr>
          <w:p w14:paraId="7CC686F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27</w:t>
            </w:r>
          </w:p>
        </w:tc>
        <w:tc>
          <w:tcPr>
            <w:tcW w:w="548" w:type="pct"/>
            <w:shd w:val="clear" w:color="auto" w:fill="auto"/>
            <w:vAlign w:val="center"/>
          </w:tcPr>
          <w:p w14:paraId="658A36C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木质案板台带封板</w:t>
            </w:r>
          </w:p>
        </w:tc>
        <w:tc>
          <w:tcPr>
            <w:tcW w:w="502" w:type="pct"/>
            <w:shd w:val="clear" w:color="auto" w:fill="auto"/>
            <w:vAlign w:val="top"/>
          </w:tcPr>
          <w:p w14:paraId="23D2F2F7">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8480" behindDoc="1" locked="0" layoutInCell="1" allowOverlap="1">
                  <wp:simplePos x="0" y="0"/>
                  <wp:positionH relativeFrom="column">
                    <wp:posOffset>-5715</wp:posOffset>
                  </wp:positionH>
                  <wp:positionV relativeFrom="paragraph">
                    <wp:posOffset>531495</wp:posOffset>
                  </wp:positionV>
                  <wp:extent cx="767715" cy="641985"/>
                  <wp:effectExtent l="0" t="0" r="13335" b="5715"/>
                  <wp:wrapNone/>
                  <wp:docPr id="30" name="图片 55"/>
                  <wp:cNvGraphicFramePr/>
                  <a:graphic xmlns:a="http://schemas.openxmlformats.org/drawingml/2006/main">
                    <a:graphicData uri="http://schemas.openxmlformats.org/drawingml/2006/picture">
                      <pic:pic xmlns:pic="http://schemas.openxmlformats.org/drawingml/2006/picture">
                        <pic:nvPicPr>
                          <pic:cNvPr id="30" name="图片 55"/>
                          <pic:cNvPicPr/>
                        </pic:nvPicPr>
                        <pic:blipFill>
                          <a:blip r:embed="rId28"/>
                          <a:stretch>
                            <a:fillRect/>
                          </a:stretch>
                        </pic:blipFill>
                        <pic:spPr>
                          <a:xfrm flipH="1">
                            <a:off x="0" y="0"/>
                            <a:ext cx="767715" cy="641985"/>
                          </a:xfrm>
                          <a:prstGeom prst="rect">
                            <a:avLst/>
                          </a:prstGeom>
                          <a:noFill/>
                          <a:ln>
                            <a:noFill/>
                          </a:ln>
                        </pic:spPr>
                      </pic:pic>
                    </a:graphicData>
                  </a:graphic>
                </wp:anchor>
              </w:drawing>
            </w:r>
          </w:p>
        </w:tc>
        <w:tc>
          <w:tcPr>
            <w:tcW w:w="832" w:type="pct"/>
            <w:shd w:val="clear" w:color="auto" w:fill="auto"/>
            <w:vAlign w:val="center"/>
          </w:tcPr>
          <w:p w14:paraId="6BC7C89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010E06B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一、结构：不锈钢面粉台，面板下加垫防水夹板，底部配可调子弹脚。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1、整体采用304#不锈钢制作；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2、台面厚度1.0mm，内衬4mm防水机制板并用1.0mm厚不锈钢板折成加强筋加固；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3、下层板厚度1.0mm；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4、脚管采用Ф48*1.0mm厚不锈钢圆管；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5、台面是银杏木板；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6、配不锈钢可调子弹脚。</w:t>
            </w:r>
          </w:p>
        </w:tc>
        <w:tc>
          <w:tcPr>
            <w:tcW w:w="376" w:type="pct"/>
            <w:shd w:val="clear" w:color="auto" w:fill="auto"/>
            <w:vAlign w:val="center"/>
          </w:tcPr>
          <w:p w14:paraId="5D0A2435">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643E605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E6C332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64A0015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2890</w:t>
            </w:r>
          </w:p>
        </w:tc>
        <w:tc>
          <w:tcPr>
            <w:tcW w:w="231" w:type="pct"/>
            <w:shd w:val="clear" w:color="auto" w:fill="auto"/>
            <w:noWrap/>
            <w:vAlign w:val="center"/>
          </w:tcPr>
          <w:p w14:paraId="70F64E2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2890</w:t>
            </w:r>
          </w:p>
        </w:tc>
      </w:tr>
      <w:tr w14:paraId="2C099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0" w:hRule="atLeast"/>
        </w:trPr>
        <w:tc>
          <w:tcPr>
            <w:tcW w:w="270" w:type="pct"/>
            <w:shd w:val="clear" w:color="auto" w:fill="auto"/>
            <w:vAlign w:val="center"/>
          </w:tcPr>
          <w:p w14:paraId="55776FE5">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28</w:t>
            </w:r>
          </w:p>
        </w:tc>
        <w:tc>
          <w:tcPr>
            <w:tcW w:w="548" w:type="pct"/>
            <w:shd w:val="clear" w:color="auto" w:fill="auto"/>
            <w:vAlign w:val="center"/>
          </w:tcPr>
          <w:p w14:paraId="0EDDA37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shd w:val="clear" w:color="auto" w:fill="auto"/>
            <w:vAlign w:val="top"/>
          </w:tcPr>
          <w:p w14:paraId="5491589A">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20955</wp:posOffset>
                  </wp:positionH>
                  <wp:positionV relativeFrom="paragraph">
                    <wp:posOffset>691515</wp:posOffset>
                  </wp:positionV>
                  <wp:extent cx="697865" cy="468630"/>
                  <wp:effectExtent l="0" t="0" r="6985" b="7620"/>
                  <wp:wrapNone/>
                  <wp:docPr id="83" name="ID_94E2CDDD0BB9479091D4EDCDCE3F8563"/>
                  <wp:cNvGraphicFramePr/>
                  <a:graphic xmlns:a="http://schemas.openxmlformats.org/drawingml/2006/main">
                    <a:graphicData uri="http://schemas.openxmlformats.org/drawingml/2006/picture">
                      <pic:pic xmlns:pic="http://schemas.openxmlformats.org/drawingml/2006/picture">
                        <pic:nvPicPr>
                          <pic:cNvPr id="83" name="ID_94E2CDDD0BB9479091D4EDCDCE3F8563"/>
                          <pic:cNvPicPr/>
                        </pic:nvPicPr>
                        <pic:blipFill>
                          <a:blip r:embed="rId29"/>
                          <a:stretch>
                            <a:fillRect/>
                          </a:stretch>
                        </pic:blipFill>
                        <pic:spPr>
                          <a:xfrm>
                            <a:off x="0" y="0"/>
                            <a:ext cx="697865" cy="468630"/>
                          </a:xfrm>
                          <a:prstGeom prst="rect">
                            <a:avLst/>
                          </a:prstGeom>
                          <a:noFill/>
                          <a:ln>
                            <a:noFill/>
                          </a:ln>
                        </pic:spPr>
                      </pic:pic>
                    </a:graphicData>
                  </a:graphic>
                </wp:anchor>
              </w:drawing>
            </w:r>
          </w:p>
        </w:tc>
        <w:tc>
          <w:tcPr>
            <w:tcW w:w="832" w:type="pct"/>
            <w:shd w:val="clear" w:color="auto" w:fill="auto"/>
            <w:vAlign w:val="center"/>
          </w:tcPr>
          <w:p w14:paraId="549F6F4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1543C51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1.面板：304不锈钢1.2mm厚磨砂板，下垫15mm防水夹板并以0.8mm的优质钢板做底板封板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shd w:val="clear" w:color="auto" w:fill="auto"/>
            <w:vAlign w:val="center"/>
          </w:tcPr>
          <w:p w14:paraId="2B4DA1D1">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F093C9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14D00A6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414957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c>
          <w:tcPr>
            <w:tcW w:w="231" w:type="pct"/>
            <w:shd w:val="clear" w:color="auto" w:fill="auto"/>
            <w:noWrap/>
            <w:vAlign w:val="center"/>
          </w:tcPr>
          <w:p w14:paraId="0C46A87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r>
      <w:tr w14:paraId="2355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70" w:type="pct"/>
            <w:shd w:val="clear" w:color="auto" w:fill="auto"/>
            <w:noWrap/>
            <w:vAlign w:val="center"/>
          </w:tcPr>
          <w:p w14:paraId="7CFBF5B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E</w:t>
            </w:r>
          </w:p>
        </w:tc>
        <w:tc>
          <w:tcPr>
            <w:tcW w:w="548" w:type="pct"/>
            <w:shd w:val="clear" w:color="auto" w:fill="auto"/>
            <w:vAlign w:val="center"/>
          </w:tcPr>
          <w:p w14:paraId="24A594A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半成品暂存间</w:t>
            </w:r>
          </w:p>
        </w:tc>
        <w:tc>
          <w:tcPr>
            <w:tcW w:w="502" w:type="pct"/>
            <w:shd w:val="clear" w:color="auto" w:fill="auto"/>
            <w:noWrap/>
            <w:vAlign w:val="center"/>
          </w:tcPr>
          <w:p w14:paraId="53EDDFB2">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53004E17">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BB9B0D4">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1ED34D43">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77313A45">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1F67C7C1">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018A4880">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616FA006">
            <w:pPr>
              <w:jc w:val="center"/>
              <w:rPr>
                <w:rFonts w:hint="eastAsia" w:ascii="仿宋" w:hAnsi="仿宋" w:eastAsia="仿宋" w:cs="仿宋"/>
                <w:i w:val="0"/>
                <w:iCs w:val="0"/>
                <w:color w:val="000000"/>
                <w:sz w:val="18"/>
                <w:szCs w:val="18"/>
                <w:highlight w:val="none"/>
                <w:u w:val="none"/>
              </w:rPr>
            </w:pPr>
          </w:p>
        </w:tc>
      </w:tr>
      <w:tr w14:paraId="5969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trPr>
        <w:tc>
          <w:tcPr>
            <w:tcW w:w="270" w:type="pct"/>
            <w:shd w:val="clear" w:color="auto" w:fill="auto"/>
            <w:noWrap/>
            <w:vAlign w:val="center"/>
          </w:tcPr>
          <w:p w14:paraId="5069ED5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29</w:t>
            </w:r>
          </w:p>
        </w:tc>
        <w:tc>
          <w:tcPr>
            <w:tcW w:w="548" w:type="pct"/>
            <w:shd w:val="clear" w:color="auto" w:fill="auto"/>
            <w:vAlign w:val="center"/>
          </w:tcPr>
          <w:p w14:paraId="2A56A0B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四层栅格货架</w:t>
            </w:r>
          </w:p>
        </w:tc>
        <w:tc>
          <w:tcPr>
            <w:tcW w:w="502" w:type="pct"/>
            <w:shd w:val="clear" w:color="auto" w:fill="auto"/>
            <w:noWrap/>
            <w:vAlign w:val="center"/>
          </w:tcPr>
          <w:p w14:paraId="17AC89B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wp:posOffset>
                  </wp:positionH>
                  <wp:positionV relativeFrom="paragraph">
                    <wp:posOffset>278130</wp:posOffset>
                  </wp:positionV>
                  <wp:extent cx="702310" cy="680720"/>
                  <wp:effectExtent l="0" t="0" r="2540" b="5080"/>
                  <wp:wrapNone/>
                  <wp:docPr id="113" name="ID_A40BD7C26DD845E793F7AD3F8914449E"/>
                  <wp:cNvGraphicFramePr/>
                  <a:graphic xmlns:a="http://schemas.openxmlformats.org/drawingml/2006/main">
                    <a:graphicData uri="http://schemas.openxmlformats.org/drawingml/2006/picture">
                      <pic:pic xmlns:pic="http://schemas.openxmlformats.org/drawingml/2006/picture">
                        <pic:nvPicPr>
                          <pic:cNvPr id="113" name="ID_A40BD7C26DD845E793F7AD3F8914449E"/>
                          <pic:cNvPicPr/>
                        </pic:nvPicPr>
                        <pic:blipFill>
                          <a:blip r:embed="rId9"/>
                          <a:stretch>
                            <a:fillRect/>
                          </a:stretch>
                        </pic:blipFill>
                        <pic:spPr>
                          <a:xfrm>
                            <a:off x="0" y="0"/>
                            <a:ext cx="702310" cy="680720"/>
                          </a:xfrm>
                          <a:prstGeom prst="rect">
                            <a:avLst/>
                          </a:prstGeom>
                          <a:noFill/>
                          <a:ln>
                            <a:noFill/>
                          </a:ln>
                        </pic:spPr>
                      </pic:pic>
                    </a:graphicData>
                  </a:graphic>
                </wp:anchor>
              </w:drawing>
            </w:r>
          </w:p>
        </w:tc>
        <w:tc>
          <w:tcPr>
            <w:tcW w:w="832" w:type="pct"/>
            <w:shd w:val="clear" w:color="auto" w:fill="auto"/>
            <w:vAlign w:val="center"/>
          </w:tcPr>
          <w:p w14:paraId="4AD8180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1500*500*1550</w:t>
            </w:r>
          </w:p>
        </w:tc>
        <w:tc>
          <w:tcPr>
            <w:tcW w:w="1559" w:type="pct"/>
            <w:shd w:val="clear" w:color="auto" w:fill="auto"/>
            <w:vAlign w:val="center"/>
          </w:tcPr>
          <w:p w14:paraId="698ACC6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一、结构：层架整体使用框架嵌入式结构。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1.主框架：Φ38×25mm304不锈钢方管，厚度1.2mm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2.层架间隔条：25×13mm304不锈钢方管，厚度1.0mm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3.柱脚：Φ38mm304不锈钢管及可调高低不锈钢子弹脚</w:t>
            </w:r>
          </w:p>
        </w:tc>
        <w:tc>
          <w:tcPr>
            <w:tcW w:w="376" w:type="pct"/>
            <w:shd w:val="clear" w:color="auto" w:fill="auto"/>
            <w:noWrap/>
            <w:vAlign w:val="center"/>
          </w:tcPr>
          <w:p w14:paraId="54967347">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2755DB3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7B693BB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B411C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1472</w:t>
            </w:r>
          </w:p>
        </w:tc>
        <w:tc>
          <w:tcPr>
            <w:tcW w:w="231" w:type="pct"/>
            <w:shd w:val="clear" w:color="auto" w:fill="auto"/>
            <w:noWrap/>
            <w:vAlign w:val="center"/>
          </w:tcPr>
          <w:p w14:paraId="3F3D57F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2944</w:t>
            </w:r>
          </w:p>
        </w:tc>
      </w:tr>
      <w:tr w14:paraId="13E8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270" w:type="pct"/>
            <w:shd w:val="clear" w:color="auto" w:fill="auto"/>
            <w:noWrap/>
            <w:vAlign w:val="center"/>
          </w:tcPr>
          <w:p w14:paraId="03A5E6DD">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30</w:t>
            </w:r>
          </w:p>
        </w:tc>
        <w:tc>
          <w:tcPr>
            <w:tcW w:w="548" w:type="pct"/>
            <w:shd w:val="clear" w:color="auto" w:fill="auto"/>
            <w:vAlign w:val="center"/>
          </w:tcPr>
          <w:p w14:paraId="5432D37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shd w:val="clear" w:color="auto" w:fill="auto"/>
            <w:noWrap/>
            <w:vAlign w:val="center"/>
          </w:tcPr>
          <w:p w14:paraId="12C341D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57785</wp:posOffset>
                  </wp:positionH>
                  <wp:positionV relativeFrom="paragraph">
                    <wp:posOffset>0</wp:posOffset>
                  </wp:positionV>
                  <wp:extent cx="652145" cy="524510"/>
                  <wp:effectExtent l="0" t="0" r="14605" b="8890"/>
                  <wp:wrapNone/>
                  <wp:docPr id="96" name="ID_AD58B5BEFFA84D3BA24AF4046F97C2D7"/>
                  <wp:cNvGraphicFramePr/>
                  <a:graphic xmlns:a="http://schemas.openxmlformats.org/drawingml/2006/main">
                    <a:graphicData uri="http://schemas.openxmlformats.org/drawingml/2006/picture">
                      <pic:pic xmlns:pic="http://schemas.openxmlformats.org/drawingml/2006/picture">
                        <pic:nvPicPr>
                          <pic:cNvPr id="96" name="ID_AD58B5BEFFA84D3BA24AF4046F97C2D7"/>
                          <pic:cNvPicPr/>
                        </pic:nvPicPr>
                        <pic:blipFill>
                          <a:blip r:embed="rId29"/>
                          <a:stretch>
                            <a:fillRect/>
                          </a:stretch>
                        </pic:blipFill>
                        <pic:spPr>
                          <a:xfrm>
                            <a:off x="0" y="0"/>
                            <a:ext cx="652145" cy="524510"/>
                          </a:xfrm>
                          <a:prstGeom prst="rect">
                            <a:avLst/>
                          </a:prstGeom>
                          <a:noFill/>
                          <a:ln>
                            <a:noFill/>
                          </a:ln>
                        </pic:spPr>
                      </pic:pic>
                    </a:graphicData>
                  </a:graphic>
                </wp:anchor>
              </w:drawing>
            </w:r>
          </w:p>
        </w:tc>
        <w:tc>
          <w:tcPr>
            <w:tcW w:w="832" w:type="pct"/>
            <w:shd w:val="clear" w:color="auto" w:fill="auto"/>
            <w:vAlign w:val="center"/>
          </w:tcPr>
          <w:p w14:paraId="2860E13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162FEB4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1.面板：304不锈钢1.2mm厚磨砂板，下垫15mm防水夹板并以0.8mm的优质钢板做底板封板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shd w:val="clear" w:color="auto" w:fill="auto"/>
            <w:noWrap/>
            <w:vAlign w:val="center"/>
          </w:tcPr>
          <w:p w14:paraId="20BCD48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411F364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0B12064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4FEB33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c>
          <w:tcPr>
            <w:tcW w:w="231" w:type="pct"/>
            <w:shd w:val="clear" w:color="auto" w:fill="auto"/>
            <w:noWrap/>
            <w:vAlign w:val="center"/>
          </w:tcPr>
          <w:p w14:paraId="7FC368F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3000</w:t>
            </w:r>
          </w:p>
        </w:tc>
      </w:tr>
      <w:tr w14:paraId="723F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70" w:type="pct"/>
            <w:shd w:val="clear" w:color="auto" w:fill="auto"/>
            <w:noWrap/>
            <w:vAlign w:val="center"/>
          </w:tcPr>
          <w:p w14:paraId="70B292E8">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31</w:t>
            </w:r>
          </w:p>
        </w:tc>
        <w:tc>
          <w:tcPr>
            <w:tcW w:w="548" w:type="pct"/>
            <w:shd w:val="clear" w:color="auto" w:fill="auto"/>
            <w:vAlign w:val="center"/>
          </w:tcPr>
          <w:p w14:paraId="4297FEA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双温四门高身柜</w:t>
            </w:r>
          </w:p>
        </w:tc>
        <w:tc>
          <w:tcPr>
            <w:tcW w:w="502" w:type="pct"/>
            <w:shd w:val="clear" w:color="auto" w:fill="auto"/>
            <w:vAlign w:val="top"/>
          </w:tcPr>
          <w:p w14:paraId="784456E2">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26035</wp:posOffset>
                  </wp:positionH>
                  <wp:positionV relativeFrom="paragraph">
                    <wp:posOffset>110490</wp:posOffset>
                  </wp:positionV>
                  <wp:extent cx="748665" cy="795020"/>
                  <wp:effectExtent l="0" t="0" r="13335" b="5080"/>
                  <wp:wrapNone/>
                  <wp:docPr id="80" name="ID_F1C62B8C24E84C4DBA9A7B6EC6759F2E_SpCnt_2"/>
                  <wp:cNvGraphicFramePr/>
                  <a:graphic xmlns:a="http://schemas.openxmlformats.org/drawingml/2006/main">
                    <a:graphicData uri="http://schemas.openxmlformats.org/drawingml/2006/picture">
                      <pic:pic xmlns:pic="http://schemas.openxmlformats.org/drawingml/2006/picture">
                        <pic:nvPicPr>
                          <pic:cNvPr id="80" name="ID_F1C62B8C24E84C4DBA9A7B6EC6759F2E_SpCnt_2"/>
                          <pic:cNvPicPr/>
                        </pic:nvPicPr>
                        <pic:blipFill>
                          <a:blip r:embed="rId7"/>
                          <a:stretch>
                            <a:fillRect/>
                          </a:stretch>
                        </pic:blipFill>
                        <pic:spPr>
                          <a:xfrm>
                            <a:off x="0" y="0"/>
                            <a:ext cx="748665" cy="795020"/>
                          </a:xfrm>
                          <a:prstGeom prst="rect">
                            <a:avLst/>
                          </a:prstGeom>
                          <a:noFill/>
                          <a:ln>
                            <a:noFill/>
                          </a:ln>
                        </pic:spPr>
                      </pic:pic>
                    </a:graphicData>
                  </a:graphic>
                </wp:anchor>
              </w:drawing>
            </w:r>
          </w:p>
        </w:tc>
        <w:tc>
          <w:tcPr>
            <w:tcW w:w="832" w:type="pct"/>
            <w:shd w:val="clear" w:color="auto" w:fill="auto"/>
            <w:vAlign w:val="center"/>
          </w:tcPr>
          <w:p w14:paraId="1C62DA2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D01CB80">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p>
          <w:p w14:paraId="3EB57D66">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1.有效容积：≥900L（冷冻≥450L/冷藏≥450L）</w:t>
            </w:r>
          </w:p>
          <w:p w14:paraId="440B5911">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2.双温四门设计，冷藏室0℃～10℃，冷冻室-6℃～-18℃，风冷制冷，双路独立温控</w:t>
            </w:r>
          </w:p>
          <w:p w14:paraId="4101FBED">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3.门体整体发泡结构，配自动回弹或助力闭合功能及磁性密封条</w:t>
            </w:r>
          </w:p>
          <w:p w14:paraId="3513B3BE">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4.内部多层可调层架，底部配可调节防滑地脚或万向轮</w:t>
            </w:r>
          </w:p>
          <w:p w14:paraId="6067B1AD">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二、材质与工艺：</w:t>
            </w:r>
          </w:p>
          <w:p w14:paraId="1561B6A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1.机体、门体、内胆：201不锈钢</w:t>
            </w:r>
          </w:p>
          <w:p w14:paraId="6534F3CA">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2.制冷系统：全铜管，R290、R600a等环保制冷剂</w:t>
            </w:r>
          </w:p>
          <w:p w14:paraId="30C44B5B">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3.门封条：优质磁性橡胶</w:t>
            </w:r>
          </w:p>
          <w:p w14:paraId="222711E5">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4.保温层：环戊烷发泡材料，厚度≥50mm</w:t>
            </w:r>
          </w:p>
          <w:p w14:paraId="14D28FDE">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5.中梁加热除霜</w:t>
            </w:r>
          </w:p>
          <w:p w14:paraId="05563F7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三、电气性能与认证：</w:t>
            </w:r>
          </w:p>
          <w:p w14:paraId="76E8B5D4">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1.电压/频率：220V/50Hz</w:t>
            </w:r>
          </w:p>
          <w:p w14:paraId="58FFE87C">
            <w:pPr>
              <w:keepNext w:val="0"/>
              <w:keepLines w:val="0"/>
              <w:widowControl/>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lang w:eastAsia="zh-CN" w:bidi="ar"/>
              </w:rPr>
            </w:pPr>
            <w:r>
              <w:rPr>
                <w:rFonts w:hint="eastAsia" w:ascii="仿宋" w:hAnsi="仿宋" w:eastAsia="仿宋" w:cs="仿宋"/>
                <w:i w:val="0"/>
                <w:iCs w:val="0"/>
                <w:color w:val="000000"/>
                <w:kern w:val="0"/>
                <w:sz w:val="18"/>
                <w:szCs w:val="18"/>
                <w:highlight w:val="none"/>
                <w:u w:val="none"/>
                <w:lang w:val="en-US" w:eastAsia="zh-CN" w:bidi="ar"/>
              </w:rPr>
              <w:t>★2.能效等级：一级，</w:t>
            </w:r>
            <w:r>
              <w:rPr>
                <w:rFonts w:hint="eastAsia" w:ascii="仿宋" w:hAnsi="仿宋" w:eastAsia="仿宋" w:cs="仿宋"/>
                <w:i w:val="0"/>
                <w:iCs w:val="0"/>
                <w:caps w:val="0"/>
                <w:color w:val="000000"/>
                <w:spacing w:val="0"/>
                <w:kern w:val="0"/>
                <w:sz w:val="18"/>
                <w:szCs w:val="18"/>
                <w:highlight w:val="none"/>
                <w:u w:val="none"/>
                <w:shd w:val="clear" w:fill="auto"/>
                <w:lang w:bidi="ar"/>
              </w:rPr>
              <w:t>依据 GB 26920-2024</w:t>
            </w:r>
            <w:r>
              <w:rPr>
                <w:rFonts w:hint="eastAsia" w:ascii="仿宋" w:hAnsi="仿宋" w:eastAsia="仿宋" w:cs="仿宋"/>
                <w:i w:val="0"/>
                <w:iCs w:val="0"/>
                <w:color w:val="000000"/>
                <w:kern w:val="0"/>
                <w:sz w:val="18"/>
                <w:szCs w:val="18"/>
                <w:highlight w:val="none"/>
                <w:u w:val="none"/>
                <w:lang w:bidi="ar"/>
              </w:rPr>
              <w:t>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fill="auto"/>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进行判定</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以下任一证明材料（须</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加盖供应商公章</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（1）</w:t>
            </w:r>
            <w:r>
              <w:rPr>
                <w:rFonts w:hint="eastAsia" w:ascii="仿宋" w:hAnsi="仿宋" w:eastAsia="仿宋" w:cs="仿宋"/>
                <w:i w:val="0"/>
                <w:iCs w:val="0"/>
                <w:caps w:val="0"/>
                <w:color w:val="000000"/>
                <w:spacing w:val="0"/>
                <w:kern w:val="0"/>
                <w:sz w:val="18"/>
                <w:szCs w:val="18"/>
                <w:highlight w:val="none"/>
                <w:u w:val="none"/>
                <w:shd w:val="clear"/>
                <w:lang w:bidi="ar"/>
              </w:rPr>
              <w:t>中国能效标识网（</w:t>
            </w:r>
            <w:r>
              <w:rPr>
                <w:rFonts w:hint="eastAsia" w:ascii="仿宋" w:hAnsi="仿宋" w:eastAsia="仿宋" w:cs="仿宋"/>
                <w:i w:val="0"/>
                <w:iCs w:val="0"/>
                <w:caps w:val="0"/>
                <w:color w:val="000000"/>
                <w:spacing w:val="0"/>
                <w:kern w:val="0"/>
                <w:sz w:val="18"/>
                <w:szCs w:val="18"/>
                <w:highlight w:val="none"/>
                <w:u w:val="none"/>
                <w:shd w:val="clear"/>
                <w:lang w:bidi="ar"/>
              </w:rPr>
              <w:fldChar w:fldCharType="begin"/>
            </w:r>
            <w:r>
              <w:rPr>
                <w:rFonts w:hint="eastAsia" w:ascii="仿宋" w:hAnsi="仿宋" w:eastAsia="仿宋" w:cs="仿宋"/>
                <w:i w:val="0"/>
                <w:iCs w:val="0"/>
                <w:caps w:val="0"/>
                <w:color w:val="000000"/>
                <w:spacing w:val="0"/>
                <w:kern w:val="0"/>
                <w:sz w:val="18"/>
                <w:szCs w:val="18"/>
                <w:highlight w:val="none"/>
                <w:u w:val="none"/>
                <w:shd w:val="clear"/>
                <w:lang w:bidi="ar"/>
              </w:rPr>
              <w:instrText xml:space="preserve"> HYPERLINK "https://www.energylabel.com.cn/" \t "https://chat.deepseek.com/a/chat/s/_blank" </w:instrText>
            </w:r>
            <w:r>
              <w:rPr>
                <w:rFonts w:hint="eastAsia" w:ascii="仿宋" w:hAnsi="仿宋" w:eastAsia="仿宋" w:cs="仿宋"/>
                <w:i w:val="0"/>
                <w:iCs w:val="0"/>
                <w:caps w:val="0"/>
                <w:color w:val="000000"/>
                <w:spacing w:val="0"/>
                <w:kern w:val="0"/>
                <w:sz w:val="18"/>
                <w:szCs w:val="18"/>
                <w:highlight w:val="none"/>
                <w:u w:val="none"/>
                <w:shd w:val="clear"/>
                <w:lang w:bidi="ar"/>
              </w:rPr>
              <w:fldChar w:fldCharType="separate"/>
            </w:r>
            <w:r>
              <w:rPr>
                <w:rFonts w:hint="eastAsia" w:ascii="仿宋" w:hAnsi="仿宋" w:eastAsia="仿宋" w:cs="仿宋"/>
                <w:i w:val="0"/>
                <w:iCs w:val="0"/>
                <w:caps w:val="0"/>
                <w:color w:val="000000"/>
                <w:spacing w:val="0"/>
                <w:kern w:val="0"/>
                <w:sz w:val="18"/>
                <w:szCs w:val="18"/>
                <w:highlight w:val="none"/>
                <w:u w:val="none"/>
                <w:shd w:val="clear"/>
                <w:lang w:bidi="ar"/>
              </w:rPr>
              <w:t>https://www.energylabel.com.cn</w:t>
            </w:r>
            <w:r>
              <w:rPr>
                <w:rFonts w:hint="eastAsia" w:ascii="仿宋" w:hAnsi="仿宋" w:eastAsia="仿宋" w:cs="仿宋"/>
                <w:i w:val="0"/>
                <w:iCs w:val="0"/>
                <w:caps w:val="0"/>
                <w:color w:val="000000"/>
                <w:spacing w:val="0"/>
                <w:kern w:val="0"/>
                <w:sz w:val="18"/>
                <w:szCs w:val="18"/>
                <w:highlight w:val="none"/>
                <w:u w:val="none"/>
                <w:shd w:val="clear"/>
                <w:lang w:bidi="ar"/>
              </w:rPr>
              <w:fldChar w:fldCharType="end"/>
            </w:r>
            <w:r>
              <w:rPr>
                <w:rFonts w:hint="eastAsia" w:ascii="仿宋" w:hAnsi="仿宋" w:eastAsia="仿宋" w:cs="仿宋"/>
                <w:i w:val="0"/>
                <w:iCs w:val="0"/>
                <w:caps w:val="0"/>
                <w:color w:val="000000"/>
                <w:spacing w:val="0"/>
                <w:kern w:val="0"/>
                <w:sz w:val="18"/>
                <w:szCs w:val="18"/>
                <w:highlight w:val="none"/>
                <w:u w:val="none"/>
                <w:shd w:val="clear"/>
                <w:lang w:bidi="ar"/>
              </w:rPr>
              <w:t>）备案查询截图（截图须清晰显示产品型号</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能效等级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及依据的</w:t>
            </w:r>
            <w:r>
              <w:rPr>
                <w:rFonts w:hint="eastAsia" w:ascii="仿宋" w:hAnsi="仿宋" w:eastAsia="仿宋" w:cs="仿宋"/>
                <w:i w:val="0"/>
                <w:iCs w:val="0"/>
                <w:caps w:val="0"/>
                <w:color w:val="000000"/>
                <w:spacing w:val="0"/>
                <w:kern w:val="0"/>
                <w:sz w:val="18"/>
                <w:szCs w:val="18"/>
                <w:highlight w:val="none"/>
                <w:u w:val="none"/>
                <w:shd w:val="clear"/>
                <w:lang w:bidi="ar"/>
              </w:rPr>
              <w:t>标准）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由具备CMA资质的第三方检测机构出具的检测报告复印件（须清晰显示能效等级判定结果，并载明检测依据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p>
          <w:p w14:paraId="799B4AB2">
            <w:pPr>
              <w:keepNext w:val="0"/>
              <w:keepLines w:val="0"/>
              <w:widowControl/>
              <w:suppressLineNumbers w:val="0"/>
              <w:jc w:val="left"/>
              <w:textAlignment w:val="center"/>
              <w:rPr>
                <w:rFonts w:hint="default"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aps w:val="0"/>
                <w:color w:val="000000"/>
                <w:spacing w:val="0"/>
                <w:kern w:val="0"/>
                <w:sz w:val="18"/>
                <w:szCs w:val="18"/>
                <w:highlight w:val="none"/>
                <w:u w:val="none"/>
                <w:shd w:val="clear"/>
                <w:lang w:val="en-US" w:eastAsia="zh-CN" w:bidi="ar"/>
              </w:rPr>
              <w:t>说明：（1）</w:t>
            </w:r>
            <w:r>
              <w:rPr>
                <w:rFonts w:hint="eastAsia" w:ascii="仿宋" w:hAnsi="仿宋" w:eastAsia="仿宋" w:cs="仿宋"/>
                <w:i w:val="0"/>
                <w:iCs w:val="0"/>
                <w:caps w:val="0"/>
                <w:color w:val="000000"/>
                <w:spacing w:val="0"/>
                <w:kern w:val="0"/>
                <w:sz w:val="18"/>
                <w:szCs w:val="18"/>
                <w:highlight w:val="none"/>
                <w:u w:val="none"/>
                <w:shd w:val="clear"/>
                <w:lang w:bidi="ar"/>
              </w:rPr>
              <w:t>评审时</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专家</w:t>
            </w:r>
            <w:r>
              <w:rPr>
                <w:rFonts w:hint="eastAsia" w:ascii="仿宋" w:hAnsi="仿宋" w:eastAsia="仿宋" w:cs="仿宋"/>
                <w:i w:val="0"/>
                <w:iCs w:val="0"/>
                <w:caps w:val="0"/>
                <w:color w:val="000000"/>
                <w:spacing w:val="0"/>
                <w:kern w:val="0"/>
                <w:sz w:val="18"/>
                <w:szCs w:val="18"/>
                <w:highlight w:val="none"/>
                <w:u w:val="none"/>
                <w:shd w:val="clear"/>
                <w:lang w:bidi="ar"/>
              </w:rPr>
              <w:t>有权通过中国能效标识网对能效等级进行核实。核实结果与供应商提供的证明材料不一致的，以中国能效标识网备案数据为准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如所投产品不在中国能效标识网备案范围内，则以检测报告为准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证明材料即</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或</w:t>
            </w:r>
            <w:r>
              <w:rPr>
                <w:rFonts w:hint="eastAsia" w:ascii="仿宋" w:hAnsi="仿宋" w:eastAsia="仿宋" w:cs="仿宋"/>
                <w:i w:val="0"/>
                <w:iCs w:val="0"/>
                <w:caps w:val="0"/>
                <w:color w:val="000000"/>
                <w:spacing w:val="0"/>
                <w:kern w:val="0"/>
                <w:sz w:val="18"/>
                <w:szCs w:val="18"/>
                <w:highlight w:val="none"/>
                <w:u w:val="none"/>
                <w:shd w:val="clear"/>
                <w:lang w:bidi="ar"/>
              </w:rPr>
              <w:t>备案截图所载明的产品型号均须与所投产品型号完全一致，否则视为负偏离。</w:t>
            </w:r>
          </w:p>
          <w:p w14:paraId="7EA48244">
            <w:pPr>
              <w:rPr>
                <w:highlight w:val="none"/>
              </w:rPr>
            </w:pPr>
            <w:r>
              <w:rPr>
                <w:rFonts w:hint="eastAsia" w:ascii="仿宋" w:hAnsi="仿宋" w:eastAsia="仿宋" w:cs="仿宋"/>
                <w:i w:val="0"/>
                <w:iCs w:val="0"/>
                <w:color w:val="000000"/>
                <w:kern w:val="0"/>
                <w:sz w:val="18"/>
                <w:szCs w:val="18"/>
                <w:highlight w:val="none"/>
                <w:u w:val="none"/>
                <w:lang w:val="en-US" w:eastAsia="zh-CN" w:bidi="ar"/>
              </w:rPr>
              <w:t>★</w:t>
            </w:r>
          </w:p>
          <w:p w14:paraId="59ECF2A5">
            <w:pPr>
              <w:rPr>
                <w:highlight w:val="none"/>
              </w:rPr>
            </w:pPr>
          </w:p>
          <w:p w14:paraId="658FAA9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r>
              <w:rPr>
                <w:rFonts w:hint="eastAsia" w:ascii="仿宋" w:hAnsi="仿宋" w:eastAsia="仿宋" w:cs="仿宋"/>
                <w:i w:val="0"/>
                <w:iCs w:val="0"/>
                <w:color w:val="000000"/>
                <w:sz w:val="18"/>
                <w:szCs w:val="18"/>
                <w:highlight w:val="none"/>
                <w:u w:val="none"/>
              </w:rPr>
              <w:t>.整机性能检测：所投产品须依据SB/T10794.2-2012标准进行检测，</w:t>
            </w:r>
            <w:r>
              <w:rPr>
                <w:rFonts w:hint="eastAsia" w:ascii="仿宋" w:hAnsi="仿宋" w:eastAsia="仿宋" w:cs="仿宋"/>
                <w:i w:val="0"/>
                <w:iCs w:val="0"/>
                <w:color w:val="000000"/>
                <w:sz w:val="18"/>
                <w:szCs w:val="18"/>
                <w:highlight w:val="none"/>
                <w:u w:val="none"/>
                <w:lang w:val="en-US" w:eastAsia="zh-CN"/>
              </w:rPr>
              <w:t>检测项目至少包括：</w:t>
            </w:r>
            <w:r>
              <w:rPr>
                <w:rFonts w:hint="eastAsia" w:ascii="仿宋" w:hAnsi="仿宋" w:eastAsia="仿宋" w:cs="仿宋"/>
                <w:i w:val="0"/>
                <w:iCs w:val="0"/>
                <w:color w:val="000000"/>
                <w:sz w:val="18"/>
                <w:szCs w:val="18"/>
                <w:highlight w:val="none"/>
                <w:u w:val="none"/>
              </w:rPr>
              <w:t>总容积、冷却速度、耗电量、负载温度回升时间、储藏温度、噪声、制冷系统密封性能</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lang w:val="en-US" w:eastAsia="zh-CN"/>
              </w:rPr>
              <w:t>上述所有</w:t>
            </w:r>
            <w:r>
              <w:rPr>
                <w:rFonts w:hint="eastAsia" w:ascii="仿宋" w:hAnsi="仿宋" w:eastAsia="仿宋" w:cs="仿宋"/>
                <w:i w:val="0"/>
                <w:iCs w:val="0"/>
                <w:color w:val="000000"/>
                <w:sz w:val="18"/>
                <w:szCs w:val="18"/>
                <w:highlight w:val="none"/>
                <w:u w:val="none"/>
              </w:rPr>
              <w:t>检测结果均须为合格。</w:t>
            </w:r>
            <w:r>
              <w:rPr>
                <w:rFonts w:hint="eastAsia" w:ascii="仿宋" w:hAnsi="仿宋" w:eastAsia="仿宋" w:cs="仿宋"/>
                <w:i w:val="0"/>
                <w:iCs w:val="0"/>
                <w:color w:val="000000"/>
                <w:kern w:val="0"/>
                <w:sz w:val="18"/>
                <w:szCs w:val="18"/>
                <w:highlight w:val="none"/>
                <w:u w:val="none"/>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fill="auto"/>
                <w:lang w:bidi="ar"/>
              </w:rPr>
              <w:t>（须清晰显示上述全部检测项目及对应结论</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tc>
        <w:tc>
          <w:tcPr>
            <w:tcW w:w="376" w:type="pct"/>
            <w:shd w:val="clear" w:color="auto" w:fill="auto"/>
            <w:noWrap/>
            <w:vAlign w:val="center"/>
          </w:tcPr>
          <w:p w14:paraId="6FC1BD8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星星、海尔、澳柯玛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02D6117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2552CE4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2DBAAEF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6149</w:t>
            </w:r>
          </w:p>
        </w:tc>
        <w:tc>
          <w:tcPr>
            <w:tcW w:w="231" w:type="pct"/>
            <w:shd w:val="clear" w:color="auto" w:fill="auto"/>
            <w:noWrap/>
            <w:vAlign w:val="center"/>
          </w:tcPr>
          <w:p w14:paraId="450C43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12298</w:t>
            </w:r>
          </w:p>
        </w:tc>
      </w:tr>
      <w:tr w14:paraId="73A4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270" w:type="pct"/>
            <w:shd w:val="clear" w:color="auto" w:fill="auto"/>
            <w:noWrap/>
            <w:vAlign w:val="center"/>
          </w:tcPr>
          <w:p w14:paraId="4C2AB7C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F </w:t>
            </w:r>
          </w:p>
        </w:tc>
        <w:tc>
          <w:tcPr>
            <w:tcW w:w="548" w:type="pct"/>
            <w:shd w:val="clear" w:color="auto" w:fill="auto"/>
            <w:vAlign w:val="center"/>
          </w:tcPr>
          <w:p w14:paraId="629F198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烹饪间</w:t>
            </w:r>
          </w:p>
        </w:tc>
        <w:tc>
          <w:tcPr>
            <w:tcW w:w="502" w:type="pct"/>
            <w:shd w:val="clear" w:color="auto" w:fill="auto"/>
            <w:noWrap/>
            <w:vAlign w:val="center"/>
          </w:tcPr>
          <w:p w14:paraId="0D9F6407">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5A2E649B">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2C3B8392">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2D37A4FD">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1E1B7910">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3D3E8331">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0582703C">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2C406343">
            <w:pPr>
              <w:jc w:val="center"/>
              <w:rPr>
                <w:rFonts w:hint="eastAsia" w:ascii="仿宋" w:hAnsi="仿宋" w:eastAsia="仿宋" w:cs="仿宋"/>
                <w:i w:val="0"/>
                <w:iCs w:val="0"/>
                <w:color w:val="000000"/>
                <w:sz w:val="18"/>
                <w:szCs w:val="18"/>
                <w:highlight w:val="none"/>
                <w:u w:val="none"/>
              </w:rPr>
            </w:pPr>
          </w:p>
        </w:tc>
      </w:tr>
      <w:tr w14:paraId="3573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trPr>
        <w:tc>
          <w:tcPr>
            <w:tcW w:w="270" w:type="pct"/>
            <w:shd w:val="clear" w:color="auto" w:fill="auto"/>
            <w:noWrap/>
            <w:vAlign w:val="center"/>
          </w:tcPr>
          <w:p w14:paraId="64747EDD">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32</w:t>
            </w:r>
          </w:p>
        </w:tc>
        <w:tc>
          <w:tcPr>
            <w:tcW w:w="548" w:type="pct"/>
            <w:shd w:val="clear" w:color="auto" w:fill="auto"/>
            <w:vAlign w:val="center"/>
          </w:tcPr>
          <w:p w14:paraId="7B4F0B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4317A8B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-19685</wp:posOffset>
                  </wp:positionH>
                  <wp:positionV relativeFrom="paragraph">
                    <wp:posOffset>-106045</wp:posOffset>
                  </wp:positionV>
                  <wp:extent cx="808990" cy="598805"/>
                  <wp:effectExtent l="0" t="0" r="10160" b="10795"/>
                  <wp:wrapNone/>
                  <wp:docPr id="78" name="ID_497AC02572CD494D8A4653A32114579D_SpCnt_2"/>
                  <wp:cNvGraphicFramePr/>
                  <a:graphic xmlns:a="http://schemas.openxmlformats.org/drawingml/2006/main">
                    <a:graphicData uri="http://schemas.openxmlformats.org/drawingml/2006/picture">
                      <pic:pic xmlns:pic="http://schemas.openxmlformats.org/drawingml/2006/picture">
                        <pic:nvPicPr>
                          <pic:cNvPr id="78" name="ID_497AC02572CD494D8A4653A32114579D_SpCnt_2"/>
                          <pic:cNvPicPr/>
                        </pic:nvPicPr>
                        <pic:blipFill>
                          <a:blip r:embed="rId8"/>
                          <a:stretch>
                            <a:fillRect/>
                          </a:stretch>
                        </pic:blipFill>
                        <pic:spPr>
                          <a:xfrm>
                            <a:off x="0" y="0"/>
                            <a:ext cx="808990" cy="598805"/>
                          </a:xfrm>
                          <a:prstGeom prst="rect">
                            <a:avLst/>
                          </a:prstGeom>
                          <a:noFill/>
                          <a:ln>
                            <a:noFill/>
                          </a:ln>
                        </pic:spPr>
                      </pic:pic>
                    </a:graphicData>
                  </a:graphic>
                </wp:anchor>
              </w:drawing>
            </w:r>
          </w:p>
        </w:tc>
        <w:tc>
          <w:tcPr>
            <w:tcW w:w="832" w:type="pct"/>
            <w:shd w:val="clear" w:color="auto" w:fill="auto"/>
            <w:vAlign w:val="center"/>
          </w:tcPr>
          <w:p w14:paraId="633BABC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4618202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2DF343C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00D8677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5F246C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2A41DB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5543EA3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24E4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270" w:type="pct"/>
            <w:vMerge w:val="restart"/>
            <w:shd w:val="clear" w:color="auto" w:fill="auto"/>
            <w:noWrap/>
            <w:vAlign w:val="center"/>
          </w:tcPr>
          <w:p w14:paraId="68BCF6C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33</w:t>
            </w:r>
          </w:p>
        </w:tc>
        <w:tc>
          <w:tcPr>
            <w:tcW w:w="548" w:type="pct"/>
            <w:vMerge w:val="restart"/>
            <w:shd w:val="clear" w:color="auto" w:fill="auto"/>
            <w:vAlign w:val="center"/>
          </w:tcPr>
          <w:p w14:paraId="6CF92F0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炉拼台</w:t>
            </w:r>
          </w:p>
        </w:tc>
        <w:tc>
          <w:tcPr>
            <w:tcW w:w="502" w:type="pct"/>
            <w:vMerge w:val="restart"/>
            <w:shd w:val="clear" w:color="auto" w:fill="auto"/>
            <w:noWrap/>
            <w:vAlign w:val="center"/>
          </w:tcPr>
          <w:p w14:paraId="6191FA1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drawing>
                <wp:inline distT="0" distB="0" distL="114300" distR="114300">
                  <wp:extent cx="792480" cy="570230"/>
                  <wp:effectExtent l="0" t="0" r="7620" b="1270"/>
                  <wp:docPr id="6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 descr="IMG_256"/>
                          <pic:cNvPicPr>
                            <a:picLocks noChangeAspect="1"/>
                          </pic:cNvPicPr>
                        </pic:nvPicPr>
                        <pic:blipFill>
                          <a:blip r:embed="rId30"/>
                          <a:stretch>
                            <a:fillRect/>
                          </a:stretch>
                        </pic:blipFill>
                        <pic:spPr>
                          <a:xfrm>
                            <a:off x="0" y="0"/>
                            <a:ext cx="792480" cy="570230"/>
                          </a:xfrm>
                          <a:prstGeom prst="rect">
                            <a:avLst/>
                          </a:prstGeom>
                          <a:noFill/>
                          <a:ln w="9525">
                            <a:noFill/>
                          </a:ln>
                        </pic:spPr>
                      </pic:pic>
                    </a:graphicData>
                  </a:graphic>
                </wp:inline>
              </w:drawing>
            </w:r>
          </w:p>
        </w:tc>
        <w:tc>
          <w:tcPr>
            <w:tcW w:w="832" w:type="pct"/>
            <w:shd w:val="clear" w:color="auto" w:fill="auto"/>
            <w:vAlign w:val="center"/>
          </w:tcPr>
          <w:p w14:paraId="3409FCA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400×1200×800mm，后挡水高度450mm</w:t>
            </w:r>
          </w:p>
        </w:tc>
        <w:tc>
          <w:tcPr>
            <w:tcW w:w="1559" w:type="pct"/>
            <w:vMerge w:val="restart"/>
            <w:shd w:val="clear" w:color="auto" w:fill="auto"/>
            <w:vAlign w:val="center"/>
          </w:tcPr>
          <w:p w14:paraId="229BD2B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一、结构：炉拼台，台面下加夹板加固，底部配可调脚。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1.台面1.2mm304，下衬双工字1.0方通+18mm夹板，种钉加固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2.脚：Φ48全钢可调子弹脚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3.满焊及内角鱼鳞焊，无虚焊漏焊，羊毛轮抛光打蜡，拉丝一致，光滑无毛刺</w:t>
            </w:r>
          </w:p>
        </w:tc>
        <w:tc>
          <w:tcPr>
            <w:tcW w:w="376" w:type="pct"/>
            <w:shd w:val="clear" w:color="auto" w:fill="auto"/>
            <w:noWrap/>
            <w:vAlign w:val="center"/>
          </w:tcPr>
          <w:p w14:paraId="5D42713F">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59F5008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063F7BC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1C6818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910</w:t>
            </w:r>
          </w:p>
        </w:tc>
        <w:tc>
          <w:tcPr>
            <w:tcW w:w="231" w:type="pct"/>
            <w:shd w:val="clear" w:color="auto" w:fill="auto"/>
            <w:noWrap/>
            <w:vAlign w:val="center"/>
          </w:tcPr>
          <w:p w14:paraId="47BA86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1820</w:t>
            </w:r>
          </w:p>
        </w:tc>
      </w:tr>
      <w:tr w14:paraId="42AE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continue"/>
            <w:shd w:val="clear" w:color="auto" w:fill="auto"/>
            <w:noWrap/>
            <w:vAlign w:val="center"/>
          </w:tcPr>
          <w:p w14:paraId="38CACB66">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p>
        </w:tc>
        <w:tc>
          <w:tcPr>
            <w:tcW w:w="548" w:type="pct"/>
            <w:vMerge w:val="continue"/>
            <w:shd w:val="clear" w:color="auto" w:fill="auto"/>
            <w:vAlign w:val="center"/>
          </w:tcPr>
          <w:p w14:paraId="6B219143">
            <w:pPr>
              <w:jc w:val="center"/>
              <w:rPr>
                <w:rFonts w:hint="eastAsia" w:ascii="仿宋" w:hAnsi="仿宋" w:eastAsia="仿宋" w:cs="仿宋"/>
                <w:i w:val="0"/>
                <w:iCs w:val="0"/>
                <w:color w:val="000000"/>
                <w:sz w:val="18"/>
                <w:szCs w:val="18"/>
                <w:highlight w:val="none"/>
                <w:u w:val="none"/>
              </w:rPr>
            </w:pPr>
          </w:p>
        </w:tc>
        <w:tc>
          <w:tcPr>
            <w:tcW w:w="502" w:type="pct"/>
            <w:vMerge w:val="continue"/>
            <w:shd w:val="clear" w:color="auto" w:fill="auto"/>
            <w:noWrap/>
            <w:vAlign w:val="center"/>
          </w:tcPr>
          <w:p w14:paraId="2F1F5937">
            <w:pPr>
              <w:jc w:val="cente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095CCB4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400×1100×800mm，后挡水高度450mm</w:t>
            </w:r>
          </w:p>
        </w:tc>
        <w:tc>
          <w:tcPr>
            <w:tcW w:w="1559" w:type="pct"/>
            <w:vMerge w:val="continue"/>
            <w:shd w:val="clear" w:color="auto" w:fill="auto"/>
            <w:vAlign w:val="center"/>
          </w:tcPr>
          <w:p w14:paraId="503F3AD6">
            <w:pPr>
              <w:jc w:val="left"/>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3399898D">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03F98F4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58C375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73835E9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870</w:t>
            </w:r>
          </w:p>
        </w:tc>
        <w:tc>
          <w:tcPr>
            <w:tcW w:w="231" w:type="pct"/>
            <w:shd w:val="clear" w:color="auto" w:fill="auto"/>
            <w:noWrap/>
            <w:vAlign w:val="center"/>
          </w:tcPr>
          <w:p w14:paraId="7F623E9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870</w:t>
            </w:r>
          </w:p>
        </w:tc>
      </w:tr>
      <w:tr w14:paraId="52BE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70" w:type="pct"/>
            <w:shd w:val="clear" w:color="auto" w:fill="auto"/>
            <w:noWrap/>
            <w:vAlign w:val="center"/>
          </w:tcPr>
          <w:p w14:paraId="2E2EC44F">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34</w:t>
            </w:r>
          </w:p>
        </w:tc>
        <w:tc>
          <w:tcPr>
            <w:tcW w:w="548" w:type="pct"/>
            <w:shd w:val="clear" w:color="auto" w:fill="auto"/>
            <w:vAlign w:val="center"/>
          </w:tcPr>
          <w:p w14:paraId="421AEE9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电磁单头大炒炉</w:t>
            </w:r>
          </w:p>
        </w:tc>
        <w:tc>
          <w:tcPr>
            <w:tcW w:w="502" w:type="pct"/>
            <w:shd w:val="clear" w:color="auto" w:fill="auto"/>
            <w:noWrap/>
            <w:vAlign w:val="center"/>
          </w:tcPr>
          <w:p w14:paraId="47F1B97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60960</wp:posOffset>
                  </wp:positionH>
                  <wp:positionV relativeFrom="paragraph">
                    <wp:posOffset>-32385</wp:posOffset>
                  </wp:positionV>
                  <wp:extent cx="728345" cy="721995"/>
                  <wp:effectExtent l="0" t="0" r="14605" b="1905"/>
                  <wp:wrapNone/>
                  <wp:docPr id="121" name="ID_B2B7E5E4516A44DABE0DCB8742F02285"/>
                  <wp:cNvGraphicFramePr/>
                  <a:graphic xmlns:a="http://schemas.openxmlformats.org/drawingml/2006/main">
                    <a:graphicData uri="http://schemas.openxmlformats.org/drawingml/2006/picture">
                      <pic:pic xmlns:pic="http://schemas.openxmlformats.org/drawingml/2006/picture">
                        <pic:nvPicPr>
                          <pic:cNvPr id="121" name="ID_B2B7E5E4516A44DABE0DCB8742F02285"/>
                          <pic:cNvPicPr/>
                        </pic:nvPicPr>
                        <pic:blipFill>
                          <a:blip r:embed="rId31"/>
                          <a:stretch>
                            <a:fillRect/>
                          </a:stretch>
                        </pic:blipFill>
                        <pic:spPr>
                          <a:xfrm>
                            <a:off x="0" y="0"/>
                            <a:ext cx="728345" cy="721995"/>
                          </a:xfrm>
                          <a:prstGeom prst="rect">
                            <a:avLst/>
                          </a:prstGeom>
                          <a:noFill/>
                          <a:ln>
                            <a:noFill/>
                          </a:ln>
                        </pic:spPr>
                      </pic:pic>
                    </a:graphicData>
                  </a:graphic>
                </wp:anchor>
              </w:drawing>
            </w:r>
          </w:p>
        </w:tc>
        <w:tc>
          <w:tcPr>
            <w:tcW w:w="832" w:type="pct"/>
            <w:shd w:val="clear" w:color="auto" w:fill="auto"/>
            <w:vAlign w:val="center"/>
          </w:tcPr>
          <w:p w14:paraId="20FD5B8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后挡水高度≥510mm</w:t>
            </w:r>
          </w:p>
        </w:tc>
        <w:tc>
          <w:tcPr>
            <w:tcW w:w="1559" w:type="pct"/>
            <w:shd w:val="clear" w:color="auto" w:fill="auto"/>
            <w:vAlign w:val="center"/>
          </w:tcPr>
          <w:p w14:paraId="3F4D91E5">
            <w:pPr>
              <w:rPr>
                <w:highlight w:val="none"/>
              </w:rPr>
            </w:pPr>
            <w:r>
              <w:rPr>
                <w:rFonts w:hint="eastAsia" w:ascii="仿宋" w:hAnsi="仿宋" w:eastAsia="仿宋" w:cs="仿宋"/>
                <w:i w:val="0"/>
                <w:iCs w:val="0"/>
                <w:color w:val="000000"/>
                <w:kern w:val="0"/>
                <w:sz w:val="18"/>
                <w:szCs w:val="18"/>
                <w:highlight w:val="none"/>
                <w:u w:val="none"/>
                <w:lang w:val="en-US" w:eastAsia="zh-CN" w:bidi="ar"/>
              </w:rPr>
              <w:t>一、结构：电磁单头大炒炉，一体化防水LED数码中文显示器（电量累计日/周/月，火力数字+分布条双显），模块化全封闭分层负压散热（防油烟/防湿气/防蟑螂），控制机芯采用先进IGBT（自检及故障诊断）。</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2.柜体：304不锈钢，厚度1.0mm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3.锅具：配直径800mm可拆卸式独立电磁灶专用大锅，食品级，铁锅厚度≥3mm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4.水龙头：304不锈钢，0～180°摇摆式，90°出水铜芯阀门</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5.线盘：紫铜耐高温阻燃漆包线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6.风机：IPX6防水级、设备正常运行时噪音≤65dB、高压直流</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7.接线端子：防水型耐高温PIN端子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8.所有原材料及配件（直接/非直接接触）：符合国家食品</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三、标准性能参数：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1.额定电压：380V（三相五线制）</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2.功率：25kW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3.火力档位：≥8档</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w:t>
            </w:r>
            <w:r>
              <w:rPr>
                <w:rFonts w:hint="eastAsia" w:ascii="仿宋" w:hAnsi="仿宋" w:eastAsia="仿宋" w:cs="仿宋"/>
                <w:b w:val="0"/>
                <w:bCs w:val="0"/>
                <w:i w:val="0"/>
                <w:iCs w:val="0"/>
                <w:caps w:val="0"/>
                <w:color w:val="000000"/>
                <w:spacing w:val="0"/>
                <w:kern w:val="0"/>
                <w:sz w:val="18"/>
                <w:szCs w:val="18"/>
                <w:highlight w:val="none"/>
                <w:u w:val="none"/>
                <w:shd w:val="clear"/>
                <w:lang w:bidi="ar"/>
              </w:rPr>
              <w:t>电磁兼容抗扰度</w:t>
            </w:r>
            <w:r>
              <w:rPr>
                <w:rFonts w:hint="eastAsia" w:ascii="仿宋" w:hAnsi="仿宋" w:eastAsia="仿宋" w:cs="仿宋"/>
                <w:b w:val="0"/>
                <w:bCs w:val="0"/>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olor w:val="000000"/>
                <w:kern w:val="0"/>
                <w:sz w:val="18"/>
                <w:szCs w:val="18"/>
                <w:highlight w:val="none"/>
                <w:u w:val="none"/>
                <w:lang w:val="en-US" w:eastAsia="zh-CN" w:bidi="ar"/>
              </w:rPr>
              <w:t>所投产品须符合GB/T4343.2-2020《家用电器、电动工具和类似器具的电磁兼容要求第2部分:抗扰度》标准的要求。其中：静电放电按GB/T17626.2-2018进行试验，测试结果应至少符合GB/T4343.2-2020中性能判据B的要求；浪涌按GB/T17626.5-2019进行试验，测试结果应至少符合GB/T4343.2-2020中性能判据B的要求；注入电流按GB/T17626.6-2017进行试验，测试结果应符合GB/T4343.2-2020中性能判据A的要求；电压暂降按GB/T17626.11-2023进行试验，测试结果应至少符合GB/T4343.2-2020中性能判据C的要求,上述各项检测结果判定均为合格。响应文件中须</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fill="auto"/>
                <w:lang w:bidi="ar"/>
              </w:rPr>
              <w:t>（须清晰显示上述全部检测项目及对应结论</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p w14:paraId="12C94C00">
            <w:pPr>
              <w:keepNext w:val="0"/>
              <w:keepLines w:val="0"/>
              <w:widowControl/>
              <w:suppressLineNumbers w:val="0"/>
              <w:jc w:val="left"/>
              <w:textAlignment w:val="auto"/>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★5.</w:t>
            </w:r>
            <w:r>
              <w:rPr>
                <w:rFonts w:hint="eastAsia" w:ascii="仿宋" w:hAnsi="仿宋" w:eastAsia="仿宋" w:cs="仿宋"/>
                <w:b w:val="0"/>
                <w:bCs w:val="0"/>
                <w:i w:val="0"/>
                <w:iCs w:val="0"/>
                <w:caps w:val="0"/>
                <w:color w:val="000000"/>
                <w:spacing w:val="0"/>
                <w:kern w:val="0"/>
                <w:sz w:val="18"/>
                <w:szCs w:val="18"/>
                <w:highlight w:val="none"/>
                <w:u w:val="none"/>
                <w:shd w:val="clear"/>
                <w:lang w:bidi="ar"/>
              </w:rPr>
              <w:t>机械碰撞防护</w:t>
            </w:r>
            <w:r>
              <w:rPr>
                <w:rFonts w:hint="eastAsia" w:ascii="仿宋" w:hAnsi="仿宋" w:eastAsia="仿宋" w:cs="仿宋"/>
                <w:i w:val="0"/>
                <w:iCs w:val="0"/>
                <w:caps w:val="0"/>
                <w:color w:val="000000"/>
                <w:spacing w:val="0"/>
                <w:kern w:val="0"/>
                <w:sz w:val="18"/>
                <w:szCs w:val="18"/>
                <w:highlight w:val="none"/>
                <w:u w:val="none"/>
                <w:shd w:val="clear"/>
                <w:lang w:bidi="ar"/>
              </w:rPr>
              <w:t>：所投 </w:t>
            </w:r>
            <w:r>
              <w:rPr>
                <w:rFonts w:hint="eastAsia" w:ascii="仿宋" w:hAnsi="仿宋" w:eastAsia="仿宋" w:cs="仿宋"/>
                <w:i w:val="0"/>
                <w:iCs w:val="0"/>
                <w:color w:val="000000"/>
                <w:kern w:val="0"/>
                <w:sz w:val="18"/>
                <w:szCs w:val="18"/>
                <w:highlight w:val="none"/>
                <w:u w:val="none"/>
                <w:lang w:val="en-US" w:eastAsia="zh-CN" w:bidi="ar"/>
              </w:rPr>
              <w:t>产品须依据GB/T20138-2023《电器设备外壳对外界机械碰撞的防护等级(IK代码)》标准进行检测，机械碰撞防护等级检测结果判定符合IK09；响应文件中须提供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（须清晰显示机械碰撞防护等级判定结果</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p>
          <w:p w14:paraId="5E210F29">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★6.</w:t>
            </w:r>
            <w:r>
              <w:rPr>
                <w:rFonts w:hint="eastAsia" w:ascii="仿宋" w:hAnsi="仿宋" w:eastAsia="仿宋" w:cs="仿宋"/>
                <w:b w:val="0"/>
                <w:bCs w:val="0"/>
                <w:i w:val="0"/>
                <w:iCs w:val="0"/>
                <w:caps w:val="0"/>
                <w:color w:val="000000"/>
                <w:spacing w:val="0"/>
                <w:kern w:val="0"/>
                <w:sz w:val="18"/>
                <w:szCs w:val="18"/>
                <w:highlight w:val="none"/>
                <w:u w:val="none"/>
                <w:shd w:val="clear"/>
                <w:lang w:bidi="ar"/>
              </w:rPr>
              <w:t>针焰试验</w:t>
            </w:r>
            <w:r>
              <w:rPr>
                <w:rFonts w:hint="eastAsia" w:ascii="仿宋" w:hAnsi="仿宋" w:eastAsia="仿宋" w:cs="仿宋"/>
                <w:b w:val="0"/>
                <w:bCs w:val="0"/>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olor w:val="000000"/>
                <w:kern w:val="0"/>
                <w:sz w:val="18"/>
                <w:szCs w:val="18"/>
                <w:highlight w:val="none"/>
                <w:u w:val="none"/>
                <w:lang w:val="en-US" w:eastAsia="zh-CN" w:bidi="ar"/>
              </w:rPr>
              <w:t>所投产品核心配件机芯、控制板符合GB/T5169.5-2020《电工电子产品着火危险试验第5部分:试验火焰针焰试验方法装置、确认试验方法和导则》要求。按GB/T5169,5-2020规定的方法进行试验,施加试验火焰持续时间ta为10s。在移开针焰后,试样和周围的零部件的火焰或灼热在30s之内熄灭，即tb&lt;30s，而且周围的零部件未完全烧毁、规定的铺底层未起燃，针焰试验结果须为合格；响应文件中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b w:val="0"/>
                <w:bCs w:val="0"/>
                <w:i w:val="0"/>
                <w:iCs w:val="0"/>
                <w:caps w:val="0"/>
                <w:color w:val="000000"/>
                <w:spacing w:val="0"/>
                <w:kern w:val="0"/>
                <w:sz w:val="18"/>
                <w:szCs w:val="18"/>
                <w:highlight w:val="none"/>
                <w:u w:val="none"/>
                <w:shd w:val="clear"/>
                <w:lang w:bidi="ar"/>
              </w:rPr>
              <w:t>须清晰显示 ta 值、tb 实测值及合格结论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p>
          <w:p w14:paraId="0E6D83C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★7.有害物质限量：所投产品核心部件风扇、显示屏须依据GB/T 39560.301-2020《电子电气产品中某些物质的测定第3-1部分：X射线荧光光谱法筛选铅、汞、镉、总铬和总溴》进行检测，检测部件须至少包括：散热风扇架、黑色电源线皮、线芯、散热风扇叶、通用显示屏黑色面板、通用显示屏面板上白字、通用显示屏背面封胶。依据GB/T 26572-2011及第1号修改单的要求，</w:t>
            </w:r>
            <w:r>
              <w:rPr>
                <w:rFonts w:hint="eastAsia" w:ascii="仿宋" w:hAnsi="仿宋" w:eastAsia="仿宋" w:cs="仿宋"/>
                <w:b w:val="0"/>
                <w:bCs w:val="0"/>
                <w:i w:val="0"/>
                <w:iCs w:val="0"/>
                <w:caps w:val="0"/>
                <w:color w:val="000000"/>
                <w:spacing w:val="0"/>
                <w:kern w:val="0"/>
                <w:sz w:val="18"/>
                <w:szCs w:val="18"/>
                <w:highlight w:val="none"/>
                <w:u w:val="none"/>
                <w:shd w:val="clear"/>
                <w:lang w:bidi="ar"/>
              </w:rPr>
              <w:t>10项</w:t>
            </w:r>
            <w:r>
              <w:rPr>
                <w:rFonts w:hint="eastAsia" w:ascii="仿宋" w:hAnsi="仿宋" w:eastAsia="仿宋" w:cs="仿宋"/>
                <w:i w:val="0"/>
                <w:iCs w:val="0"/>
                <w:caps w:val="0"/>
                <w:color w:val="000000"/>
                <w:spacing w:val="0"/>
                <w:kern w:val="0"/>
                <w:sz w:val="18"/>
                <w:szCs w:val="18"/>
                <w:highlight w:val="none"/>
                <w:u w:val="none"/>
                <w:shd w:val="clear"/>
                <w:lang w:bidi="ar"/>
              </w:rPr>
              <w:t>有害物质（铅、汞、六价铬、多溴联苯、多溴二苯醚、邻苯二甲酸二正丁酯、邻苯二甲酸丁基苄酯、邻苯二甲酸二(2-乙基己)酯、邻苯二甲酸二异丁酯）含量均须符合限值要求，</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其中：</w:t>
            </w:r>
            <w:r>
              <w:rPr>
                <w:rFonts w:hint="eastAsia" w:ascii="仿宋" w:hAnsi="仿宋" w:eastAsia="仿宋" w:cs="仿宋"/>
                <w:i w:val="0"/>
                <w:iCs w:val="0"/>
                <w:color w:val="000000"/>
                <w:kern w:val="0"/>
                <w:sz w:val="18"/>
                <w:szCs w:val="18"/>
                <w:highlight w:val="none"/>
                <w:u w:val="none"/>
                <w:lang w:val="en-US" w:eastAsia="zh-CN" w:bidi="ar"/>
              </w:rPr>
              <w:t>铅、汞、六价铬、多溴联苯、多</w:t>
            </w:r>
            <w:r>
              <w:rPr>
                <w:rFonts w:hint="eastAsia" w:ascii="仿宋" w:hAnsi="仿宋" w:eastAsia="仿宋" w:cs="仿宋"/>
                <w:b w:val="0"/>
                <w:bCs w:val="0"/>
                <w:i w:val="0"/>
                <w:iCs w:val="0"/>
                <w:caps w:val="0"/>
                <w:color w:val="000000"/>
                <w:spacing w:val="0"/>
                <w:kern w:val="0"/>
                <w:sz w:val="18"/>
                <w:szCs w:val="18"/>
                <w:highlight w:val="none"/>
                <w:u w:val="none"/>
                <w:shd w:val="clear"/>
                <w:lang w:bidi="ar"/>
              </w:rPr>
              <w:t>溴</w:t>
            </w:r>
            <w:r>
              <w:rPr>
                <w:rFonts w:hint="eastAsia" w:ascii="仿宋" w:hAnsi="仿宋" w:eastAsia="仿宋" w:cs="仿宋"/>
                <w:i w:val="0"/>
                <w:iCs w:val="0"/>
                <w:color w:val="000000"/>
                <w:kern w:val="0"/>
                <w:sz w:val="18"/>
                <w:szCs w:val="18"/>
                <w:highlight w:val="none"/>
                <w:u w:val="none"/>
                <w:lang w:val="en-US" w:eastAsia="zh-CN" w:bidi="ar"/>
              </w:rPr>
              <w:t>二苯醚、</w:t>
            </w:r>
            <w:r>
              <w:rPr>
                <w:rFonts w:hint="eastAsia" w:ascii="仿宋" w:hAnsi="仿宋" w:eastAsia="仿宋" w:cs="仿宋"/>
                <w:i w:val="0"/>
                <w:iCs w:val="0"/>
                <w:caps w:val="0"/>
                <w:color w:val="000000"/>
                <w:spacing w:val="0"/>
                <w:kern w:val="0"/>
                <w:sz w:val="18"/>
                <w:szCs w:val="18"/>
                <w:highlight w:val="none"/>
                <w:u w:val="none"/>
                <w:shd w:val="clear"/>
                <w:lang w:bidi="ar"/>
              </w:rPr>
              <w:t>邻苯二甲酸二正丁酯、邻苯二甲酸丁基苄酯、邻苯二甲酸二(2-乙基己)酯、邻苯二甲酸二异丁酯</w:t>
            </w:r>
            <w:r>
              <w:rPr>
                <w:rFonts w:hint="eastAsia" w:ascii="仿宋" w:hAnsi="仿宋" w:eastAsia="仿宋" w:cs="仿宋"/>
                <w:i w:val="0"/>
                <w:iCs w:val="0"/>
                <w:color w:val="000000"/>
                <w:kern w:val="0"/>
                <w:sz w:val="18"/>
                <w:szCs w:val="18"/>
                <w:highlight w:val="none"/>
                <w:u w:val="none"/>
                <w:lang w:val="en-US" w:eastAsia="zh-CN" w:bidi="ar"/>
              </w:rPr>
              <w:t>的含量不应超过0.1%，镉的含量不应超过0.01%。响应文件中须提供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（须清晰显示上述全部检测</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部件、检测</w:t>
            </w:r>
            <w:r>
              <w:rPr>
                <w:rFonts w:hint="eastAsia" w:ascii="仿宋" w:hAnsi="仿宋" w:eastAsia="仿宋" w:cs="仿宋"/>
                <w:i w:val="0"/>
                <w:iCs w:val="0"/>
                <w:caps w:val="0"/>
                <w:color w:val="000000"/>
                <w:spacing w:val="0"/>
                <w:kern w:val="0"/>
                <w:sz w:val="18"/>
                <w:szCs w:val="18"/>
                <w:highlight w:val="none"/>
                <w:u w:val="none"/>
                <w:shd w:val="clear"/>
                <w:lang w:bidi="ar"/>
              </w:rPr>
              <w:t>项目及对应结论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tc>
        <w:tc>
          <w:tcPr>
            <w:tcW w:w="376" w:type="pct"/>
            <w:shd w:val="clear" w:color="auto" w:fill="auto"/>
            <w:vAlign w:val="center"/>
          </w:tcPr>
          <w:p w14:paraId="6496396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金佰特、深圳智厨、德玛仕</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5475329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21314B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5EB4517">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11399</w:t>
            </w:r>
          </w:p>
        </w:tc>
        <w:tc>
          <w:tcPr>
            <w:tcW w:w="231" w:type="pct"/>
            <w:shd w:val="clear" w:color="auto" w:fill="auto"/>
            <w:noWrap/>
            <w:vAlign w:val="center"/>
          </w:tcPr>
          <w:p w14:paraId="171B4916">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22798</w:t>
            </w:r>
          </w:p>
        </w:tc>
      </w:tr>
      <w:tr w14:paraId="1FAF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noWrap/>
            <w:vAlign w:val="center"/>
          </w:tcPr>
          <w:p w14:paraId="5D49605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35</w:t>
            </w:r>
          </w:p>
        </w:tc>
        <w:tc>
          <w:tcPr>
            <w:tcW w:w="548" w:type="pct"/>
            <w:shd w:val="clear" w:color="auto" w:fill="auto"/>
            <w:vAlign w:val="center"/>
          </w:tcPr>
          <w:p w14:paraId="7858EFD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单通移门荷台柜</w:t>
            </w:r>
          </w:p>
        </w:tc>
        <w:tc>
          <w:tcPr>
            <w:tcW w:w="502" w:type="pct"/>
            <w:shd w:val="clear" w:color="auto" w:fill="auto"/>
            <w:vAlign w:val="top"/>
          </w:tcPr>
          <w:p w14:paraId="28DAA6FF">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p>
        </w:tc>
        <w:tc>
          <w:tcPr>
            <w:tcW w:w="832" w:type="pct"/>
            <w:shd w:val="clear" w:color="auto" w:fill="auto"/>
            <w:vAlign w:val="center"/>
          </w:tcPr>
          <w:p w14:paraId="01B9565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0A49E22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一、结构：单通移门荷台柜，趟门设计。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-2445385</wp:posOffset>
                  </wp:positionH>
                  <wp:positionV relativeFrom="paragraph">
                    <wp:posOffset>489585</wp:posOffset>
                  </wp:positionV>
                  <wp:extent cx="627380" cy="458470"/>
                  <wp:effectExtent l="0" t="0" r="1270" b="17780"/>
                  <wp:wrapNone/>
                  <wp:docPr id="117" name="ID_9548C0D174974D98AB34569E7CDE8257"/>
                  <wp:cNvGraphicFramePr/>
                  <a:graphic xmlns:a="http://schemas.openxmlformats.org/drawingml/2006/main">
                    <a:graphicData uri="http://schemas.openxmlformats.org/drawingml/2006/picture">
                      <pic:pic xmlns:pic="http://schemas.openxmlformats.org/drawingml/2006/picture">
                        <pic:nvPicPr>
                          <pic:cNvPr id="117" name="ID_9548C0D174974D98AB34569E7CDE8257"/>
                          <pic:cNvPicPr/>
                        </pic:nvPicPr>
                        <pic:blipFill>
                          <a:blip r:embed="rId32"/>
                          <a:stretch>
                            <a:fillRect/>
                          </a:stretch>
                        </pic:blipFill>
                        <pic:spPr>
                          <a:xfrm>
                            <a:off x="0" y="0"/>
                            <a:ext cx="627380" cy="458470"/>
                          </a:xfrm>
                          <a:prstGeom prst="rect">
                            <a:avLst/>
                          </a:prstGeom>
                          <a:noFill/>
                          <a:ln>
                            <a:noFill/>
                          </a:ln>
                        </pic:spPr>
                      </pic:pic>
                    </a:graphicData>
                  </a:graphic>
                </wp:anchor>
              </w:draw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1.台面：1.2mm厚304不锈钢板，下衬15mm防潮夹木板及双工字型1.0mm不锈钢方通加强筋，种钉加固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2.层板、底板、侧板：1.2mm厚304不锈钢板，内部各衬2条1.0mm不锈钢方通加强筋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3.趟门：1.0mm厚304不锈钢板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4.脚：4个Ф51mm304不锈钢可调脚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5.焊接与表面处理：满焊及内角鱼鳞焊，焊口羊毛轮抛光打蜡，拉丝纹路一致，光滑无毛刺</w:t>
            </w:r>
          </w:p>
        </w:tc>
        <w:tc>
          <w:tcPr>
            <w:tcW w:w="376" w:type="pct"/>
            <w:shd w:val="clear" w:color="auto" w:fill="auto"/>
            <w:vAlign w:val="center"/>
          </w:tcPr>
          <w:p w14:paraId="7F70136E">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22F206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65B04D1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9784F2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3000</w:t>
            </w:r>
          </w:p>
        </w:tc>
        <w:tc>
          <w:tcPr>
            <w:tcW w:w="231" w:type="pct"/>
            <w:shd w:val="clear" w:color="auto" w:fill="auto"/>
            <w:noWrap/>
            <w:vAlign w:val="center"/>
          </w:tcPr>
          <w:p w14:paraId="62F476F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6000</w:t>
            </w:r>
          </w:p>
        </w:tc>
      </w:tr>
      <w:tr w14:paraId="4065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70" w:type="pct"/>
            <w:shd w:val="clear" w:color="auto" w:fill="auto"/>
            <w:noWrap/>
            <w:vAlign w:val="center"/>
          </w:tcPr>
          <w:p w14:paraId="71FCCC8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G</w:t>
            </w:r>
          </w:p>
        </w:tc>
        <w:tc>
          <w:tcPr>
            <w:tcW w:w="548" w:type="pct"/>
            <w:shd w:val="clear" w:color="auto" w:fill="auto"/>
            <w:vAlign w:val="center"/>
          </w:tcPr>
          <w:p w14:paraId="13D6712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腌制间</w:t>
            </w:r>
          </w:p>
        </w:tc>
        <w:tc>
          <w:tcPr>
            <w:tcW w:w="502" w:type="pct"/>
            <w:shd w:val="clear" w:color="auto" w:fill="auto"/>
            <w:noWrap/>
            <w:vAlign w:val="center"/>
          </w:tcPr>
          <w:p w14:paraId="7CBDC74B">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7A846C8A">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76FF7196">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55AC48CB">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4D60B47E">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28D3FF29">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3B8C4874">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445A49FE">
            <w:pPr>
              <w:jc w:val="center"/>
              <w:rPr>
                <w:rFonts w:hint="eastAsia" w:ascii="仿宋" w:hAnsi="仿宋" w:eastAsia="仿宋" w:cs="仿宋"/>
                <w:i w:val="0"/>
                <w:iCs w:val="0"/>
                <w:color w:val="000000"/>
                <w:sz w:val="18"/>
                <w:szCs w:val="18"/>
                <w:highlight w:val="none"/>
                <w:u w:val="none"/>
              </w:rPr>
            </w:pPr>
          </w:p>
        </w:tc>
      </w:tr>
      <w:tr w14:paraId="67F6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270" w:type="pct"/>
            <w:shd w:val="clear" w:color="auto" w:fill="auto"/>
            <w:vAlign w:val="center"/>
          </w:tcPr>
          <w:p w14:paraId="7E126E3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36</w:t>
            </w:r>
          </w:p>
        </w:tc>
        <w:tc>
          <w:tcPr>
            <w:tcW w:w="548" w:type="pct"/>
            <w:shd w:val="clear" w:color="auto" w:fill="auto"/>
            <w:vAlign w:val="center"/>
          </w:tcPr>
          <w:p w14:paraId="0677DA6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4B84231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-40005</wp:posOffset>
                  </wp:positionH>
                  <wp:positionV relativeFrom="paragraph">
                    <wp:posOffset>203200</wp:posOffset>
                  </wp:positionV>
                  <wp:extent cx="836295" cy="588645"/>
                  <wp:effectExtent l="0" t="0" r="1905" b="1905"/>
                  <wp:wrapNone/>
                  <wp:docPr id="91" name="ID_497AC02572CD494D8A4653A32114579D_SpCnt_3"/>
                  <wp:cNvGraphicFramePr/>
                  <a:graphic xmlns:a="http://schemas.openxmlformats.org/drawingml/2006/main">
                    <a:graphicData uri="http://schemas.openxmlformats.org/drawingml/2006/picture">
                      <pic:pic xmlns:pic="http://schemas.openxmlformats.org/drawingml/2006/picture">
                        <pic:nvPicPr>
                          <pic:cNvPr id="91" name="ID_497AC02572CD494D8A4653A32114579D_SpCnt_3"/>
                          <pic:cNvPicPr/>
                        </pic:nvPicPr>
                        <pic:blipFill>
                          <a:blip r:embed="rId8"/>
                          <a:stretch>
                            <a:fillRect/>
                          </a:stretch>
                        </pic:blipFill>
                        <pic:spPr>
                          <a:xfrm>
                            <a:off x="0" y="0"/>
                            <a:ext cx="836295" cy="588645"/>
                          </a:xfrm>
                          <a:prstGeom prst="rect">
                            <a:avLst/>
                          </a:prstGeom>
                          <a:noFill/>
                          <a:ln>
                            <a:noFill/>
                          </a:ln>
                        </pic:spPr>
                      </pic:pic>
                    </a:graphicData>
                  </a:graphic>
                </wp:anchor>
              </w:drawing>
            </w:r>
          </w:p>
        </w:tc>
        <w:tc>
          <w:tcPr>
            <w:tcW w:w="832" w:type="pct"/>
            <w:shd w:val="clear" w:color="auto" w:fill="auto"/>
            <w:vAlign w:val="center"/>
          </w:tcPr>
          <w:p w14:paraId="03B2796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0743082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3BE6BDF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20FBAB6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2CBFCD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04583C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0A58807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662D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noWrap/>
            <w:vAlign w:val="center"/>
          </w:tcPr>
          <w:p w14:paraId="05A3B240">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37</w:t>
            </w:r>
          </w:p>
        </w:tc>
        <w:tc>
          <w:tcPr>
            <w:tcW w:w="548" w:type="pct"/>
            <w:shd w:val="clear" w:color="auto" w:fill="auto"/>
            <w:vAlign w:val="center"/>
          </w:tcPr>
          <w:p w14:paraId="4A91A25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双温四门高身柜</w:t>
            </w:r>
          </w:p>
        </w:tc>
        <w:tc>
          <w:tcPr>
            <w:tcW w:w="502" w:type="pct"/>
            <w:shd w:val="clear" w:color="auto" w:fill="auto"/>
            <w:vAlign w:val="top"/>
          </w:tcPr>
          <w:p w14:paraId="436DFBDF">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wp:posOffset>
                  </wp:positionH>
                  <wp:positionV relativeFrom="paragraph">
                    <wp:posOffset>516890</wp:posOffset>
                  </wp:positionV>
                  <wp:extent cx="795020" cy="748030"/>
                  <wp:effectExtent l="0" t="0" r="5080" b="13970"/>
                  <wp:wrapNone/>
                  <wp:docPr id="104" name="ID_5E79C2ACC8594F9CB1B5D2A35EB0F737"/>
                  <wp:cNvGraphicFramePr/>
                  <a:graphic xmlns:a="http://schemas.openxmlformats.org/drawingml/2006/main">
                    <a:graphicData uri="http://schemas.openxmlformats.org/drawingml/2006/picture">
                      <pic:pic xmlns:pic="http://schemas.openxmlformats.org/drawingml/2006/picture">
                        <pic:nvPicPr>
                          <pic:cNvPr id="104" name="ID_5E79C2ACC8594F9CB1B5D2A35EB0F737"/>
                          <pic:cNvPicPr/>
                        </pic:nvPicPr>
                        <pic:blipFill>
                          <a:blip r:embed="rId7"/>
                          <a:stretch>
                            <a:fillRect/>
                          </a:stretch>
                        </pic:blipFill>
                        <pic:spPr>
                          <a:xfrm>
                            <a:off x="0" y="0"/>
                            <a:ext cx="795020" cy="748030"/>
                          </a:xfrm>
                          <a:prstGeom prst="rect">
                            <a:avLst/>
                          </a:prstGeom>
                          <a:noFill/>
                          <a:ln>
                            <a:noFill/>
                          </a:ln>
                        </pic:spPr>
                      </pic:pic>
                    </a:graphicData>
                  </a:graphic>
                </wp:anchor>
              </w:drawing>
            </w:r>
          </w:p>
        </w:tc>
        <w:tc>
          <w:tcPr>
            <w:tcW w:w="832" w:type="pct"/>
            <w:shd w:val="clear" w:color="auto" w:fill="auto"/>
            <w:vAlign w:val="center"/>
          </w:tcPr>
          <w:p w14:paraId="577C213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41E22218">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p>
          <w:p w14:paraId="683A830C">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1.有效容积：≥900L（冷冻≥450L/冷藏≥450L）</w:t>
            </w:r>
          </w:p>
          <w:p w14:paraId="72B57F26">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2.双温四门设计，冷藏室0℃～10℃，冷冻室-6℃～-18℃，风冷制冷，双路独立温控</w:t>
            </w:r>
          </w:p>
          <w:p w14:paraId="3BB03CF6">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3.门体整体发泡结构，配自动回弹或助力闭合功能及磁性密封条</w:t>
            </w:r>
          </w:p>
          <w:p w14:paraId="7CA6F9DC">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4.内部多层可调层架，底部配可调节防滑地脚或万向轮</w:t>
            </w:r>
          </w:p>
          <w:p w14:paraId="68D1BD09">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-2445385</wp:posOffset>
                  </wp:positionH>
                  <wp:positionV relativeFrom="paragraph">
                    <wp:posOffset>489585</wp:posOffset>
                  </wp:positionV>
                  <wp:extent cx="627380" cy="458470"/>
                  <wp:effectExtent l="0" t="0" r="1270" b="17780"/>
                  <wp:wrapNone/>
                  <wp:docPr id="38" name="ID_9548C0D174974D98AB34569E7CDE8257"/>
                  <wp:cNvGraphicFramePr/>
                  <a:graphic xmlns:a="http://schemas.openxmlformats.org/drawingml/2006/main">
                    <a:graphicData uri="http://schemas.openxmlformats.org/drawingml/2006/picture">
                      <pic:pic xmlns:pic="http://schemas.openxmlformats.org/drawingml/2006/picture">
                        <pic:nvPicPr>
                          <pic:cNvPr id="38" name="ID_9548C0D174974D98AB34569E7CDE8257"/>
                          <pic:cNvPicPr/>
                        </pic:nvPicPr>
                        <pic:blipFill>
                          <a:blip r:embed="rId32"/>
                          <a:stretch>
                            <a:fillRect/>
                          </a:stretch>
                        </pic:blipFill>
                        <pic:spPr>
                          <a:xfrm>
                            <a:off x="0" y="0"/>
                            <a:ext cx="627380" cy="458470"/>
                          </a:xfrm>
                          <a:prstGeom prst="rect">
                            <a:avLst/>
                          </a:prstGeom>
                          <a:noFill/>
                          <a:ln>
                            <a:noFill/>
                          </a:ln>
                        </pic:spPr>
                      </pic:pic>
                    </a:graphicData>
                  </a:graphic>
                </wp:anchor>
              </w:drawing>
            </w:r>
            <w:r>
              <w:rPr>
                <w:rFonts w:hint="eastAsia" w:ascii="仿宋" w:hAnsi="仿宋" w:eastAsia="仿宋" w:cs="仿宋"/>
                <w:i w:val="0"/>
                <w:iCs w:val="0"/>
                <w:color w:val="000000"/>
                <w:kern w:val="0"/>
                <w:sz w:val="18"/>
                <w:szCs w:val="18"/>
                <w:highlight w:val="none"/>
                <w:u w:val="none"/>
                <w:lang w:val="en-US" w:eastAsia="zh-CN" w:bidi="ar"/>
              </w:rPr>
              <w:t>二、材质与工艺：</w:t>
            </w:r>
          </w:p>
          <w:p w14:paraId="3409FC5E">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1.机体、门体、内胆：201不锈钢</w:t>
            </w:r>
          </w:p>
          <w:p w14:paraId="26AE5878">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2.制冷系统：全铜管，R290、R600a等环保制冷剂</w:t>
            </w:r>
          </w:p>
          <w:p w14:paraId="7C7BE41C">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3.门封条：优质磁性橡胶</w:t>
            </w:r>
          </w:p>
          <w:p w14:paraId="61C29EE8">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4.保温层：环戊烷发泡材料，厚度≥50mm</w:t>
            </w:r>
          </w:p>
          <w:p w14:paraId="52917D7A">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5.中梁加热除霜</w:t>
            </w:r>
          </w:p>
          <w:p w14:paraId="5A86DCBB">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三、电气性能与认证：</w:t>
            </w:r>
          </w:p>
          <w:p w14:paraId="0E580DBA">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1.电压/频率：220V/50Hz</w:t>
            </w:r>
          </w:p>
          <w:p w14:paraId="0169E65B">
            <w:pPr>
              <w:keepNext w:val="0"/>
              <w:keepLines w:val="0"/>
              <w:widowControl/>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lang w:eastAsia="zh-CN" w:bidi="ar"/>
              </w:rPr>
            </w:pPr>
            <w:r>
              <w:rPr>
                <w:rFonts w:hint="eastAsia" w:ascii="仿宋" w:hAnsi="仿宋" w:eastAsia="仿宋" w:cs="仿宋"/>
                <w:i w:val="0"/>
                <w:iCs w:val="0"/>
                <w:color w:val="000000"/>
                <w:kern w:val="0"/>
                <w:sz w:val="18"/>
                <w:szCs w:val="18"/>
                <w:highlight w:val="none"/>
                <w:u w:val="none"/>
                <w:lang w:val="en-US" w:eastAsia="zh-CN" w:bidi="ar"/>
              </w:rPr>
              <w:t>★2.能效等级：一级，</w:t>
            </w:r>
            <w:r>
              <w:rPr>
                <w:rFonts w:hint="eastAsia" w:ascii="仿宋" w:hAnsi="仿宋" w:eastAsia="仿宋" w:cs="仿宋"/>
                <w:i w:val="0"/>
                <w:iCs w:val="0"/>
                <w:caps w:val="0"/>
                <w:color w:val="000000"/>
                <w:spacing w:val="0"/>
                <w:kern w:val="0"/>
                <w:sz w:val="18"/>
                <w:szCs w:val="18"/>
                <w:highlight w:val="none"/>
                <w:u w:val="none"/>
                <w:shd w:val="clear" w:fill="auto"/>
                <w:lang w:bidi="ar"/>
              </w:rPr>
              <w:t>依据 GB 26920-2024</w:t>
            </w:r>
            <w:r>
              <w:rPr>
                <w:rFonts w:hint="eastAsia" w:ascii="仿宋" w:hAnsi="仿宋" w:eastAsia="仿宋" w:cs="仿宋"/>
                <w:i w:val="0"/>
                <w:iCs w:val="0"/>
                <w:color w:val="000000"/>
                <w:kern w:val="0"/>
                <w:sz w:val="18"/>
                <w:szCs w:val="18"/>
                <w:highlight w:val="none"/>
                <w:u w:val="none"/>
                <w:lang w:bidi="ar"/>
              </w:rPr>
              <w:t>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fill="auto"/>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进行判定</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以下任一证明材料（须</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加盖供应商公章</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（1）</w:t>
            </w:r>
            <w:r>
              <w:rPr>
                <w:rFonts w:hint="eastAsia" w:ascii="仿宋" w:hAnsi="仿宋" w:eastAsia="仿宋" w:cs="仿宋"/>
                <w:i w:val="0"/>
                <w:iCs w:val="0"/>
                <w:caps w:val="0"/>
                <w:color w:val="000000"/>
                <w:spacing w:val="0"/>
                <w:kern w:val="0"/>
                <w:sz w:val="18"/>
                <w:szCs w:val="18"/>
                <w:highlight w:val="none"/>
                <w:u w:val="none"/>
                <w:shd w:val="clear"/>
                <w:lang w:bidi="ar"/>
              </w:rPr>
              <w:t>中国能效标识网（</w:t>
            </w:r>
            <w:r>
              <w:rPr>
                <w:rFonts w:hint="eastAsia" w:ascii="仿宋" w:hAnsi="仿宋" w:eastAsia="仿宋" w:cs="仿宋"/>
                <w:i w:val="0"/>
                <w:iCs w:val="0"/>
                <w:caps w:val="0"/>
                <w:color w:val="000000"/>
                <w:spacing w:val="0"/>
                <w:kern w:val="0"/>
                <w:sz w:val="18"/>
                <w:szCs w:val="18"/>
                <w:highlight w:val="none"/>
                <w:u w:val="none"/>
                <w:shd w:val="clear"/>
                <w:lang w:bidi="ar"/>
              </w:rPr>
              <w:fldChar w:fldCharType="begin"/>
            </w:r>
            <w:r>
              <w:rPr>
                <w:rFonts w:hint="eastAsia" w:ascii="仿宋" w:hAnsi="仿宋" w:eastAsia="仿宋" w:cs="仿宋"/>
                <w:i w:val="0"/>
                <w:iCs w:val="0"/>
                <w:caps w:val="0"/>
                <w:color w:val="000000"/>
                <w:spacing w:val="0"/>
                <w:kern w:val="0"/>
                <w:sz w:val="18"/>
                <w:szCs w:val="18"/>
                <w:highlight w:val="none"/>
                <w:u w:val="none"/>
                <w:shd w:val="clear"/>
                <w:lang w:bidi="ar"/>
              </w:rPr>
              <w:instrText xml:space="preserve"> HYPERLINK "https://www.energylabel.com.cn/" \t "https://chat.deepseek.com/a/chat/s/_blank" </w:instrText>
            </w:r>
            <w:r>
              <w:rPr>
                <w:rFonts w:hint="eastAsia" w:ascii="仿宋" w:hAnsi="仿宋" w:eastAsia="仿宋" w:cs="仿宋"/>
                <w:i w:val="0"/>
                <w:iCs w:val="0"/>
                <w:caps w:val="0"/>
                <w:color w:val="000000"/>
                <w:spacing w:val="0"/>
                <w:kern w:val="0"/>
                <w:sz w:val="18"/>
                <w:szCs w:val="18"/>
                <w:highlight w:val="none"/>
                <w:u w:val="none"/>
                <w:shd w:val="clear"/>
                <w:lang w:bidi="ar"/>
              </w:rPr>
              <w:fldChar w:fldCharType="separate"/>
            </w:r>
            <w:r>
              <w:rPr>
                <w:rFonts w:hint="eastAsia" w:ascii="仿宋" w:hAnsi="仿宋" w:eastAsia="仿宋" w:cs="仿宋"/>
                <w:i w:val="0"/>
                <w:iCs w:val="0"/>
                <w:caps w:val="0"/>
                <w:color w:val="000000"/>
                <w:spacing w:val="0"/>
                <w:kern w:val="0"/>
                <w:sz w:val="18"/>
                <w:szCs w:val="18"/>
                <w:highlight w:val="none"/>
                <w:u w:val="none"/>
                <w:shd w:val="clear"/>
                <w:lang w:bidi="ar"/>
              </w:rPr>
              <w:t>https://www.energylabel.com.cn</w:t>
            </w:r>
            <w:r>
              <w:rPr>
                <w:rFonts w:hint="eastAsia" w:ascii="仿宋" w:hAnsi="仿宋" w:eastAsia="仿宋" w:cs="仿宋"/>
                <w:i w:val="0"/>
                <w:iCs w:val="0"/>
                <w:caps w:val="0"/>
                <w:color w:val="000000"/>
                <w:spacing w:val="0"/>
                <w:kern w:val="0"/>
                <w:sz w:val="18"/>
                <w:szCs w:val="18"/>
                <w:highlight w:val="none"/>
                <w:u w:val="none"/>
                <w:shd w:val="clear"/>
                <w:lang w:bidi="ar"/>
              </w:rPr>
              <w:fldChar w:fldCharType="end"/>
            </w:r>
            <w:r>
              <w:rPr>
                <w:rFonts w:hint="eastAsia" w:ascii="仿宋" w:hAnsi="仿宋" w:eastAsia="仿宋" w:cs="仿宋"/>
                <w:i w:val="0"/>
                <w:iCs w:val="0"/>
                <w:caps w:val="0"/>
                <w:color w:val="000000"/>
                <w:spacing w:val="0"/>
                <w:kern w:val="0"/>
                <w:sz w:val="18"/>
                <w:szCs w:val="18"/>
                <w:highlight w:val="none"/>
                <w:u w:val="none"/>
                <w:shd w:val="clear"/>
                <w:lang w:bidi="ar"/>
              </w:rPr>
              <w:t>）备案查询截图（截图须清晰显示产品型号</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能效等级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及依据的</w:t>
            </w:r>
            <w:r>
              <w:rPr>
                <w:rFonts w:hint="eastAsia" w:ascii="仿宋" w:hAnsi="仿宋" w:eastAsia="仿宋" w:cs="仿宋"/>
                <w:i w:val="0"/>
                <w:iCs w:val="0"/>
                <w:caps w:val="0"/>
                <w:color w:val="000000"/>
                <w:spacing w:val="0"/>
                <w:kern w:val="0"/>
                <w:sz w:val="18"/>
                <w:szCs w:val="18"/>
                <w:highlight w:val="none"/>
                <w:u w:val="none"/>
                <w:shd w:val="clear"/>
                <w:lang w:bidi="ar"/>
              </w:rPr>
              <w:t>标准）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由具备CMA资质的第三方检测机构出具的检测报告复印件（须清晰显示能效等级判定结果，并载明检测依据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p>
          <w:p w14:paraId="79B9584A">
            <w:pPr>
              <w:keepNext w:val="0"/>
              <w:keepLines w:val="0"/>
              <w:widowControl/>
              <w:suppressLineNumbers w:val="0"/>
              <w:jc w:val="left"/>
              <w:textAlignment w:val="center"/>
              <w:rPr>
                <w:rFonts w:hint="default"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aps w:val="0"/>
                <w:color w:val="000000"/>
                <w:spacing w:val="0"/>
                <w:kern w:val="0"/>
                <w:sz w:val="18"/>
                <w:szCs w:val="18"/>
                <w:highlight w:val="none"/>
                <w:u w:val="none"/>
                <w:shd w:val="clear"/>
                <w:lang w:val="en-US" w:eastAsia="zh-CN" w:bidi="ar"/>
              </w:rPr>
              <w:t>说明：（1）</w:t>
            </w:r>
            <w:r>
              <w:rPr>
                <w:rFonts w:hint="eastAsia" w:ascii="仿宋" w:hAnsi="仿宋" w:eastAsia="仿宋" w:cs="仿宋"/>
                <w:i w:val="0"/>
                <w:iCs w:val="0"/>
                <w:caps w:val="0"/>
                <w:color w:val="000000"/>
                <w:spacing w:val="0"/>
                <w:kern w:val="0"/>
                <w:sz w:val="18"/>
                <w:szCs w:val="18"/>
                <w:highlight w:val="none"/>
                <w:u w:val="none"/>
                <w:shd w:val="clear"/>
                <w:lang w:bidi="ar"/>
              </w:rPr>
              <w:t>评审时</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专家</w:t>
            </w:r>
            <w:r>
              <w:rPr>
                <w:rFonts w:hint="eastAsia" w:ascii="仿宋" w:hAnsi="仿宋" w:eastAsia="仿宋" w:cs="仿宋"/>
                <w:i w:val="0"/>
                <w:iCs w:val="0"/>
                <w:caps w:val="0"/>
                <w:color w:val="000000"/>
                <w:spacing w:val="0"/>
                <w:kern w:val="0"/>
                <w:sz w:val="18"/>
                <w:szCs w:val="18"/>
                <w:highlight w:val="none"/>
                <w:u w:val="none"/>
                <w:shd w:val="clear"/>
                <w:lang w:bidi="ar"/>
              </w:rPr>
              <w:t>有权通过中国能效标识网对能效等级进行核实。核实结果与供应商提供的证明材料不一致的，以中国能效标识网备案数据为准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如所投产品不在中国能效标识网备案范围内，则以检测报告为准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证明材料即</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或</w:t>
            </w:r>
            <w:r>
              <w:rPr>
                <w:rFonts w:hint="eastAsia" w:ascii="仿宋" w:hAnsi="仿宋" w:eastAsia="仿宋" w:cs="仿宋"/>
                <w:i w:val="0"/>
                <w:iCs w:val="0"/>
                <w:caps w:val="0"/>
                <w:color w:val="000000"/>
                <w:spacing w:val="0"/>
                <w:kern w:val="0"/>
                <w:sz w:val="18"/>
                <w:szCs w:val="18"/>
                <w:highlight w:val="none"/>
                <w:u w:val="none"/>
                <w:shd w:val="clear"/>
                <w:lang w:bidi="ar"/>
              </w:rPr>
              <w:t>备案截图所载明的产品型号均须与所投产品型号完全一致，否则视为负偏离。</w:t>
            </w:r>
          </w:p>
          <w:p w14:paraId="175FF894">
            <w:pPr>
              <w:rPr>
                <w:highlight w:val="none"/>
              </w:rPr>
            </w:pPr>
            <w:r>
              <w:rPr>
                <w:rFonts w:hint="eastAsia" w:ascii="仿宋" w:hAnsi="仿宋" w:eastAsia="仿宋" w:cs="仿宋"/>
                <w:i w:val="0"/>
                <w:iCs w:val="0"/>
                <w:color w:val="000000"/>
                <w:kern w:val="0"/>
                <w:sz w:val="18"/>
                <w:szCs w:val="18"/>
                <w:highlight w:val="none"/>
                <w:u w:val="none"/>
                <w:lang w:val="en-US" w:eastAsia="zh-CN" w:bidi="ar"/>
              </w:rPr>
              <w:t>★</w:t>
            </w:r>
          </w:p>
          <w:p w14:paraId="517DB1CB">
            <w:pPr>
              <w:rPr>
                <w:highlight w:val="none"/>
              </w:rPr>
            </w:pPr>
          </w:p>
          <w:p w14:paraId="3197EC7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r>
              <w:rPr>
                <w:rFonts w:hint="eastAsia" w:ascii="仿宋" w:hAnsi="仿宋" w:eastAsia="仿宋" w:cs="仿宋"/>
                <w:i w:val="0"/>
                <w:iCs w:val="0"/>
                <w:color w:val="000000"/>
                <w:sz w:val="18"/>
                <w:szCs w:val="18"/>
                <w:highlight w:val="none"/>
                <w:u w:val="none"/>
              </w:rPr>
              <w:t>.整机性能检测：所投产品须依据SB/T10794.2-2012标准进行检测，</w:t>
            </w:r>
            <w:r>
              <w:rPr>
                <w:rFonts w:hint="eastAsia" w:ascii="仿宋" w:hAnsi="仿宋" w:eastAsia="仿宋" w:cs="仿宋"/>
                <w:i w:val="0"/>
                <w:iCs w:val="0"/>
                <w:color w:val="000000"/>
                <w:sz w:val="18"/>
                <w:szCs w:val="18"/>
                <w:highlight w:val="none"/>
                <w:u w:val="none"/>
                <w:lang w:val="en-US" w:eastAsia="zh-CN"/>
              </w:rPr>
              <w:t>检测项目至少包括：</w:t>
            </w:r>
            <w:r>
              <w:rPr>
                <w:rFonts w:hint="eastAsia" w:ascii="仿宋" w:hAnsi="仿宋" w:eastAsia="仿宋" w:cs="仿宋"/>
                <w:i w:val="0"/>
                <w:iCs w:val="0"/>
                <w:color w:val="000000"/>
                <w:sz w:val="18"/>
                <w:szCs w:val="18"/>
                <w:highlight w:val="none"/>
                <w:u w:val="none"/>
              </w:rPr>
              <w:t>总容积、冷却速度、耗电量、负载温度回升时间、储藏温度、噪声、制冷系统密封性能</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lang w:val="en-US" w:eastAsia="zh-CN"/>
              </w:rPr>
              <w:t>上述所有</w:t>
            </w:r>
            <w:r>
              <w:rPr>
                <w:rFonts w:hint="eastAsia" w:ascii="仿宋" w:hAnsi="仿宋" w:eastAsia="仿宋" w:cs="仿宋"/>
                <w:i w:val="0"/>
                <w:iCs w:val="0"/>
                <w:color w:val="000000"/>
                <w:sz w:val="18"/>
                <w:szCs w:val="18"/>
                <w:highlight w:val="none"/>
                <w:u w:val="none"/>
              </w:rPr>
              <w:t>检测结果均须为合格。</w:t>
            </w:r>
            <w:r>
              <w:rPr>
                <w:rFonts w:hint="eastAsia" w:ascii="仿宋" w:hAnsi="仿宋" w:eastAsia="仿宋" w:cs="仿宋"/>
                <w:i w:val="0"/>
                <w:iCs w:val="0"/>
                <w:color w:val="000000"/>
                <w:kern w:val="0"/>
                <w:sz w:val="18"/>
                <w:szCs w:val="18"/>
                <w:highlight w:val="none"/>
                <w:u w:val="none"/>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fill="auto"/>
                <w:lang w:bidi="ar"/>
              </w:rPr>
              <w:t>（须清晰显示上述全部检测项目及对应结论</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tc>
        <w:tc>
          <w:tcPr>
            <w:tcW w:w="376" w:type="pct"/>
            <w:shd w:val="clear" w:color="auto" w:fill="auto"/>
            <w:noWrap/>
            <w:vAlign w:val="center"/>
          </w:tcPr>
          <w:p w14:paraId="7508DA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星星、海尔、澳柯玛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7973B7A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0F8B685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E3F496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6149</w:t>
            </w:r>
          </w:p>
        </w:tc>
        <w:tc>
          <w:tcPr>
            <w:tcW w:w="231" w:type="pct"/>
            <w:shd w:val="clear" w:color="auto" w:fill="auto"/>
            <w:noWrap/>
            <w:vAlign w:val="center"/>
          </w:tcPr>
          <w:p w14:paraId="297FC2D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6149</w:t>
            </w:r>
          </w:p>
        </w:tc>
      </w:tr>
      <w:tr w14:paraId="73DE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32" w:hRule="atLeast"/>
        </w:trPr>
        <w:tc>
          <w:tcPr>
            <w:tcW w:w="270" w:type="pct"/>
            <w:shd w:val="clear" w:color="auto" w:fill="auto"/>
            <w:noWrap/>
            <w:vAlign w:val="center"/>
          </w:tcPr>
          <w:p w14:paraId="17A9244A">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38</w:t>
            </w:r>
          </w:p>
        </w:tc>
        <w:tc>
          <w:tcPr>
            <w:tcW w:w="548" w:type="pct"/>
            <w:shd w:val="clear" w:color="auto" w:fill="auto"/>
            <w:vAlign w:val="center"/>
          </w:tcPr>
          <w:p w14:paraId="3FF5D87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面粉车（放在腌制间的功能）</w:t>
            </w:r>
          </w:p>
        </w:tc>
        <w:tc>
          <w:tcPr>
            <w:tcW w:w="502" w:type="pct"/>
            <w:shd w:val="clear" w:color="auto" w:fill="auto"/>
            <w:vAlign w:val="center"/>
          </w:tcPr>
          <w:p w14:paraId="4545B83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20320</wp:posOffset>
                  </wp:positionH>
                  <wp:positionV relativeFrom="paragraph">
                    <wp:posOffset>-18415</wp:posOffset>
                  </wp:positionV>
                  <wp:extent cx="758190" cy="727710"/>
                  <wp:effectExtent l="0" t="0" r="3810" b="15240"/>
                  <wp:wrapNone/>
                  <wp:docPr id="69" name="ID_430E341FBA2D4A358682A17EA408663C_SpCnt_1"/>
                  <wp:cNvGraphicFramePr/>
                  <a:graphic xmlns:a="http://schemas.openxmlformats.org/drawingml/2006/main">
                    <a:graphicData uri="http://schemas.openxmlformats.org/drawingml/2006/picture">
                      <pic:pic xmlns:pic="http://schemas.openxmlformats.org/drawingml/2006/picture">
                        <pic:nvPicPr>
                          <pic:cNvPr id="69" name="ID_430E341FBA2D4A358682A17EA408663C_SpCnt_1"/>
                          <pic:cNvPicPr/>
                        </pic:nvPicPr>
                        <pic:blipFill>
                          <a:blip r:embed="rId27"/>
                          <a:stretch>
                            <a:fillRect/>
                          </a:stretch>
                        </pic:blipFill>
                        <pic:spPr>
                          <a:xfrm>
                            <a:off x="0" y="0"/>
                            <a:ext cx="758190" cy="727710"/>
                          </a:xfrm>
                          <a:prstGeom prst="rect">
                            <a:avLst/>
                          </a:prstGeom>
                          <a:noFill/>
                          <a:ln>
                            <a:noFill/>
                          </a:ln>
                        </pic:spPr>
                      </pic:pic>
                    </a:graphicData>
                  </a:graphic>
                </wp:anchor>
              </w:drawing>
            </w:r>
          </w:p>
        </w:tc>
        <w:tc>
          <w:tcPr>
            <w:tcW w:w="832" w:type="pct"/>
            <w:shd w:val="clear" w:color="auto" w:fill="auto"/>
            <w:vAlign w:val="center"/>
          </w:tcPr>
          <w:p w14:paraId="7C83725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600×550×1200mm</w:t>
            </w:r>
          </w:p>
        </w:tc>
        <w:tc>
          <w:tcPr>
            <w:tcW w:w="1559" w:type="pct"/>
            <w:shd w:val="clear" w:color="auto" w:fill="auto"/>
            <w:vAlign w:val="center"/>
          </w:tcPr>
          <w:p w14:paraId="771943B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一、结构：面粉车，底部万向轮带刹车。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1.板材：1.2mm304不锈钢板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2.加强筋：1.0mm304不锈钢板折弯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3.脚轮：万向带刹车</w:t>
            </w:r>
          </w:p>
        </w:tc>
        <w:tc>
          <w:tcPr>
            <w:tcW w:w="376" w:type="pct"/>
            <w:shd w:val="clear" w:color="auto" w:fill="auto"/>
            <w:noWrap/>
            <w:vAlign w:val="center"/>
          </w:tcPr>
          <w:p w14:paraId="662B6D95">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0F88F78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74FECED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620D52C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c>
          <w:tcPr>
            <w:tcW w:w="231" w:type="pct"/>
            <w:shd w:val="clear" w:color="auto" w:fill="auto"/>
            <w:noWrap/>
            <w:vAlign w:val="center"/>
          </w:tcPr>
          <w:p w14:paraId="1142AE2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r>
      <w:tr w14:paraId="71E9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270" w:type="pct"/>
            <w:shd w:val="clear" w:color="auto" w:fill="auto"/>
            <w:noWrap/>
            <w:vAlign w:val="center"/>
          </w:tcPr>
          <w:p w14:paraId="500825B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39</w:t>
            </w:r>
          </w:p>
        </w:tc>
        <w:tc>
          <w:tcPr>
            <w:tcW w:w="548" w:type="pct"/>
            <w:shd w:val="clear" w:color="auto" w:fill="auto"/>
            <w:vAlign w:val="center"/>
          </w:tcPr>
          <w:p w14:paraId="7011676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四层栅格货架</w:t>
            </w:r>
          </w:p>
        </w:tc>
        <w:tc>
          <w:tcPr>
            <w:tcW w:w="502" w:type="pct"/>
            <w:shd w:val="clear" w:color="auto" w:fill="auto"/>
            <w:noWrap/>
            <w:vAlign w:val="center"/>
          </w:tcPr>
          <w:p w14:paraId="61BD5D5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41275</wp:posOffset>
                  </wp:positionH>
                  <wp:positionV relativeFrom="paragraph">
                    <wp:posOffset>-93345</wp:posOffset>
                  </wp:positionV>
                  <wp:extent cx="703580" cy="625475"/>
                  <wp:effectExtent l="0" t="0" r="1270" b="3175"/>
                  <wp:wrapNone/>
                  <wp:docPr id="95" name="ID_A9B801DD246B407FB6AC267295A39769"/>
                  <wp:cNvGraphicFramePr/>
                  <a:graphic xmlns:a="http://schemas.openxmlformats.org/drawingml/2006/main">
                    <a:graphicData uri="http://schemas.openxmlformats.org/drawingml/2006/picture">
                      <pic:pic xmlns:pic="http://schemas.openxmlformats.org/drawingml/2006/picture">
                        <pic:nvPicPr>
                          <pic:cNvPr id="95" name="ID_A9B801DD246B407FB6AC267295A39769"/>
                          <pic:cNvPicPr/>
                        </pic:nvPicPr>
                        <pic:blipFill>
                          <a:blip r:embed="rId9"/>
                          <a:stretch>
                            <a:fillRect/>
                          </a:stretch>
                        </pic:blipFill>
                        <pic:spPr>
                          <a:xfrm>
                            <a:off x="0" y="0"/>
                            <a:ext cx="703580" cy="625475"/>
                          </a:xfrm>
                          <a:prstGeom prst="rect">
                            <a:avLst/>
                          </a:prstGeom>
                          <a:noFill/>
                          <a:ln>
                            <a:noFill/>
                          </a:ln>
                        </pic:spPr>
                      </pic:pic>
                    </a:graphicData>
                  </a:graphic>
                </wp:anchor>
              </w:drawing>
            </w:r>
          </w:p>
        </w:tc>
        <w:tc>
          <w:tcPr>
            <w:tcW w:w="832" w:type="pct"/>
            <w:shd w:val="clear" w:color="auto" w:fill="auto"/>
            <w:vAlign w:val="center"/>
          </w:tcPr>
          <w:p w14:paraId="159D79A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1200×500×1550mm</w:t>
            </w:r>
          </w:p>
        </w:tc>
        <w:tc>
          <w:tcPr>
            <w:tcW w:w="1559" w:type="pct"/>
            <w:shd w:val="clear" w:color="auto" w:fill="auto"/>
            <w:vAlign w:val="center"/>
          </w:tcPr>
          <w:p w14:paraId="1BD0931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一、结构：层架整体使用框架嵌入式结构。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1.主框架：38×25mm304不锈钢方管，厚度1.2mm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2.层架间隔条：25×13mm304不锈钢方管，厚度1.0mm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3.柱脚：Φ38mm304不锈钢管及可调高低不锈钢子弹脚</w:t>
            </w:r>
          </w:p>
        </w:tc>
        <w:tc>
          <w:tcPr>
            <w:tcW w:w="376" w:type="pct"/>
            <w:shd w:val="clear" w:color="auto" w:fill="auto"/>
            <w:noWrap/>
            <w:vAlign w:val="center"/>
          </w:tcPr>
          <w:p w14:paraId="37E11608">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7C3392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17C1B9A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个</w:t>
            </w:r>
          </w:p>
        </w:tc>
        <w:tc>
          <w:tcPr>
            <w:tcW w:w="226" w:type="pct"/>
            <w:shd w:val="clear" w:color="auto" w:fill="auto"/>
            <w:noWrap/>
            <w:vAlign w:val="center"/>
          </w:tcPr>
          <w:p w14:paraId="158A2AF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418CE6D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2700</w:t>
            </w:r>
          </w:p>
        </w:tc>
      </w:tr>
      <w:tr w14:paraId="5D05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8" w:hRule="atLeast"/>
        </w:trPr>
        <w:tc>
          <w:tcPr>
            <w:tcW w:w="270" w:type="pct"/>
            <w:shd w:val="clear" w:color="auto" w:fill="auto"/>
            <w:noWrap/>
            <w:vAlign w:val="center"/>
          </w:tcPr>
          <w:p w14:paraId="056DE04F">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40</w:t>
            </w:r>
          </w:p>
        </w:tc>
        <w:tc>
          <w:tcPr>
            <w:tcW w:w="548" w:type="pct"/>
            <w:shd w:val="clear" w:color="auto" w:fill="auto"/>
            <w:vAlign w:val="center"/>
          </w:tcPr>
          <w:p w14:paraId="75366E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shd w:val="clear" w:color="auto" w:fill="auto"/>
            <w:noWrap/>
            <w:vAlign w:val="center"/>
          </w:tcPr>
          <w:p w14:paraId="48ED968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wp:posOffset>
                  </wp:positionH>
                  <wp:positionV relativeFrom="paragraph">
                    <wp:posOffset>-74295</wp:posOffset>
                  </wp:positionV>
                  <wp:extent cx="763270" cy="478155"/>
                  <wp:effectExtent l="0" t="0" r="17780" b="17145"/>
                  <wp:wrapNone/>
                  <wp:docPr id="93" name="ID_0D48B67D5060490881A4F6CCDB5A69E5"/>
                  <wp:cNvGraphicFramePr/>
                  <a:graphic xmlns:a="http://schemas.openxmlformats.org/drawingml/2006/main">
                    <a:graphicData uri="http://schemas.openxmlformats.org/drawingml/2006/picture">
                      <pic:pic xmlns:pic="http://schemas.openxmlformats.org/drawingml/2006/picture">
                        <pic:nvPicPr>
                          <pic:cNvPr id="93" name="ID_0D48B67D5060490881A4F6CCDB5A69E5"/>
                          <pic:cNvPicPr/>
                        </pic:nvPicPr>
                        <pic:blipFill>
                          <a:blip r:embed="rId29"/>
                          <a:stretch>
                            <a:fillRect/>
                          </a:stretch>
                        </pic:blipFill>
                        <pic:spPr>
                          <a:xfrm>
                            <a:off x="0" y="0"/>
                            <a:ext cx="763270" cy="478155"/>
                          </a:xfrm>
                          <a:prstGeom prst="rect">
                            <a:avLst/>
                          </a:prstGeom>
                          <a:noFill/>
                          <a:ln>
                            <a:noFill/>
                          </a:ln>
                        </pic:spPr>
                      </pic:pic>
                    </a:graphicData>
                  </a:graphic>
                </wp:anchor>
              </w:drawing>
            </w:r>
          </w:p>
        </w:tc>
        <w:tc>
          <w:tcPr>
            <w:tcW w:w="832" w:type="pct"/>
            <w:shd w:val="clear" w:color="auto" w:fill="auto"/>
            <w:vAlign w:val="center"/>
          </w:tcPr>
          <w:p w14:paraId="3CB0F1B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1600×800×800mm</w:t>
            </w:r>
          </w:p>
        </w:tc>
        <w:tc>
          <w:tcPr>
            <w:tcW w:w="1559" w:type="pct"/>
            <w:shd w:val="clear" w:color="auto" w:fill="auto"/>
            <w:vAlign w:val="center"/>
          </w:tcPr>
          <w:p w14:paraId="0AFDE52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1.面板：304不锈钢1.2mm厚磨砂板，下垫15mm防水夹板并以0.8mm的优质钢板做底板封板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shd w:val="clear" w:color="auto" w:fill="auto"/>
            <w:noWrap/>
            <w:vAlign w:val="center"/>
          </w:tcPr>
          <w:p w14:paraId="1BC64567">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0803A36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2B113B7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0750F7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1420</w:t>
            </w:r>
          </w:p>
        </w:tc>
        <w:tc>
          <w:tcPr>
            <w:tcW w:w="231" w:type="pct"/>
            <w:shd w:val="clear" w:color="auto" w:fill="auto"/>
            <w:noWrap/>
            <w:vAlign w:val="center"/>
          </w:tcPr>
          <w:p w14:paraId="6207404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1420</w:t>
            </w:r>
          </w:p>
        </w:tc>
      </w:tr>
      <w:tr w14:paraId="1CDE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 w:type="pct"/>
            <w:shd w:val="clear" w:color="auto" w:fill="auto"/>
            <w:vAlign w:val="center"/>
          </w:tcPr>
          <w:p w14:paraId="2BF094E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H</w:t>
            </w:r>
          </w:p>
        </w:tc>
        <w:tc>
          <w:tcPr>
            <w:tcW w:w="548" w:type="pct"/>
            <w:shd w:val="clear" w:color="auto" w:fill="auto"/>
            <w:vAlign w:val="center"/>
          </w:tcPr>
          <w:p w14:paraId="53CDEE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烧卤间/蒸饭间</w:t>
            </w:r>
          </w:p>
        </w:tc>
        <w:tc>
          <w:tcPr>
            <w:tcW w:w="502" w:type="pct"/>
            <w:shd w:val="clear" w:color="auto" w:fill="auto"/>
            <w:noWrap/>
            <w:vAlign w:val="center"/>
          </w:tcPr>
          <w:p w14:paraId="2C8FA4B3">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5F22937D">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31B3A832">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0401BDD6">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5A1CA60F">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2639057B">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55386C43">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681D66B5">
            <w:pPr>
              <w:jc w:val="center"/>
              <w:rPr>
                <w:rFonts w:hint="eastAsia" w:ascii="仿宋" w:hAnsi="仿宋" w:eastAsia="仿宋" w:cs="仿宋"/>
                <w:i w:val="0"/>
                <w:iCs w:val="0"/>
                <w:color w:val="000000"/>
                <w:sz w:val="18"/>
                <w:szCs w:val="18"/>
                <w:highlight w:val="none"/>
                <w:u w:val="none"/>
              </w:rPr>
            </w:pPr>
          </w:p>
        </w:tc>
      </w:tr>
      <w:tr w14:paraId="0200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trPr>
        <w:tc>
          <w:tcPr>
            <w:tcW w:w="270" w:type="pct"/>
            <w:shd w:val="clear" w:color="auto" w:fill="auto"/>
            <w:noWrap/>
            <w:vAlign w:val="center"/>
          </w:tcPr>
          <w:p w14:paraId="6601BD38">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41</w:t>
            </w:r>
          </w:p>
        </w:tc>
        <w:tc>
          <w:tcPr>
            <w:tcW w:w="548" w:type="pct"/>
            <w:shd w:val="clear" w:color="auto" w:fill="auto"/>
            <w:vAlign w:val="center"/>
          </w:tcPr>
          <w:p w14:paraId="4F9C65E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1E4F48A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-21590</wp:posOffset>
                  </wp:positionH>
                  <wp:positionV relativeFrom="paragraph">
                    <wp:posOffset>114300</wp:posOffset>
                  </wp:positionV>
                  <wp:extent cx="846455" cy="541655"/>
                  <wp:effectExtent l="0" t="0" r="10795" b="10795"/>
                  <wp:wrapNone/>
                  <wp:docPr id="116" name="ID_497AC02572CD494D8A4653A32114579D_SpCnt_4"/>
                  <wp:cNvGraphicFramePr/>
                  <a:graphic xmlns:a="http://schemas.openxmlformats.org/drawingml/2006/main">
                    <a:graphicData uri="http://schemas.openxmlformats.org/drawingml/2006/picture">
                      <pic:pic xmlns:pic="http://schemas.openxmlformats.org/drawingml/2006/picture">
                        <pic:nvPicPr>
                          <pic:cNvPr id="116" name="ID_497AC02572CD494D8A4653A32114579D_SpCnt_4"/>
                          <pic:cNvPicPr/>
                        </pic:nvPicPr>
                        <pic:blipFill>
                          <a:blip r:embed="rId8"/>
                          <a:stretch>
                            <a:fillRect/>
                          </a:stretch>
                        </pic:blipFill>
                        <pic:spPr>
                          <a:xfrm>
                            <a:off x="0" y="0"/>
                            <a:ext cx="846455" cy="541655"/>
                          </a:xfrm>
                          <a:prstGeom prst="rect">
                            <a:avLst/>
                          </a:prstGeom>
                          <a:noFill/>
                          <a:ln>
                            <a:noFill/>
                          </a:ln>
                        </pic:spPr>
                      </pic:pic>
                    </a:graphicData>
                  </a:graphic>
                </wp:anchor>
              </w:drawing>
            </w:r>
          </w:p>
        </w:tc>
        <w:tc>
          <w:tcPr>
            <w:tcW w:w="832" w:type="pct"/>
            <w:shd w:val="clear" w:color="auto" w:fill="auto"/>
            <w:vAlign w:val="center"/>
          </w:tcPr>
          <w:p w14:paraId="7B0CE6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1F4689E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2F84D38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4FC4C45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381D24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D7A664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34D200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399A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noWrap/>
            <w:vAlign w:val="center"/>
          </w:tcPr>
          <w:p w14:paraId="6620F37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42</w:t>
            </w:r>
          </w:p>
        </w:tc>
        <w:tc>
          <w:tcPr>
            <w:tcW w:w="548" w:type="pct"/>
            <w:shd w:val="clear" w:color="auto" w:fill="auto"/>
            <w:vAlign w:val="center"/>
          </w:tcPr>
          <w:p w14:paraId="762C1B8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电磁单头矮汤炉</w:t>
            </w:r>
          </w:p>
        </w:tc>
        <w:tc>
          <w:tcPr>
            <w:tcW w:w="502" w:type="pct"/>
            <w:shd w:val="clear" w:color="auto" w:fill="auto"/>
            <w:vAlign w:val="center"/>
          </w:tcPr>
          <w:p w14:paraId="26E6E0C2">
            <w:pPr>
              <w:keepNext w:val="0"/>
              <w:keepLines w:val="0"/>
              <w:widowControl/>
              <w:suppressLineNumbers w:val="0"/>
              <w:jc w:val="left"/>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92075</wp:posOffset>
                  </wp:positionH>
                  <wp:positionV relativeFrom="paragraph">
                    <wp:posOffset>-20320</wp:posOffset>
                  </wp:positionV>
                  <wp:extent cx="570230" cy="699770"/>
                  <wp:effectExtent l="0" t="0" r="1270" b="5080"/>
                  <wp:wrapNone/>
                  <wp:docPr id="75" name="ID_EEF51623184846C5A3239B453F6001C5"/>
                  <wp:cNvGraphicFramePr/>
                  <a:graphic xmlns:a="http://schemas.openxmlformats.org/drawingml/2006/main">
                    <a:graphicData uri="http://schemas.openxmlformats.org/drawingml/2006/picture">
                      <pic:pic xmlns:pic="http://schemas.openxmlformats.org/drawingml/2006/picture">
                        <pic:nvPicPr>
                          <pic:cNvPr id="75" name="ID_EEF51623184846C5A3239B453F6001C5"/>
                          <pic:cNvPicPr/>
                        </pic:nvPicPr>
                        <pic:blipFill>
                          <a:blip r:embed="rId33"/>
                          <a:stretch>
                            <a:fillRect/>
                          </a:stretch>
                        </pic:blipFill>
                        <pic:spPr>
                          <a:xfrm>
                            <a:off x="0" y="0"/>
                            <a:ext cx="570230" cy="699770"/>
                          </a:xfrm>
                          <a:prstGeom prst="rect">
                            <a:avLst/>
                          </a:prstGeom>
                          <a:noFill/>
                          <a:ln>
                            <a:noFill/>
                          </a:ln>
                        </pic:spPr>
                      </pic:pic>
                    </a:graphicData>
                  </a:graphic>
                </wp:anchor>
              </w:drawing>
            </w:r>
          </w:p>
        </w:tc>
        <w:tc>
          <w:tcPr>
            <w:tcW w:w="832" w:type="pct"/>
            <w:shd w:val="clear" w:color="auto" w:fill="auto"/>
            <w:vAlign w:val="center"/>
          </w:tcPr>
          <w:p w14:paraId="13CBEBE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≥背板高度720mm</w:t>
            </w:r>
          </w:p>
        </w:tc>
        <w:tc>
          <w:tcPr>
            <w:tcW w:w="1559" w:type="pct"/>
            <w:shd w:val="clear" w:color="auto" w:fill="auto"/>
            <w:vAlign w:val="center"/>
          </w:tcPr>
          <w:p w14:paraId="44758379">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商用电磁汤炉，一体化防水LED中文显示器（电量累计日/周/月，加热状态图标+中文，火力数字+分布条双显），模块化全封闭分层负压散热（防油烟/防湿气/防蟑螂），控制机芯采用先进IGBT（具备自检及故障诊断功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一、材质与工艺：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1.炉面：201不锈钢，厚度≥1.2mm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2.柜体：201不锈钢，厚度≥1.0mm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3.微晶板：φ428mm，厚度6mm，耐高温、抗冲击</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4.汤桶：304食品级不锈钢，标配外径φ500×500mm，壁厚≥3mm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5.水龙头：304不锈钢，0～180°摇摆式，90°出水铜芯阀门</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6.线盘：紫铜耐高温阻燃漆包线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7.风机：IPX7防水级、静音、专用冷风通道、高压直流</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8.电容：集成模块化电容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9.接线端子：防水型耐高温PIN端子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10.所有原材料及配件（直接/非直接接触）：符合国家食品标准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2.输出功率：12kW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3.火力档位：≥8档</w:t>
            </w:r>
          </w:p>
          <w:p w14:paraId="329A5D5F">
            <w:pPr>
              <w:keepNext w:val="0"/>
              <w:keepLines w:val="0"/>
              <w:widowControl/>
              <w:suppressLineNumbers w:val="0"/>
              <w:jc w:val="left"/>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★4.能效等级：一级，所投产品须依据GB40876-2021标准进行判定，在12kW档位下，热效率实测值须≥92%，且能效等级须达到一级。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lang w:bidi="ar"/>
              </w:rPr>
              <w:t>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w:t>
            </w:r>
            <w:r>
              <w:rPr>
                <w:rFonts w:hint="eastAsia" w:ascii="仿宋" w:hAnsi="仿宋" w:eastAsia="仿宋" w:cs="仿宋"/>
                <w:b w:val="0"/>
                <w:bCs w:val="0"/>
                <w:i w:val="0"/>
                <w:iCs w:val="0"/>
                <w:caps w:val="0"/>
                <w:color w:val="000000"/>
                <w:spacing w:val="0"/>
                <w:kern w:val="0"/>
                <w:sz w:val="18"/>
                <w:szCs w:val="18"/>
                <w:highlight w:val="none"/>
                <w:u w:val="none"/>
                <w:shd w:val="clear"/>
                <w:lang w:bidi="ar"/>
              </w:rPr>
              <w:t>12kW档位下的热效率实测值</w:t>
            </w:r>
            <w:r>
              <w:rPr>
                <w:rFonts w:hint="eastAsia" w:ascii="仿宋" w:hAnsi="仿宋" w:eastAsia="仿宋" w:cs="仿宋"/>
                <w:i w:val="0"/>
                <w:iCs w:val="0"/>
                <w:caps w:val="0"/>
                <w:color w:val="000000"/>
                <w:spacing w:val="0"/>
                <w:kern w:val="0"/>
                <w:sz w:val="18"/>
                <w:szCs w:val="18"/>
                <w:highlight w:val="none"/>
                <w:u w:val="none"/>
                <w:shd w:val="clear"/>
                <w:lang w:bidi="ar"/>
              </w:rPr>
              <w:t>及</w:t>
            </w:r>
            <w:r>
              <w:rPr>
                <w:rFonts w:hint="eastAsia" w:ascii="仿宋" w:hAnsi="仿宋" w:eastAsia="仿宋" w:cs="仿宋"/>
                <w:b w:val="0"/>
                <w:bCs w:val="0"/>
                <w:i w:val="0"/>
                <w:iCs w:val="0"/>
                <w:caps w:val="0"/>
                <w:color w:val="000000"/>
                <w:spacing w:val="0"/>
                <w:kern w:val="0"/>
                <w:sz w:val="18"/>
                <w:szCs w:val="18"/>
                <w:highlight w:val="none"/>
                <w:u w:val="none"/>
                <w:shd w:val="clear"/>
                <w:lang w:bidi="ar"/>
              </w:rPr>
              <w:t>能效等级判定结果</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★5.电磁辐射：所投产品须符合GB/T39640-2020标准的要求，所有测量点的W值不应超过50%，电磁辐射</w:t>
            </w:r>
            <w:r>
              <w:rPr>
                <w:rFonts w:hint="eastAsia" w:ascii="仿宋" w:hAnsi="仿宋" w:eastAsia="仿宋" w:cs="仿宋"/>
                <w:i w:val="0"/>
                <w:iCs w:val="0"/>
                <w:caps w:val="0"/>
                <w:color w:val="000000"/>
                <w:spacing w:val="0"/>
                <w:kern w:val="0"/>
                <w:sz w:val="18"/>
                <w:szCs w:val="18"/>
                <w:highlight w:val="none"/>
                <w:u w:val="none"/>
                <w:shd w:val="clear"/>
                <w:lang w:bidi="ar"/>
              </w:rPr>
              <w:t>检测结果须为</w:t>
            </w:r>
            <w:r>
              <w:rPr>
                <w:rFonts w:hint="eastAsia" w:ascii="仿宋" w:hAnsi="仿宋" w:eastAsia="仿宋" w:cs="仿宋"/>
                <w:b w:val="0"/>
                <w:bCs w:val="0"/>
                <w:i w:val="0"/>
                <w:iCs w:val="0"/>
                <w:caps w:val="0"/>
                <w:color w:val="000000"/>
                <w:spacing w:val="0"/>
                <w:kern w:val="0"/>
                <w:sz w:val="18"/>
                <w:szCs w:val="18"/>
                <w:highlight w:val="none"/>
                <w:u w:val="none"/>
                <w:shd w:val="clear"/>
                <w:lang w:bidi="ar"/>
              </w:rPr>
              <w:t>合格</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响应文件中须提供带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（须清晰显示电磁辐射测量值及判定结论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★6.限用物质检测：所投产品须符合GB/T26572-2011《电子电气产品中限用物质的限量要求》标准及第1号修改单的要求，10项有害物质</w:t>
            </w:r>
            <w:r>
              <w:rPr>
                <w:rFonts w:hint="eastAsia" w:ascii="仿宋" w:hAnsi="仿宋" w:eastAsia="仿宋" w:cs="仿宋"/>
                <w:i w:val="0"/>
                <w:iCs w:val="0"/>
                <w:caps w:val="0"/>
                <w:color w:val="000000"/>
                <w:spacing w:val="0"/>
                <w:kern w:val="0"/>
                <w:sz w:val="18"/>
                <w:szCs w:val="18"/>
                <w:highlight w:val="none"/>
                <w:u w:val="none"/>
                <w:shd w:val="clear"/>
                <w:lang w:bidi="ar"/>
              </w:rPr>
              <w:t>（铅、汞、镉、六价铬、多溴联苯、多溴二苯醚、邻苯二甲酸二正丁酯、邻苯二甲酸丁基苄酯、邻苯二甲酸二(2-乙基</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己</w:t>
            </w:r>
            <w:r>
              <w:rPr>
                <w:rFonts w:hint="eastAsia" w:ascii="仿宋" w:hAnsi="仿宋" w:eastAsia="仿宋" w:cs="仿宋"/>
                <w:i w:val="0"/>
                <w:iCs w:val="0"/>
                <w:caps w:val="0"/>
                <w:color w:val="000000"/>
                <w:spacing w:val="0"/>
                <w:kern w:val="0"/>
                <w:sz w:val="18"/>
                <w:szCs w:val="18"/>
                <w:highlight w:val="none"/>
                <w:u w:val="none"/>
                <w:shd w:val="clear"/>
                <w:lang w:bidi="ar"/>
              </w:rPr>
              <w:t>)酯、邻苯二甲酸二异丁酯）</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含量</w:t>
            </w:r>
            <w:r>
              <w:rPr>
                <w:rFonts w:hint="eastAsia" w:ascii="仿宋" w:hAnsi="仿宋" w:eastAsia="仿宋" w:cs="仿宋"/>
                <w:i w:val="0"/>
                <w:iCs w:val="0"/>
                <w:color w:val="000000"/>
                <w:kern w:val="0"/>
                <w:sz w:val="18"/>
                <w:szCs w:val="18"/>
                <w:highlight w:val="none"/>
                <w:u w:val="none"/>
                <w:lang w:val="en-US" w:eastAsia="zh-CN" w:bidi="ar"/>
              </w:rPr>
              <w:t>检测结果须全部合格。响应文件中须提供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（须清晰显示全部10项有害物质检测项目及对应结论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tc>
        <w:tc>
          <w:tcPr>
            <w:tcW w:w="376" w:type="pct"/>
            <w:shd w:val="clear" w:color="auto" w:fill="auto"/>
            <w:vAlign w:val="center"/>
          </w:tcPr>
          <w:p w14:paraId="4A29F15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金佰特、深圳智厨、威猛达</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0375649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5B3247A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B5B62DD">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6830</w:t>
            </w:r>
          </w:p>
        </w:tc>
        <w:tc>
          <w:tcPr>
            <w:tcW w:w="231" w:type="pct"/>
            <w:shd w:val="clear" w:color="auto" w:fill="auto"/>
            <w:noWrap/>
            <w:vAlign w:val="center"/>
          </w:tcPr>
          <w:p w14:paraId="345B1899">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13660</w:t>
            </w:r>
          </w:p>
        </w:tc>
      </w:tr>
      <w:tr w14:paraId="60D7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90" w:hRule="atLeast"/>
        </w:trPr>
        <w:tc>
          <w:tcPr>
            <w:tcW w:w="270" w:type="pct"/>
            <w:shd w:val="clear" w:color="auto" w:fill="auto"/>
            <w:noWrap/>
            <w:vAlign w:val="center"/>
          </w:tcPr>
          <w:p w14:paraId="6113965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43</w:t>
            </w:r>
          </w:p>
        </w:tc>
        <w:tc>
          <w:tcPr>
            <w:tcW w:w="548" w:type="pct"/>
            <w:shd w:val="clear" w:color="auto" w:fill="auto"/>
            <w:vAlign w:val="center"/>
          </w:tcPr>
          <w:p w14:paraId="63D3218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电烤鸭炉</w:t>
            </w:r>
          </w:p>
        </w:tc>
        <w:tc>
          <w:tcPr>
            <w:tcW w:w="502" w:type="pct"/>
            <w:shd w:val="clear" w:color="auto" w:fill="auto"/>
            <w:vAlign w:val="top"/>
          </w:tcPr>
          <w:p w14:paraId="2BF62937">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-8255</wp:posOffset>
                  </wp:positionH>
                  <wp:positionV relativeFrom="paragraph">
                    <wp:posOffset>1717040</wp:posOffset>
                  </wp:positionV>
                  <wp:extent cx="701040" cy="969010"/>
                  <wp:effectExtent l="0" t="0" r="3810" b="2540"/>
                  <wp:wrapNone/>
                  <wp:docPr id="115" name="ID_1671B263A6BA4BBDBBBC815D717CF254"/>
                  <wp:cNvGraphicFramePr/>
                  <a:graphic xmlns:a="http://schemas.openxmlformats.org/drawingml/2006/main">
                    <a:graphicData uri="http://schemas.openxmlformats.org/drawingml/2006/picture">
                      <pic:pic xmlns:pic="http://schemas.openxmlformats.org/drawingml/2006/picture">
                        <pic:nvPicPr>
                          <pic:cNvPr id="115" name="ID_1671B263A6BA4BBDBBBC815D717CF254"/>
                          <pic:cNvPicPr/>
                        </pic:nvPicPr>
                        <pic:blipFill>
                          <a:blip r:embed="rId34"/>
                          <a:stretch>
                            <a:fillRect/>
                          </a:stretch>
                        </pic:blipFill>
                        <pic:spPr>
                          <a:xfrm>
                            <a:off x="0" y="0"/>
                            <a:ext cx="701040" cy="969010"/>
                          </a:xfrm>
                          <a:prstGeom prst="rect">
                            <a:avLst/>
                          </a:prstGeom>
                          <a:noFill/>
                          <a:ln>
                            <a:noFill/>
                          </a:ln>
                        </pic:spPr>
                      </pic:pic>
                    </a:graphicData>
                  </a:graphic>
                </wp:anchor>
              </w:drawing>
            </w:r>
          </w:p>
        </w:tc>
        <w:tc>
          <w:tcPr>
            <w:tcW w:w="832" w:type="pct"/>
            <w:shd w:val="clear" w:color="auto" w:fill="auto"/>
            <w:vAlign w:val="center"/>
          </w:tcPr>
          <w:p w14:paraId="2B7E243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0756063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采用双层板材中间加一层保温棉的三层保温结构，顶层盖厚0.8mm（双层），上身1.5mm（双层），中间炉身1.0mm（双层），底部整体拉伸2.0mm（单层）。炉体配备微电脑控制电箱、可视窗及内视灯，0-9为10个记忆菜单按键，每个菜单可设置一段或多段的烤制温度和时间，实现自动恒温和时间设定。底部牢固焊接3个不可调的支撑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1.烤炉主体采用304#不锈钢板材制造，经拉伸工艺处理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2.炉门镶嵌高强度双层钢化玻璃视窗</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3.炉内照明系统配备配灯泡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4.所有原材料及配件（直接/非直接接触）：符合国家食品标准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2.输出功率：9kW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3.温度范围：45～300℃</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4.加热方式：电热管加热</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5.控制方式：微电脑控制，具备自动恒温和时间设定功能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6.适用食品：烤鸭、烤鹅、烤叉烧、烤羊腿、烤鸡、烤排骨等</w:t>
            </w:r>
          </w:p>
        </w:tc>
        <w:tc>
          <w:tcPr>
            <w:tcW w:w="376" w:type="pct"/>
            <w:shd w:val="clear" w:color="auto" w:fill="auto"/>
            <w:vAlign w:val="center"/>
          </w:tcPr>
          <w:p w14:paraId="3DB3CAD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劲恒、爱思考、恒泰伟业</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7B0F799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28A4B2B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0DFCCC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8200</w:t>
            </w:r>
          </w:p>
        </w:tc>
        <w:tc>
          <w:tcPr>
            <w:tcW w:w="231" w:type="pct"/>
            <w:shd w:val="clear" w:color="auto" w:fill="auto"/>
            <w:noWrap/>
            <w:vAlign w:val="center"/>
          </w:tcPr>
          <w:p w14:paraId="454D40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8200</w:t>
            </w:r>
          </w:p>
        </w:tc>
      </w:tr>
      <w:tr w14:paraId="7783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trPr>
        <w:tc>
          <w:tcPr>
            <w:tcW w:w="270" w:type="pct"/>
            <w:shd w:val="clear" w:color="auto" w:fill="auto"/>
            <w:noWrap/>
            <w:vAlign w:val="center"/>
          </w:tcPr>
          <w:p w14:paraId="289FE940">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44</w:t>
            </w:r>
          </w:p>
        </w:tc>
        <w:tc>
          <w:tcPr>
            <w:tcW w:w="548" w:type="pct"/>
            <w:shd w:val="clear" w:color="auto" w:fill="auto"/>
            <w:vAlign w:val="center"/>
          </w:tcPr>
          <w:p w14:paraId="76133C7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烧腊吊架连油盆</w:t>
            </w:r>
          </w:p>
        </w:tc>
        <w:tc>
          <w:tcPr>
            <w:tcW w:w="502" w:type="pct"/>
            <w:shd w:val="clear" w:color="auto" w:fill="auto"/>
            <w:vAlign w:val="top"/>
          </w:tcPr>
          <w:p w14:paraId="03BDD417">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-18415</wp:posOffset>
                  </wp:positionH>
                  <wp:positionV relativeFrom="paragraph">
                    <wp:posOffset>576580</wp:posOffset>
                  </wp:positionV>
                  <wp:extent cx="767715" cy="530225"/>
                  <wp:effectExtent l="0" t="0" r="13335" b="3175"/>
                  <wp:wrapNone/>
                  <wp:docPr id="97" name="ID_71F005D6E88546E19EBD7B7D58AC0BF6"/>
                  <wp:cNvGraphicFramePr/>
                  <a:graphic xmlns:a="http://schemas.openxmlformats.org/drawingml/2006/main">
                    <a:graphicData uri="http://schemas.openxmlformats.org/drawingml/2006/picture">
                      <pic:pic xmlns:pic="http://schemas.openxmlformats.org/drawingml/2006/picture">
                        <pic:nvPicPr>
                          <pic:cNvPr id="97" name="ID_71F005D6E88546E19EBD7B7D58AC0BF6"/>
                          <pic:cNvPicPr/>
                        </pic:nvPicPr>
                        <pic:blipFill>
                          <a:blip r:embed="rId35"/>
                          <a:stretch>
                            <a:fillRect/>
                          </a:stretch>
                        </pic:blipFill>
                        <pic:spPr>
                          <a:xfrm>
                            <a:off x="0" y="0"/>
                            <a:ext cx="767715" cy="530225"/>
                          </a:xfrm>
                          <a:prstGeom prst="rect">
                            <a:avLst/>
                          </a:prstGeom>
                          <a:noFill/>
                          <a:ln>
                            <a:noFill/>
                          </a:ln>
                        </pic:spPr>
                      </pic:pic>
                    </a:graphicData>
                  </a:graphic>
                </wp:anchor>
              </w:drawing>
            </w:r>
          </w:p>
        </w:tc>
        <w:tc>
          <w:tcPr>
            <w:tcW w:w="832" w:type="pct"/>
            <w:shd w:val="clear" w:color="auto" w:fill="auto"/>
            <w:vAlign w:val="center"/>
          </w:tcPr>
          <w:p w14:paraId="1AF006D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1500×600×1200mm</w:t>
            </w:r>
          </w:p>
        </w:tc>
        <w:tc>
          <w:tcPr>
            <w:tcW w:w="1559" w:type="pct"/>
            <w:shd w:val="clear" w:color="auto" w:fill="auto"/>
            <w:vAlign w:val="center"/>
          </w:tcPr>
          <w:p w14:paraId="036BED4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一、结构：烧腊吊架连油盆，落地架结构。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1.吊架：采用Ф32×1.2mm304不锈钢圆管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2.横通：采用Ф25×1.2mm304不锈钢圆管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3.油盆：采用304不锈钢板制作，厚度≥1.0mm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4.脚轮：天然橡胶耐磨轮，带刹车（两定两动）</w:t>
            </w:r>
          </w:p>
        </w:tc>
        <w:tc>
          <w:tcPr>
            <w:tcW w:w="376" w:type="pct"/>
            <w:shd w:val="clear" w:color="auto" w:fill="auto"/>
            <w:noWrap/>
            <w:vAlign w:val="center"/>
          </w:tcPr>
          <w:p w14:paraId="56E1E760">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4733E8D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7BDBFA3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10BFAE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w:t>
            </w:r>
          </w:p>
        </w:tc>
        <w:tc>
          <w:tcPr>
            <w:tcW w:w="231" w:type="pct"/>
            <w:shd w:val="clear" w:color="auto" w:fill="auto"/>
            <w:noWrap/>
            <w:vAlign w:val="center"/>
          </w:tcPr>
          <w:p w14:paraId="3CF93D7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w:t>
            </w:r>
          </w:p>
        </w:tc>
      </w:tr>
      <w:tr w14:paraId="3DA4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8" w:hRule="atLeast"/>
        </w:trPr>
        <w:tc>
          <w:tcPr>
            <w:tcW w:w="270" w:type="pct"/>
            <w:shd w:val="clear" w:color="auto" w:fill="auto"/>
            <w:noWrap/>
            <w:vAlign w:val="center"/>
          </w:tcPr>
          <w:p w14:paraId="0E91A13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45</w:t>
            </w:r>
          </w:p>
        </w:tc>
        <w:tc>
          <w:tcPr>
            <w:tcW w:w="548" w:type="pct"/>
            <w:shd w:val="clear" w:color="auto" w:fill="auto"/>
            <w:vAlign w:val="center"/>
          </w:tcPr>
          <w:p w14:paraId="1A7A3A2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双门风干柜</w:t>
            </w:r>
          </w:p>
        </w:tc>
        <w:tc>
          <w:tcPr>
            <w:tcW w:w="502" w:type="pct"/>
            <w:shd w:val="clear" w:color="auto" w:fill="auto"/>
            <w:vAlign w:val="top"/>
          </w:tcPr>
          <w:p w14:paraId="12641CFD">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33020</wp:posOffset>
                  </wp:positionH>
                  <wp:positionV relativeFrom="paragraph">
                    <wp:posOffset>922020</wp:posOffset>
                  </wp:positionV>
                  <wp:extent cx="762000" cy="584835"/>
                  <wp:effectExtent l="0" t="0" r="0" b="5715"/>
                  <wp:wrapNone/>
                  <wp:docPr id="81" name="ID_695974AC20DB4B95B7FD44AF2247C8FE"/>
                  <wp:cNvGraphicFramePr/>
                  <a:graphic xmlns:a="http://schemas.openxmlformats.org/drawingml/2006/main">
                    <a:graphicData uri="http://schemas.openxmlformats.org/drawingml/2006/picture">
                      <pic:pic xmlns:pic="http://schemas.openxmlformats.org/drawingml/2006/picture">
                        <pic:nvPicPr>
                          <pic:cNvPr id="81" name="ID_695974AC20DB4B95B7FD44AF2247C8FE"/>
                          <pic:cNvPicPr/>
                        </pic:nvPicPr>
                        <pic:blipFill>
                          <a:blip r:embed="rId36"/>
                          <a:stretch>
                            <a:fillRect/>
                          </a:stretch>
                        </pic:blipFill>
                        <pic:spPr>
                          <a:xfrm>
                            <a:off x="0" y="0"/>
                            <a:ext cx="762000" cy="584835"/>
                          </a:xfrm>
                          <a:prstGeom prst="rect">
                            <a:avLst/>
                          </a:prstGeom>
                          <a:noFill/>
                          <a:ln>
                            <a:noFill/>
                          </a:ln>
                        </pic:spPr>
                      </pic:pic>
                    </a:graphicData>
                  </a:graphic>
                </wp:anchor>
              </w:drawing>
            </w:r>
          </w:p>
        </w:tc>
        <w:tc>
          <w:tcPr>
            <w:tcW w:w="832" w:type="pct"/>
            <w:shd w:val="clear" w:color="auto" w:fill="auto"/>
            <w:vAlign w:val="center"/>
          </w:tcPr>
          <w:p w14:paraId="2AEB072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5B9A865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w:t>
            </w:r>
            <w:r>
              <w:rPr>
                <w:rFonts w:hint="eastAsia" w:ascii="仿宋" w:hAnsi="仿宋" w:eastAsia="仿宋" w:cs="仿宋"/>
                <w:i w:val="0"/>
                <w:iCs w:val="0"/>
                <w:color w:val="000000"/>
                <w:sz w:val="18"/>
                <w:szCs w:val="18"/>
                <w:highlight w:val="none"/>
                <w:u w:val="none"/>
              </w:rPr>
              <w:t>结构：</w:t>
            </w:r>
            <w:r>
              <w:rPr>
                <w:rFonts w:hint="eastAsia" w:ascii="仿宋" w:hAnsi="仿宋" w:eastAsia="仿宋" w:cs="仿宋"/>
                <w:i w:val="0"/>
                <w:iCs w:val="0"/>
                <w:color w:val="000000"/>
                <w:sz w:val="18"/>
                <w:szCs w:val="18"/>
                <w:highlight w:val="none"/>
                <w:u w:val="none"/>
                <w:lang w:val="en-US" w:eastAsia="zh-CN"/>
              </w:rPr>
              <w:t>双门</w:t>
            </w:r>
            <w:r>
              <w:rPr>
                <w:rFonts w:hint="eastAsia" w:ascii="仿宋" w:hAnsi="仿宋" w:eastAsia="仿宋" w:cs="仿宋"/>
                <w:i w:val="0"/>
                <w:iCs w:val="0"/>
                <w:color w:val="000000"/>
                <w:sz w:val="18"/>
                <w:szCs w:val="18"/>
                <w:highlight w:val="none"/>
                <w:u w:val="none"/>
              </w:rPr>
              <w:t>风干柜</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rPr>
              <w:t>防水</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rPr>
              <w:t>，冷热循环风冷风干</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rPr>
              <w:t>内置6根挂杆，可晾≥20</w:t>
            </w:r>
            <w:r>
              <w:rPr>
                <w:rFonts w:hint="eastAsia" w:ascii="仿宋" w:hAnsi="仿宋" w:eastAsia="仿宋" w:cs="仿宋"/>
                <w:i w:val="0"/>
                <w:iCs w:val="0"/>
                <w:color w:val="000000"/>
                <w:sz w:val="18"/>
                <w:szCs w:val="18"/>
                <w:highlight w:val="none"/>
                <w:u w:val="none"/>
                <w:lang w:val="en-US" w:eastAsia="zh-CN"/>
              </w:rPr>
              <w:t>鸭、</w:t>
            </w:r>
            <w:r>
              <w:rPr>
                <w:rFonts w:hint="eastAsia" w:ascii="仿宋" w:hAnsi="仿宋" w:eastAsia="仿宋" w:cs="仿宋"/>
                <w:i w:val="0"/>
                <w:iCs w:val="0"/>
                <w:color w:val="000000"/>
                <w:sz w:val="18"/>
                <w:szCs w:val="18"/>
                <w:highlight w:val="none"/>
                <w:u w:val="none"/>
              </w:rPr>
              <w:t>鹅</w:t>
            </w:r>
          </w:p>
          <w:p w14:paraId="041065F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二、</w:t>
            </w:r>
            <w:r>
              <w:rPr>
                <w:rFonts w:hint="eastAsia" w:ascii="仿宋" w:hAnsi="仿宋" w:eastAsia="仿宋" w:cs="仿宋"/>
                <w:i w:val="0"/>
                <w:iCs w:val="0"/>
                <w:color w:val="000000"/>
                <w:sz w:val="18"/>
                <w:szCs w:val="18"/>
                <w:highlight w:val="none"/>
                <w:u w:val="none"/>
              </w:rPr>
              <w:t>材质与工艺：</w:t>
            </w:r>
          </w:p>
          <w:p w14:paraId="1F45EA42">
            <w:pPr>
              <w:keepNext w:val="0"/>
              <w:keepLines w:val="0"/>
              <w:widowControl/>
              <w:numPr>
                <w:ilvl w:val="-1"/>
                <w:numId w:val="0"/>
              </w:numPr>
              <w:suppressLineNumbers w:val="0"/>
              <w:jc w:val="left"/>
              <w:textAlignment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1.双层中空玻璃，加厚不锈钢机身，高密度发泡层</w:t>
            </w:r>
          </w:p>
          <w:p w14:paraId="512ADE33">
            <w:pPr>
              <w:keepNext w:val="0"/>
              <w:keepLines w:val="0"/>
              <w:widowControl/>
              <w:numPr>
                <w:ilvl w:val="-1"/>
                <w:numId w:val="0"/>
              </w:numPr>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2.</w:t>
            </w:r>
            <w:r>
              <w:rPr>
                <w:rFonts w:hint="eastAsia" w:ascii="仿宋" w:hAnsi="仿宋" w:eastAsia="仿宋" w:cs="仿宋"/>
                <w:i w:val="0"/>
                <w:iCs w:val="0"/>
                <w:color w:val="000000"/>
                <w:sz w:val="18"/>
                <w:szCs w:val="18"/>
                <w:highlight w:val="none"/>
                <w:u w:val="none"/>
              </w:rPr>
              <w:t>全铜管制冷</w:t>
            </w:r>
          </w:p>
          <w:p w14:paraId="15C77D5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三、</w:t>
            </w:r>
            <w:r>
              <w:rPr>
                <w:rFonts w:hint="eastAsia" w:ascii="仿宋" w:hAnsi="仿宋" w:eastAsia="仿宋" w:cs="仿宋"/>
                <w:i w:val="0"/>
                <w:iCs w:val="0"/>
                <w:color w:val="000000"/>
                <w:sz w:val="18"/>
                <w:szCs w:val="18"/>
                <w:highlight w:val="none"/>
                <w:u w:val="none"/>
              </w:rPr>
              <w:t>性能参数：</w:t>
            </w:r>
          </w:p>
          <w:p w14:paraId="7D58D016">
            <w:pPr>
              <w:keepNext w:val="0"/>
              <w:keepLines w:val="0"/>
              <w:widowControl/>
              <w:suppressLineNumbers w:val="0"/>
              <w:jc w:val="left"/>
              <w:textAlignment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w:t>
            </w:r>
            <w:r>
              <w:rPr>
                <w:rFonts w:hint="eastAsia" w:ascii="仿宋" w:hAnsi="仿宋" w:eastAsia="仿宋" w:cs="仿宋"/>
                <w:i w:val="0"/>
                <w:iCs w:val="0"/>
                <w:color w:val="000000"/>
                <w:sz w:val="18"/>
                <w:szCs w:val="18"/>
                <w:highlight w:val="none"/>
                <w:u w:val="none"/>
              </w:rPr>
              <w:t>功率：</w:t>
            </w:r>
            <w:r>
              <w:rPr>
                <w:rFonts w:hint="eastAsia" w:ascii="仿宋" w:hAnsi="仿宋" w:eastAsia="仿宋" w:cs="仿宋"/>
                <w:i w:val="0"/>
                <w:iCs w:val="0"/>
                <w:color w:val="000000"/>
                <w:sz w:val="18"/>
                <w:szCs w:val="18"/>
                <w:highlight w:val="none"/>
                <w:u w:val="none"/>
                <w:lang w:val="en-US" w:eastAsia="zh-CN"/>
              </w:rPr>
              <w:t>1.5kw</w:t>
            </w:r>
          </w:p>
          <w:p w14:paraId="29C213D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2.</w:t>
            </w:r>
            <w:r>
              <w:rPr>
                <w:rFonts w:hint="eastAsia" w:ascii="仿宋" w:hAnsi="仿宋" w:eastAsia="仿宋" w:cs="仿宋"/>
                <w:i w:val="0"/>
                <w:iCs w:val="0"/>
                <w:color w:val="000000"/>
                <w:sz w:val="18"/>
                <w:szCs w:val="18"/>
                <w:highlight w:val="none"/>
                <w:u w:val="none"/>
              </w:rPr>
              <w:t>风干时间：6小时</w:t>
            </w:r>
          </w:p>
          <w:p w14:paraId="1DBA8E9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3.</w:t>
            </w:r>
            <w:r>
              <w:rPr>
                <w:rFonts w:hint="eastAsia" w:ascii="仿宋" w:hAnsi="仿宋" w:eastAsia="仿宋" w:cs="仿宋"/>
                <w:i w:val="0"/>
                <w:iCs w:val="0"/>
                <w:color w:val="000000"/>
                <w:sz w:val="18"/>
                <w:szCs w:val="18"/>
                <w:highlight w:val="none"/>
                <w:u w:val="none"/>
              </w:rPr>
              <w:t>挂杆数量：</w:t>
            </w:r>
            <w:r>
              <w:rPr>
                <w:rFonts w:hint="eastAsia" w:ascii="仿宋" w:hAnsi="仿宋" w:eastAsia="仿宋" w:cs="仿宋"/>
                <w:i w:val="0"/>
                <w:iCs w:val="0"/>
                <w:color w:val="000000"/>
                <w:kern w:val="0"/>
                <w:sz w:val="18"/>
                <w:szCs w:val="18"/>
                <w:highlight w:val="none"/>
                <w:u w:val="none"/>
                <w:lang w:val="en-US" w:eastAsia="zh-CN" w:bidi="ar"/>
              </w:rPr>
              <w:t>≥</w:t>
            </w:r>
            <w:r>
              <w:rPr>
                <w:rFonts w:hint="eastAsia" w:ascii="仿宋" w:hAnsi="仿宋" w:eastAsia="仿宋" w:cs="仿宋"/>
                <w:i w:val="0"/>
                <w:iCs w:val="0"/>
                <w:color w:val="000000"/>
                <w:sz w:val="18"/>
                <w:szCs w:val="18"/>
                <w:highlight w:val="none"/>
                <w:u w:val="none"/>
              </w:rPr>
              <w:t>6杆</w:t>
            </w:r>
          </w:p>
          <w:p w14:paraId="4185334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4.</w:t>
            </w:r>
            <w:r>
              <w:rPr>
                <w:rFonts w:hint="eastAsia" w:ascii="仿宋" w:hAnsi="仿宋" w:eastAsia="仿宋" w:cs="仿宋"/>
                <w:i w:val="0"/>
                <w:iCs w:val="0"/>
                <w:color w:val="000000"/>
                <w:sz w:val="18"/>
                <w:szCs w:val="18"/>
                <w:highlight w:val="none"/>
                <w:u w:val="none"/>
              </w:rPr>
              <w:t>温度控制：智能操控面板，-5℃~20℃</w:t>
            </w:r>
          </w:p>
          <w:p w14:paraId="253FC89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5.</w:t>
            </w:r>
            <w:r>
              <w:rPr>
                <w:rFonts w:hint="eastAsia" w:ascii="仿宋" w:hAnsi="仿宋" w:eastAsia="仿宋" w:cs="仿宋"/>
                <w:i w:val="0"/>
                <w:iCs w:val="0"/>
                <w:color w:val="000000"/>
                <w:sz w:val="18"/>
                <w:szCs w:val="18"/>
                <w:highlight w:val="none"/>
                <w:u w:val="none"/>
              </w:rPr>
              <w:t>功能：风干/除湿/保鲜/预约定时</w:t>
            </w:r>
          </w:p>
        </w:tc>
        <w:tc>
          <w:tcPr>
            <w:tcW w:w="376" w:type="pct"/>
            <w:shd w:val="clear" w:color="auto" w:fill="auto"/>
            <w:noWrap/>
            <w:vAlign w:val="center"/>
          </w:tcPr>
          <w:p w14:paraId="23362626">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rPr>
              <w:t>欧驰宝</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lang w:val="en-US" w:eastAsia="zh-CN"/>
              </w:rPr>
              <w:t>民丰、麦大厨</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761A006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48C329B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4CAF92D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6740</w:t>
            </w:r>
          </w:p>
        </w:tc>
        <w:tc>
          <w:tcPr>
            <w:tcW w:w="231" w:type="pct"/>
            <w:shd w:val="clear" w:color="auto" w:fill="auto"/>
            <w:noWrap/>
            <w:vAlign w:val="center"/>
          </w:tcPr>
          <w:p w14:paraId="5605F39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6740</w:t>
            </w:r>
          </w:p>
        </w:tc>
      </w:tr>
      <w:tr w14:paraId="3D86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1" w:hRule="atLeast"/>
        </w:trPr>
        <w:tc>
          <w:tcPr>
            <w:tcW w:w="270" w:type="pct"/>
            <w:shd w:val="clear" w:color="auto" w:fill="auto"/>
            <w:noWrap/>
            <w:vAlign w:val="center"/>
          </w:tcPr>
          <w:p w14:paraId="3E0A5EB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46</w:t>
            </w:r>
          </w:p>
        </w:tc>
        <w:tc>
          <w:tcPr>
            <w:tcW w:w="548" w:type="pct"/>
            <w:shd w:val="clear" w:color="auto" w:fill="auto"/>
            <w:vAlign w:val="center"/>
          </w:tcPr>
          <w:p w14:paraId="7BBCD36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单通移门荷台柜</w:t>
            </w:r>
          </w:p>
        </w:tc>
        <w:tc>
          <w:tcPr>
            <w:tcW w:w="502" w:type="pct"/>
            <w:shd w:val="clear" w:color="auto" w:fill="auto"/>
            <w:vAlign w:val="top"/>
          </w:tcPr>
          <w:p w14:paraId="5420BD72">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76200</wp:posOffset>
                  </wp:positionH>
                  <wp:positionV relativeFrom="paragraph">
                    <wp:posOffset>821055</wp:posOffset>
                  </wp:positionV>
                  <wp:extent cx="654685" cy="468630"/>
                  <wp:effectExtent l="0" t="0" r="12065" b="7620"/>
                  <wp:wrapNone/>
                  <wp:docPr id="63" name="ID_DD762317F1814FA987C1B41B35BE0830"/>
                  <wp:cNvGraphicFramePr/>
                  <a:graphic xmlns:a="http://schemas.openxmlformats.org/drawingml/2006/main">
                    <a:graphicData uri="http://schemas.openxmlformats.org/drawingml/2006/picture">
                      <pic:pic xmlns:pic="http://schemas.openxmlformats.org/drawingml/2006/picture">
                        <pic:nvPicPr>
                          <pic:cNvPr id="63" name="ID_DD762317F1814FA987C1B41B35BE0830"/>
                          <pic:cNvPicPr/>
                        </pic:nvPicPr>
                        <pic:blipFill>
                          <a:blip r:embed="rId32"/>
                          <a:stretch>
                            <a:fillRect/>
                          </a:stretch>
                        </pic:blipFill>
                        <pic:spPr>
                          <a:xfrm>
                            <a:off x="0" y="0"/>
                            <a:ext cx="654685" cy="468630"/>
                          </a:xfrm>
                          <a:prstGeom prst="rect">
                            <a:avLst/>
                          </a:prstGeom>
                          <a:noFill/>
                          <a:ln>
                            <a:noFill/>
                          </a:ln>
                        </pic:spPr>
                      </pic:pic>
                    </a:graphicData>
                  </a:graphic>
                </wp:anchor>
              </w:drawing>
            </w:r>
          </w:p>
        </w:tc>
        <w:tc>
          <w:tcPr>
            <w:tcW w:w="832" w:type="pct"/>
            <w:shd w:val="clear" w:color="auto" w:fill="auto"/>
            <w:vAlign w:val="center"/>
          </w:tcPr>
          <w:p w14:paraId="225FA1B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1800×700×800mm</w:t>
            </w:r>
          </w:p>
        </w:tc>
        <w:tc>
          <w:tcPr>
            <w:tcW w:w="1559" w:type="pct"/>
            <w:shd w:val="clear" w:color="auto" w:fill="auto"/>
            <w:vAlign w:val="center"/>
          </w:tcPr>
          <w:p w14:paraId="09B3FD1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一、结构：单通移门荷台柜，趟门设计。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1.台面：1.2mm厚304不锈钢板，下衬15mm防潮夹木板及双工字型1.0mm不锈钢方通加强筋，种钉加固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2.层板、底板、侧板：1.2mm厚304不锈钢板，内部各衬2条1.0mm不锈钢方通加强筋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3.趟门：1.0mm厚304不锈钢板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4.脚：4个Ф51mm304不锈钢可调脚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5.焊接与表面处理：满焊及内角鱼鳞焊，焊口羊毛轮抛光打蜡，拉丝纹路一致，光滑无毛刺</w:t>
            </w:r>
          </w:p>
        </w:tc>
        <w:tc>
          <w:tcPr>
            <w:tcW w:w="376" w:type="pct"/>
            <w:shd w:val="clear" w:color="auto" w:fill="auto"/>
            <w:noWrap/>
            <w:vAlign w:val="center"/>
          </w:tcPr>
          <w:p w14:paraId="4ADAFBF8">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56B84B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230ADDA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195AAC5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2950</w:t>
            </w:r>
          </w:p>
        </w:tc>
        <w:tc>
          <w:tcPr>
            <w:tcW w:w="231" w:type="pct"/>
            <w:shd w:val="clear" w:color="auto" w:fill="auto"/>
            <w:noWrap/>
            <w:vAlign w:val="center"/>
          </w:tcPr>
          <w:p w14:paraId="74DEFBC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2950</w:t>
            </w:r>
          </w:p>
        </w:tc>
      </w:tr>
      <w:tr w14:paraId="6C1D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44" w:hRule="atLeast"/>
        </w:trPr>
        <w:tc>
          <w:tcPr>
            <w:tcW w:w="270" w:type="pct"/>
            <w:shd w:val="clear" w:color="auto" w:fill="auto"/>
            <w:noWrap/>
            <w:vAlign w:val="center"/>
          </w:tcPr>
          <w:p w14:paraId="542EB9A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47</w:t>
            </w:r>
          </w:p>
        </w:tc>
        <w:tc>
          <w:tcPr>
            <w:tcW w:w="548" w:type="pct"/>
            <w:shd w:val="clear" w:color="auto" w:fill="auto"/>
            <w:vAlign w:val="center"/>
          </w:tcPr>
          <w:p w14:paraId="6C18965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单星盆台</w:t>
            </w:r>
          </w:p>
        </w:tc>
        <w:tc>
          <w:tcPr>
            <w:tcW w:w="502" w:type="pct"/>
            <w:shd w:val="clear" w:color="auto" w:fill="auto"/>
            <w:vAlign w:val="top"/>
          </w:tcPr>
          <w:p w14:paraId="121374B5">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26670</wp:posOffset>
                  </wp:positionH>
                  <wp:positionV relativeFrom="paragraph">
                    <wp:posOffset>1088390</wp:posOffset>
                  </wp:positionV>
                  <wp:extent cx="709930" cy="539115"/>
                  <wp:effectExtent l="0" t="0" r="13970" b="13335"/>
                  <wp:wrapNone/>
                  <wp:docPr id="82" name="ID_70243986FD6346189F17B187775CBFA3_SpCnt_2"/>
                  <wp:cNvGraphicFramePr/>
                  <a:graphic xmlns:a="http://schemas.openxmlformats.org/drawingml/2006/main">
                    <a:graphicData uri="http://schemas.openxmlformats.org/drawingml/2006/picture">
                      <pic:pic xmlns:pic="http://schemas.openxmlformats.org/drawingml/2006/picture">
                        <pic:nvPicPr>
                          <pic:cNvPr id="82" name="ID_70243986FD6346189F17B187775CBFA3_SpCnt_2"/>
                          <pic:cNvPicPr/>
                        </pic:nvPicPr>
                        <pic:blipFill>
                          <a:blip r:embed="rId37"/>
                          <a:stretch>
                            <a:fillRect/>
                          </a:stretch>
                        </pic:blipFill>
                        <pic:spPr>
                          <a:xfrm>
                            <a:off x="0" y="0"/>
                            <a:ext cx="709930" cy="539115"/>
                          </a:xfrm>
                          <a:prstGeom prst="rect">
                            <a:avLst/>
                          </a:prstGeom>
                          <a:noFill/>
                          <a:ln>
                            <a:noFill/>
                          </a:ln>
                        </pic:spPr>
                      </pic:pic>
                    </a:graphicData>
                  </a:graphic>
                </wp:anchor>
              </w:drawing>
            </w:r>
          </w:p>
        </w:tc>
        <w:tc>
          <w:tcPr>
            <w:tcW w:w="832" w:type="pct"/>
            <w:shd w:val="clear" w:color="auto" w:fill="auto"/>
            <w:vAlign w:val="center"/>
          </w:tcPr>
          <w:p w14:paraId="06B4766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700×700×800mm，后挡水高度150mm</w:t>
            </w:r>
          </w:p>
        </w:tc>
        <w:tc>
          <w:tcPr>
            <w:tcW w:w="1559" w:type="pct"/>
            <w:shd w:val="clear" w:color="auto" w:fill="auto"/>
            <w:vAlign w:val="center"/>
          </w:tcPr>
          <w:p w14:paraId="7C51E96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一、结构：单星盆带背挡水及前滴水沿，盆斗与台面一体拉伸或无缝焊接，台面四周向下双曲压弯40mm，支架满焊牢固并配可调节防滑地脚。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noWrap/>
            <w:vAlign w:val="center"/>
          </w:tcPr>
          <w:p w14:paraId="6860131D">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36B4540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7D370B0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64C4E0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c>
          <w:tcPr>
            <w:tcW w:w="231" w:type="pct"/>
            <w:shd w:val="clear" w:color="auto" w:fill="auto"/>
            <w:noWrap/>
            <w:vAlign w:val="center"/>
          </w:tcPr>
          <w:p w14:paraId="2DCCAA2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r>
      <w:tr w14:paraId="063A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80" w:hRule="atLeast"/>
        </w:trPr>
        <w:tc>
          <w:tcPr>
            <w:tcW w:w="270" w:type="pct"/>
            <w:shd w:val="clear" w:color="auto" w:fill="auto"/>
            <w:noWrap/>
            <w:vAlign w:val="center"/>
          </w:tcPr>
          <w:p w14:paraId="6A281A6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48</w:t>
            </w:r>
          </w:p>
        </w:tc>
        <w:tc>
          <w:tcPr>
            <w:tcW w:w="548" w:type="pct"/>
            <w:shd w:val="clear" w:color="auto" w:fill="auto"/>
            <w:vAlign w:val="center"/>
          </w:tcPr>
          <w:p w14:paraId="3D1638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shd w:val="clear" w:color="auto" w:fill="auto"/>
            <w:noWrap/>
            <w:vAlign w:val="center"/>
          </w:tcPr>
          <w:p w14:paraId="01AEDB8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67310</wp:posOffset>
                  </wp:positionH>
                  <wp:positionV relativeFrom="paragraph">
                    <wp:posOffset>231775</wp:posOffset>
                  </wp:positionV>
                  <wp:extent cx="670560" cy="560705"/>
                  <wp:effectExtent l="0" t="0" r="15240" b="10795"/>
                  <wp:wrapNone/>
                  <wp:docPr id="79" name="ID_5BC71FBD46904DC18938557D5E63BC79"/>
                  <wp:cNvGraphicFramePr/>
                  <a:graphic xmlns:a="http://schemas.openxmlformats.org/drawingml/2006/main">
                    <a:graphicData uri="http://schemas.openxmlformats.org/drawingml/2006/picture">
                      <pic:pic xmlns:pic="http://schemas.openxmlformats.org/drawingml/2006/picture">
                        <pic:nvPicPr>
                          <pic:cNvPr id="79" name="ID_5BC71FBD46904DC18938557D5E63BC79"/>
                          <pic:cNvPicPr/>
                        </pic:nvPicPr>
                        <pic:blipFill>
                          <a:blip r:embed="rId29"/>
                          <a:stretch>
                            <a:fillRect/>
                          </a:stretch>
                        </pic:blipFill>
                        <pic:spPr>
                          <a:xfrm>
                            <a:off x="0" y="0"/>
                            <a:ext cx="670560" cy="560705"/>
                          </a:xfrm>
                          <a:prstGeom prst="rect">
                            <a:avLst/>
                          </a:prstGeom>
                          <a:noFill/>
                          <a:ln>
                            <a:noFill/>
                          </a:ln>
                        </pic:spPr>
                      </pic:pic>
                    </a:graphicData>
                  </a:graphic>
                </wp:anchor>
              </w:drawing>
            </w:r>
          </w:p>
        </w:tc>
        <w:tc>
          <w:tcPr>
            <w:tcW w:w="832" w:type="pct"/>
            <w:shd w:val="clear" w:color="auto" w:fill="auto"/>
            <w:vAlign w:val="center"/>
          </w:tcPr>
          <w:p w14:paraId="192B852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7692270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1.面板：304不锈钢1.2mm厚磨砂板，下垫15mm防水夹板并以0.8mm的优质钢板做底板封板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shd w:val="clear" w:color="auto" w:fill="auto"/>
            <w:noWrap/>
            <w:vAlign w:val="center"/>
          </w:tcPr>
          <w:p w14:paraId="37492E55">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0D9BFC3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21FC76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FC3C2A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c>
          <w:tcPr>
            <w:tcW w:w="231" w:type="pct"/>
            <w:shd w:val="clear" w:color="auto" w:fill="auto"/>
            <w:noWrap/>
            <w:vAlign w:val="center"/>
          </w:tcPr>
          <w:p w14:paraId="074469B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3000</w:t>
            </w:r>
          </w:p>
        </w:tc>
      </w:tr>
      <w:tr w14:paraId="6E06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270" w:type="pct"/>
            <w:shd w:val="clear" w:color="auto" w:fill="auto"/>
            <w:noWrap/>
            <w:vAlign w:val="center"/>
          </w:tcPr>
          <w:p w14:paraId="5C0028C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49</w:t>
            </w:r>
          </w:p>
        </w:tc>
        <w:tc>
          <w:tcPr>
            <w:tcW w:w="548" w:type="pct"/>
            <w:shd w:val="clear" w:color="auto" w:fill="auto"/>
            <w:vAlign w:val="center"/>
          </w:tcPr>
          <w:p w14:paraId="0DAC1E3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24盘电蒸饭柜</w:t>
            </w:r>
          </w:p>
        </w:tc>
        <w:tc>
          <w:tcPr>
            <w:tcW w:w="502" w:type="pct"/>
            <w:shd w:val="clear" w:color="auto" w:fill="auto"/>
            <w:noWrap/>
            <w:vAlign w:val="center"/>
          </w:tcPr>
          <w:p w14:paraId="3AD2A1D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-46990</wp:posOffset>
                  </wp:positionH>
                  <wp:positionV relativeFrom="paragraph">
                    <wp:posOffset>451485</wp:posOffset>
                  </wp:positionV>
                  <wp:extent cx="897255" cy="1092200"/>
                  <wp:effectExtent l="0" t="0" r="17145" b="12700"/>
                  <wp:wrapNone/>
                  <wp:docPr id="98" name="ID_EDA7A735A50748D79A9587523FE00C8F"/>
                  <wp:cNvGraphicFramePr/>
                  <a:graphic xmlns:a="http://schemas.openxmlformats.org/drawingml/2006/main">
                    <a:graphicData uri="http://schemas.openxmlformats.org/drawingml/2006/picture">
                      <pic:pic xmlns:pic="http://schemas.openxmlformats.org/drawingml/2006/picture">
                        <pic:nvPicPr>
                          <pic:cNvPr id="98" name="ID_EDA7A735A50748D79A9587523FE00C8F"/>
                          <pic:cNvPicPr/>
                        </pic:nvPicPr>
                        <pic:blipFill>
                          <a:blip r:embed="rId38"/>
                          <a:stretch>
                            <a:fillRect/>
                          </a:stretch>
                        </pic:blipFill>
                        <pic:spPr>
                          <a:xfrm>
                            <a:off x="0" y="0"/>
                            <a:ext cx="897255" cy="1092200"/>
                          </a:xfrm>
                          <a:prstGeom prst="rect">
                            <a:avLst/>
                          </a:prstGeom>
                          <a:noFill/>
                          <a:ln>
                            <a:noFill/>
                          </a:ln>
                        </pic:spPr>
                      </pic:pic>
                    </a:graphicData>
                  </a:graphic>
                </wp:anchor>
              </w:drawing>
            </w:r>
          </w:p>
        </w:tc>
        <w:tc>
          <w:tcPr>
            <w:tcW w:w="832" w:type="pct"/>
            <w:shd w:val="clear" w:color="auto" w:fill="auto"/>
            <w:vAlign w:val="center"/>
          </w:tcPr>
          <w:p w14:paraId="6A42B9A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38A80F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一、结构要求：双门双胆独立结构（中间隔热隔开），共24盘（盘规格595×395×50mm），电脑数控面板，左右胆独立定时恒温，互不干扰，配带刹车高强度脚轮。</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1.外壳：201不锈钢（厚度≥0.8mm）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2.内胆、蒸盘架：201不锈钢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3.蒸盘、发热管：304不锈钢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4.密封保温：耐高温硅胶密封条+高密度整体发泡保温层</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5发热管配置：共6条304不锈钢发热管（左胆3条×4kW，右胆3条×4kW）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1.额定电压：380V/50Hz（三相五线）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2.功率要求：总功率24kW（双路独立12kW+12kW）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3.接线强制要求：机器背部必须预留两路独立接线端子，严禁内部并联，需分别接入现场两路独立线路，并配套空气开关。</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4.产能指标：约75kg米饭/次（供360人用餐）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5.安全保护：独立定时/恒温控制，具备缺水保护（自动断电并报警）、漏电保护及超温保护。</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6.标准配件：标配304蒸盘24个+蒸盘架24个+进水管+排污阀。</w:t>
            </w:r>
          </w:p>
        </w:tc>
        <w:tc>
          <w:tcPr>
            <w:tcW w:w="376" w:type="pct"/>
            <w:shd w:val="clear" w:color="auto" w:fill="auto"/>
            <w:noWrap/>
            <w:vAlign w:val="center"/>
          </w:tcPr>
          <w:p w14:paraId="1BAC9E1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美厨、德玛仕、乐创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3B61884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noWrap/>
            <w:vAlign w:val="center"/>
          </w:tcPr>
          <w:p w14:paraId="4FEF082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64E8E29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7200</w:t>
            </w:r>
          </w:p>
        </w:tc>
        <w:tc>
          <w:tcPr>
            <w:tcW w:w="231" w:type="pct"/>
            <w:shd w:val="clear" w:color="auto" w:fill="auto"/>
            <w:noWrap/>
            <w:vAlign w:val="center"/>
          </w:tcPr>
          <w:p w14:paraId="2DCB3F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14400</w:t>
            </w:r>
          </w:p>
        </w:tc>
      </w:tr>
      <w:tr w14:paraId="3486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1" w:hRule="atLeast"/>
        </w:trPr>
        <w:tc>
          <w:tcPr>
            <w:tcW w:w="270" w:type="pct"/>
            <w:shd w:val="clear" w:color="auto" w:fill="auto"/>
            <w:noWrap/>
            <w:vAlign w:val="center"/>
          </w:tcPr>
          <w:p w14:paraId="0F74AF2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50</w:t>
            </w:r>
          </w:p>
        </w:tc>
        <w:tc>
          <w:tcPr>
            <w:tcW w:w="548" w:type="pct"/>
            <w:shd w:val="clear" w:color="auto" w:fill="auto"/>
            <w:vAlign w:val="center"/>
          </w:tcPr>
          <w:p w14:paraId="5C5B5C3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电热双层海鲜蒸柜</w:t>
            </w:r>
          </w:p>
        </w:tc>
        <w:tc>
          <w:tcPr>
            <w:tcW w:w="502" w:type="pct"/>
            <w:shd w:val="clear" w:color="auto" w:fill="auto"/>
            <w:vAlign w:val="center"/>
          </w:tcPr>
          <w:p w14:paraId="7AD7FB0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59055</wp:posOffset>
                  </wp:positionH>
                  <wp:positionV relativeFrom="paragraph">
                    <wp:posOffset>71755</wp:posOffset>
                  </wp:positionV>
                  <wp:extent cx="682625" cy="1297940"/>
                  <wp:effectExtent l="0" t="0" r="3175" b="16510"/>
                  <wp:wrapNone/>
                  <wp:docPr id="101" name="图片_31"/>
                  <wp:cNvGraphicFramePr/>
                  <a:graphic xmlns:a="http://schemas.openxmlformats.org/drawingml/2006/main">
                    <a:graphicData uri="http://schemas.openxmlformats.org/drawingml/2006/picture">
                      <pic:pic xmlns:pic="http://schemas.openxmlformats.org/drawingml/2006/picture">
                        <pic:nvPicPr>
                          <pic:cNvPr id="101" name="图片_31"/>
                          <pic:cNvPicPr/>
                        </pic:nvPicPr>
                        <pic:blipFill>
                          <a:blip r:embed="rId39"/>
                          <a:stretch>
                            <a:fillRect/>
                          </a:stretch>
                        </pic:blipFill>
                        <pic:spPr>
                          <a:xfrm>
                            <a:off x="0" y="0"/>
                            <a:ext cx="682625" cy="1297940"/>
                          </a:xfrm>
                          <a:prstGeom prst="rect">
                            <a:avLst/>
                          </a:prstGeom>
                          <a:noFill/>
                          <a:ln>
                            <a:noFill/>
                          </a:ln>
                        </pic:spPr>
                      </pic:pic>
                    </a:graphicData>
                  </a:graphic>
                </wp:anchor>
              </w:drawing>
            </w:r>
          </w:p>
        </w:tc>
        <w:tc>
          <w:tcPr>
            <w:tcW w:w="832" w:type="pct"/>
            <w:shd w:val="clear" w:color="auto" w:fill="auto"/>
            <w:vAlign w:val="center"/>
          </w:tcPr>
          <w:p w14:paraId="71D8316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290890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一、结构：双门12盘，蒸盘尺寸595×398×50mm（304不锈钢），层间距80mm；控制方式为电源开关+拉杆。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外壳：201不锈钢（厚度≥0.8mm）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内胆：201不锈钢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蒸盘、发热管：304不锈钢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发热管：304不锈钢（4000W×3条）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1.额定电压/接线：380V/50Hz（三相五线）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2.总功率：12kW（发热管3条×4000W）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3.适用人数：约200人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四、标准配件：</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1.配套空气开关（4P/63A）</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2.标配304蒸盘12个+进水管+排污阀。</w:t>
            </w:r>
          </w:p>
        </w:tc>
        <w:tc>
          <w:tcPr>
            <w:tcW w:w="376" w:type="pct"/>
            <w:shd w:val="clear" w:color="auto" w:fill="auto"/>
            <w:noWrap/>
            <w:vAlign w:val="center"/>
          </w:tcPr>
          <w:p w14:paraId="6547FBF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德玛仕、金百川、旺泉</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2280CD4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3F0B936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2222B38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5000</w:t>
            </w:r>
          </w:p>
        </w:tc>
        <w:tc>
          <w:tcPr>
            <w:tcW w:w="231" w:type="pct"/>
            <w:shd w:val="clear" w:color="auto" w:fill="auto"/>
            <w:noWrap/>
            <w:vAlign w:val="center"/>
          </w:tcPr>
          <w:p w14:paraId="7834EA8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5000</w:t>
            </w:r>
          </w:p>
        </w:tc>
      </w:tr>
      <w:tr w14:paraId="142B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0" w:hRule="atLeast"/>
        </w:trPr>
        <w:tc>
          <w:tcPr>
            <w:tcW w:w="270" w:type="pct"/>
            <w:shd w:val="clear" w:color="auto" w:fill="auto"/>
            <w:noWrap/>
            <w:vAlign w:val="center"/>
          </w:tcPr>
          <w:p w14:paraId="73626E65">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51</w:t>
            </w:r>
          </w:p>
        </w:tc>
        <w:tc>
          <w:tcPr>
            <w:tcW w:w="548" w:type="pct"/>
            <w:shd w:val="clear" w:color="auto" w:fill="auto"/>
            <w:vAlign w:val="center"/>
          </w:tcPr>
          <w:p w14:paraId="0006007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大单星盆台</w:t>
            </w:r>
          </w:p>
        </w:tc>
        <w:tc>
          <w:tcPr>
            <w:tcW w:w="502" w:type="pct"/>
            <w:shd w:val="clear" w:color="auto" w:fill="auto"/>
            <w:vAlign w:val="top"/>
          </w:tcPr>
          <w:p w14:paraId="6ADA823B">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-22860</wp:posOffset>
                  </wp:positionH>
                  <wp:positionV relativeFrom="paragraph">
                    <wp:posOffset>399415</wp:posOffset>
                  </wp:positionV>
                  <wp:extent cx="806450" cy="844550"/>
                  <wp:effectExtent l="0" t="0" r="12700" b="12700"/>
                  <wp:wrapNone/>
                  <wp:docPr id="84" name="ID_5D21CD6A788D419CA495605E35C9CB46_SpCnt_1"/>
                  <wp:cNvGraphicFramePr/>
                  <a:graphic xmlns:a="http://schemas.openxmlformats.org/drawingml/2006/main">
                    <a:graphicData uri="http://schemas.openxmlformats.org/drawingml/2006/picture">
                      <pic:pic xmlns:pic="http://schemas.openxmlformats.org/drawingml/2006/picture">
                        <pic:nvPicPr>
                          <pic:cNvPr id="84" name="ID_5D21CD6A788D419CA495605E35C9CB46_SpCnt_1"/>
                          <pic:cNvPicPr/>
                        </pic:nvPicPr>
                        <pic:blipFill>
                          <a:blip r:embed="rId10"/>
                          <a:stretch>
                            <a:fillRect/>
                          </a:stretch>
                        </pic:blipFill>
                        <pic:spPr>
                          <a:xfrm>
                            <a:off x="0" y="0"/>
                            <a:ext cx="806450" cy="844550"/>
                          </a:xfrm>
                          <a:prstGeom prst="rect">
                            <a:avLst/>
                          </a:prstGeom>
                          <a:noFill/>
                          <a:ln>
                            <a:noFill/>
                          </a:ln>
                        </pic:spPr>
                      </pic:pic>
                    </a:graphicData>
                  </a:graphic>
                </wp:anchor>
              </w:drawing>
            </w:r>
          </w:p>
        </w:tc>
        <w:tc>
          <w:tcPr>
            <w:tcW w:w="832" w:type="pct"/>
            <w:shd w:val="clear" w:color="auto" w:fill="auto"/>
            <w:vAlign w:val="center"/>
          </w:tcPr>
          <w:p w14:paraId="1608B3C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1000×800×800mm(背挡水高150mm</w:t>
            </w:r>
          </w:p>
        </w:tc>
        <w:tc>
          <w:tcPr>
            <w:tcW w:w="1559" w:type="pct"/>
            <w:shd w:val="clear" w:color="auto" w:fill="auto"/>
            <w:vAlign w:val="center"/>
          </w:tcPr>
          <w:p w14:paraId="52FAC82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一、结构：单星盆带背挡水及前滴水沿，盆斗与台面一体拉伸或无缝焊接，台面四周向下双曲压弯40mm，支架满焊牢固并配可调节防滑地脚。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noWrap/>
            <w:vAlign w:val="center"/>
          </w:tcPr>
          <w:p w14:paraId="2548ACB5">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59B9C0E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0C590E4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637228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1380</w:t>
            </w:r>
          </w:p>
        </w:tc>
        <w:tc>
          <w:tcPr>
            <w:tcW w:w="231" w:type="pct"/>
            <w:shd w:val="clear" w:color="auto" w:fill="auto"/>
            <w:noWrap/>
            <w:vAlign w:val="center"/>
          </w:tcPr>
          <w:p w14:paraId="326CD2A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1380</w:t>
            </w:r>
          </w:p>
        </w:tc>
      </w:tr>
      <w:tr w14:paraId="009A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8" w:hRule="atLeast"/>
        </w:trPr>
        <w:tc>
          <w:tcPr>
            <w:tcW w:w="270" w:type="pct"/>
            <w:shd w:val="clear" w:color="auto" w:fill="auto"/>
            <w:noWrap/>
            <w:vAlign w:val="center"/>
          </w:tcPr>
          <w:p w14:paraId="316B7AF5">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52</w:t>
            </w:r>
          </w:p>
        </w:tc>
        <w:tc>
          <w:tcPr>
            <w:tcW w:w="548" w:type="pct"/>
            <w:shd w:val="clear" w:color="auto" w:fill="auto"/>
            <w:vAlign w:val="center"/>
          </w:tcPr>
          <w:p w14:paraId="7C20FA0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洗米机</w:t>
            </w:r>
          </w:p>
        </w:tc>
        <w:tc>
          <w:tcPr>
            <w:tcW w:w="502" w:type="pct"/>
            <w:shd w:val="clear" w:color="auto" w:fill="auto"/>
            <w:vAlign w:val="top"/>
          </w:tcPr>
          <w:p w14:paraId="6566CB24">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-25400</wp:posOffset>
                  </wp:positionH>
                  <wp:positionV relativeFrom="paragraph">
                    <wp:posOffset>728345</wp:posOffset>
                  </wp:positionV>
                  <wp:extent cx="843915" cy="513715"/>
                  <wp:effectExtent l="0" t="0" r="13335" b="635"/>
                  <wp:wrapNone/>
                  <wp:docPr id="114" name="ID_BE3ED9D077BD4C19A7948FAE367517CC"/>
                  <wp:cNvGraphicFramePr/>
                  <a:graphic xmlns:a="http://schemas.openxmlformats.org/drawingml/2006/main">
                    <a:graphicData uri="http://schemas.openxmlformats.org/drawingml/2006/picture">
                      <pic:pic xmlns:pic="http://schemas.openxmlformats.org/drawingml/2006/picture">
                        <pic:nvPicPr>
                          <pic:cNvPr id="114" name="ID_BE3ED9D077BD4C19A7948FAE367517CC"/>
                          <pic:cNvPicPr/>
                        </pic:nvPicPr>
                        <pic:blipFill>
                          <a:blip r:embed="rId40"/>
                          <a:stretch>
                            <a:fillRect/>
                          </a:stretch>
                        </pic:blipFill>
                        <pic:spPr>
                          <a:xfrm>
                            <a:off x="0" y="0"/>
                            <a:ext cx="843915" cy="513715"/>
                          </a:xfrm>
                          <a:prstGeom prst="rect">
                            <a:avLst/>
                          </a:prstGeom>
                          <a:noFill/>
                          <a:ln>
                            <a:noFill/>
                          </a:ln>
                        </pic:spPr>
                      </pic:pic>
                    </a:graphicData>
                  </a:graphic>
                </wp:anchor>
              </w:drawing>
            </w:r>
          </w:p>
        </w:tc>
        <w:tc>
          <w:tcPr>
            <w:tcW w:w="832" w:type="pct"/>
            <w:shd w:val="clear" w:color="auto" w:fill="auto"/>
            <w:vAlign w:val="center"/>
          </w:tcPr>
          <w:p w14:paraId="0003484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700×700×1370mm</w:t>
            </w:r>
          </w:p>
        </w:tc>
        <w:tc>
          <w:tcPr>
            <w:tcW w:w="1559" w:type="pct"/>
            <w:shd w:val="clear" w:color="auto" w:fill="auto"/>
            <w:vAlign w:val="center"/>
          </w:tcPr>
          <w:p w14:paraId="0F7E7088">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一、结构：水压式洗米机。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1.主体：201不锈钢，厚度1.2mm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2.喷咀：高压喷咀（材质待确认）</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3.进水接口：按需配置</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1.单次洗米量：100kg</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2.工作水压：1.5kg/cm³</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3.进水量：25-35L/min</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4.清洗方式：水压式高压喷洗</w:t>
            </w:r>
          </w:p>
          <w:p w14:paraId="7FB55C0C">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default" w:ascii="仿宋" w:hAnsi="仿宋" w:eastAsia="仿宋" w:cs="仿宋"/>
                <w:i w:val="0"/>
                <w:iCs w:val="0"/>
                <w:color w:val="000000"/>
                <w:kern w:val="0"/>
                <w:sz w:val="18"/>
                <w:szCs w:val="18"/>
                <w:highlight w:val="none"/>
                <w:u w:val="none"/>
                <w:lang w:val="en-US" w:eastAsia="zh-CN" w:bidi="ar"/>
              </w:rPr>
              <w:t>5.配件要求</w:t>
            </w:r>
            <w:r>
              <w:rPr>
                <w:rFonts w:hint="eastAsia" w:ascii="仿宋" w:hAnsi="仿宋" w:eastAsia="仿宋" w:cs="仿宋"/>
                <w:i w:val="0"/>
                <w:iCs w:val="0"/>
                <w:color w:val="000000"/>
                <w:kern w:val="0"/>
                <w:sz w:val="18"/>
                <w:szCs w:val="18"/>
                <w:highlight w:val="none"/>
                <w:u w:val="none"/>
                <w:lang w:val="en-US" w:eastAsia="zh-CN" w:bidi="ar"/>
              </w:rPr>
              <w:t>：进水管：φ32mm、排水管：φ38mm、洗米萝、散米架</w:t>
            </w:r>
          </w:p>
        </w:tc>
        <w:tc>
          <w:tcPr>
            <w:tcW w:w="376" w:type="pct"/>
            <w:shd w:val="clear" w:color="auto" w:fill="auto"/>
            <w:noWrap/>
            <w:vAlign w:val="center"/>
          </w:tcPr>
          <w:p w14:paraId="4B52987E">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3D03C67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39BD6C3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1A3FA74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1480</w:t>
            </w:r>
          </w:p>
        </w:tc>
        <w:tc>
          <w:tcPr>
            <w:tcW w:w="231" w:type="pct"/>
            <w:shd w:val="clear" w:color="auto" w:fill="auto"/>
            <w:noWrap/>
            <w:vAlign w:val="center"/>
          </w:tcPr>
          <w:p w14:paraId="257C0B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1480</w:t>
            </w:r>
          </w:p>
        </w:tc>
      </w:tr>
      <w:tr w14:paraId="7BB9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 w:type="pct"/>
            <w:shd w:val="clear" w:color="auto" w:fill="auto"/>
            <w:vAlign w:val="center"/>
          </w:tcPr>
          <w:p w14:paraId="35337FF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I</w:t>
            </w:r>
          </w:p>
        </w:tc>
        <w:tc>
          <w:tcPr>
            <w:tcW w:w="548" w:type="pct"/>
            <w:shd w:val="clear" w:color="auto" w:fill="auto"/>
            <w:vAlign w:val="center"/>
          </w:tcPr>
          <w:p w14:paraId="27689B9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煲汤区</w:t>
            </w:r>
          </w:p>
        </w:tc>
        <w:tc>
          <w:tcPr>
            <w:tcW w:w="502" w:type="pct"/>
            <w:shd w:val="clear" w:color="auto" w:fill="auto"/>
            <w:noWrap/>
            <w:vAlign w:val="center"/>
          </w:tcPr>
          <w:p w14:paraId="305A1468">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6742113A">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6F76C2FA">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6C1FBE23">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162957DB">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1CD44ACA">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189EB9C2">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738CA2EB">
            <w:pPr>
              <w:jc w:val="center"/>
              <w:rPr>
                <w:rFonts w:hint="eastAsia" w:ascii="仿宋" w:hAnsi="仿宋" w:eastAsia="仿宋" w:cs="仿宋"/>
                <w:i w:val="0"/>
                <w:iCs w:val="0"/>
                <w:color w:val="000000"/>
                <w:sz w:val="18"/>
                <w:szCs w:val="18"/>
                <w:highlight w:val="none"/>
                <w:u w:val="none"/>
              </w:rPr>
            </w:pPr>
          </w:p>
        </w:tc>
      </w:tr>
      <w:tr w14:paraId="2D73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270" w:type="pct"/>
            <w:shd w:val="clear" w:color="auto" w:fill="auto"/>
            <w:noWrap/>
            <w:vAlign w:val="center"/>
          </w:tcPr>
          <w:p w14:paraId="0A401490">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53</w:t>
            </w:r>
          </w:p>
        </w:tc>
        <w:tc>
          <w:tcPr>
            <w:tcW w:w="548" w:type="pct"/>
            <w:shd w:val="clear" w:color="auto" w:fill="auto"/>
            <w:vAlign w:val="center"/>
          </w:tcPr>
          <w:p w14:paraId="63328D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7875B12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-3175</wp:posOffset>
                  </wp:positionH>
                  <wp:positionV relativeFrom="paragraph">
                    <wp:posOffset>3810</wp:posOffset>
                  </wp:positionV>
                  <wp:extent cx="744220" cy="542925"/>
                  <wp:effectExtent l="0" t="0" r="17780" b="9525"/>
                  <wp:wrapNone/>
                  <wp:docPr id="118" name="ID_497AC02572CD494D8A4653A32114579D_SpCnt_5"/>
                  <wp:cNvGraphicFramePr/>
                  <a:graphic xmlns:a="http://schemas.openxmlformats.org/drawingml/2006/main">
                    <a:graphicData uri="http://schemas.openxmlformats.org/drawingml/2006/picture">
                      <pic:pic xmlns:pic="http://schemas.openxmlformats.org/drawingml/2006/picture">
                        <pic:nvPicPr>
                          <pic:cNvPr id="118" name="ID_497AC02572CD494D8A4653A32114579D_SpCnt_5"/>
                          <pic:cNvPicPr/>
                        </pic:nvPicPr>
                        <pic:blipFill>
                          <a:blip r:embed="rId8"/>
                          <a:stretch>
                            <a:fillRect/>
                          </a:stretch>
                        </pic:blipFill>
                        <pic:spPr>
                          <a:xfrm>
                            <a:off x="0" y="0"/>
                            <a:ext cx="744220" cy="542925"/>
                          </a:xfrm>
                          <a:prstGeom prst="rect">
                            <a:avLst/>
                          </a:prstGeom>
                          <a:noFill/>
                          <a:ln>
                            <a:noFill/>
                          </a:ln>
                        </pic:spPr>
                      </pic:pic>
                    </a:graphicData>
                  </a:graphic>
                </wp:anchor>
              </w:drawing>
            </w:r>
          </w:p>
        </w:tc>
        <w:tc>
          <w:tcPr>
            <w:tcW w:w="832" w:type="pct"/>
            <w:shd w:val="clear" w:color="auto" w:fill="auto"/>
            <w:vAlign w:val="center"/>
          </w:tcPr>
          <w:p w14:paraId="0441986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282C231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197D047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1C7187A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EE786F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70DCAEF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1BABE3D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4BF0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270" w:type="pct"/>
            <w:shd w:val="clear" w:color="auto" w:fill="auto"/>
            <w:noWrap/>
            <w:vAlign w:val="center"/>
          </w:tcPr>
          <w:p w14:paraId="6604CCC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54</w:t>
            </w:r>
          </w:p>
        </w:tc>
        <w:tc>
          <w:tcPr>
            <w:tcW w:w="548" w:type="pct"/>
            <w:shd w:val="clear" w:color="auto" w:fill="auto"/>
            <w:vAlign w:val="center"/>
          </w:tcPr>
          <w:p w14:paraId="1308DC7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六头电磁煲仔炉</w:t>
            </w:r>
          </w:p>
        </w:tc>
        <w:tc>
          <w:tcPr>
            <w:tcW w:w="502" w:type="pct"/>
            <w:shd w:val="clear" w:color="auto" w:fill="auto"/>
            <w:vAlign w:val="center"/>
          </w:tcPr>
          <w:p w14:paraId="33E4B6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57150</wp:posOffset>
                  </wp:positionH>
                  <wp:positionV relativeFrom="paragraph">
                    <wp:posOffset>-217170</wp:posOffset>
                  </wp:positionV>
                  <wp:extent cx="660400" cy="640715"/>
                  <wp:effectExtent l="0" t="0" r="6350" b="6985"/>
                  <wp:wrapNone/>
                  <wp:docPr id="119" name="ID_7E8A7E2F5B2A445CA2E476A8D851C14D"/>
                  <wp:cNvGraphicFramePr/>
                  <a:graphic xmlns:a="http://schemas.openxmlformats.org/drawingml/2006/main">
                    <a:graphicData uri="http://schemas.openxmlformats.org/drawingml/2006/picture">
                      <pic:pic xmlns:pic="http://schemas.openxmlformats.org/drawingml/2006/picture">
                        <pic:nvPicPr>
                          <pic:cNvPr id="119" name="ID_7E8A7E2F5B2A445CA2E476A8D851C14D"/>
                          <pic:cNvPicPr/>
                        </pic:nvPicPr>
                        <pic:blipFill>
                          <a:blip r:embed="rId41"/>
                          <a:stretch>
                            <a:fillRect/>
                          </a:stretch>
                        </pic:blipFill>
                        <pic:spPr>
                          <a:xfrm>
                            <a:off x="0" y="0"/>
                            <a:ext cx="660400" cy="640715"/>
                          </a:xfrm>
                          <a:prstGeom prst="rect">
                            <a:avLst/>
                          </a:prstGeom>
                          <a:noFill/>
                          <a:ln>
                            <a:noFill/>
                          </a:ln>
                        </pic:spPr>
                      </pic:pic>
                    </a:graphicData>
                  </a:graphic>
                </wp:anchor>
              </w:drawing>
            </w:r>
          </w:p>
        </w:tc>
        <w:tc>
          <w:tcPr>
            <w:tcW w:w="832" w:type="pct"/>
            <w:shd w:val="clear" w:color="auto" w:fill="auto"/>
            <w:vAlign w:val="center"/>
          </w:tcPr>
          <w:p w14:paraId="6908FBB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后挡水高度≥150mm</w:t>
            </w:r>
          </w:p>
        </w:tc>
        <w:tc>
          <w:tcPr>
            <w:tcW w:w="1559" w:type="pct"/>
            <w:shd w:val="clear" w:color="auto" w:fill="auto"/>
            <w:vAlign w:val="center"/>
          </w:tcPr>
          <w:p w14:paraId="406A0C91">
            <w:pPr>
              <w:keepNext w:val="0"/>
              <w:keepLines w:val="0"/>
              <w:widowControl/>
              <w:suppressLineNumbers w:val="0"/>
              <w:jc w:val="left"/>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六头电磁炉，加厚抛光微晶玻璃，模块化全封闭分层负压散热（防油烟/防湿气/防蟑螂），风机IPX7防水级静音直流，柜体储物设计，运行程序内置限时自动停止控制系统（定时定温预约）。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1.炉面：201不锈钢，厚度≥1.2mm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2.柜体：201不锈钢，厚度≥1.0mm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3.微晶玻璃：加厚抛光型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4.风机：IPX7防水级、静音、专用冷风通道、高压直流</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5.电容：集成模块化电容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6.接线端子：防水型耐高温PIN端子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7.所有原材料及配件（直接/非直接接触）：符合国家食品标准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2.输出功率：3.5kW×6（总功率21kW）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长霉检测：所投产品的控制机芯须依据GB/T2423.16-2022《环境试验第2部分：试验方法试验J：长霉》进行检测，在湿度≥90%条件下，通过黑曲霉、土曲霉、球毛壳霉、树脂子囊菌、绿色木霉五种霉菌检测，检测结果达到长霉等级0级，放大镜下观察，没有发现明显的长霉。响应文件中须提供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（须清晰显示检测菌种、长霉等级判定结果</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tc>
        <w:tc>
          <w:tcPr>
            <w:tcW w:w="376" w:type="pct"/>
            <w:shd w:val="clear" w:color="auto" w:fill="auto"/>
            <w:noWrap/>
            <w:vAlign w:val="center"/>
          </w:tcPr>
          <w:p w14:paraId="491DF31D">
            <w:pPr>
              <w:jc w:val="center"/>
              <w:rPr>
                <w:rFonts w:hint="eastAsia" w:ascii="仿宋" w:hAnsi="仿宋" w:eastAsia="仿宋" w:cs="仿宋"/>
                <w:i w:val="0"/>
                <w:iCs w:val="0"/>
                <w:color w:val="000000"/>
                <w:sz w:val="18"/>
                <w:szCs w:val="18"/>
                <w:highlight w:val="none"/>
                <w:u w:val="none"/>
                <w:lang w:eastAsia="zh-CN"/>
              </w:rPr>
            </w:pPr>
            <w:r>
              <w:rPr>
                <w:rFonts w:hint="eastAsia" w:ascii="仿宋" w:hAnsi="仿宋" w:eastAsia="仿宋" w:cs="仿宋"/>
                <w:i w:val="0"/>
                <w:iCs w:val="0"/>
                <w:color w:val="000000"/>
                <w:sz w:val="18"/>
                <w:szCs w:val="18"/>
                <w:highlight w:val="none"/>
                <w:u w:val="none"/>
              </w:rPr>
              <w:t>喜德力</w:t>
            </w:r>
            <w:r>
              <w:rPr>
                <w:rFonts w:hint="eastAsia" w:ascii="仿宋" w:hAnsi="仿宋" w:eastAsia="仿宋" w:cs="仿宋"/>
                <w:i w:val="0"/>
                <w:iCs w:val="0"/>
                <w:color w:val="000000"/>
                <w:sz w:val="18"/>
                <w:szCs w:val="18"/>
                <w:highlight w:val="none"/>
                <w:u w:val="none"/>
                <w:lang w:eastAsia="zh-CN"/>
              </w:rPr>
              <w:t>、威猛达、麦大厨</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3F50EBA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67D8969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83687A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8000</w:t>
            </w:r>
          </w:p>
        </w:tc>
        <w:tc>
          <w:tcPr>
            <w:tcW w:w="231" w:type="pct"/>
            <w:shd w:val="clear" w:color="auto" w:fill="auto"/>
            <w:noWrap/>
            <w:vAlign w:val="center"/>
          </w:tcPr>
          <w:p w14:paraId="1F80869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8000</w:t>
            </w:r>
          </w:p>
        </w:tc>
      </w:tr>
      <w:tr w14:paraId="3836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01" w:hRule="atLeast"/>
        </w:trPr>
        <w:tc>
          <w:tcPr>
            <w:tcW w:w="270" w:type="pct"/>
            <w:shd w:val="clear" w:color="auto" w:fill="auto"/>
            <w:noWrap/>
            <w:vAlign w:val="center"/>
          </w:tcPr>
          <w:p w14:paraId="11EB8CA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55</w:t>
            </w:r>
          </w:p>
        </w:tc>
        <w:tc>
          <w:tcPr>
            <w:tcW w:w="548" w:type="pct"/>
            <w:shd w:val="clear" w:color="auto" w:fill="auto"/>
            <w:vAlign w:val="center"/>
          </w:tcPr>
          <w:p w14:paraId="15CA294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电磁单头矮汤炉</w:t>
            </w:r>
          </w:p>
        </w:tc>
        <w:tc>
          <w:tcPr>
            <w:tcW w:w="502" w:type="pct"/>
            <w:shd w:val="clear" w:color="auto" w:fill="auto"/>
            <w:noWrap/>
            <w:vAlign w:val="center"/>
          </w:tcPr>
          <w:p w14:paraId="5ADD0B9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73660</wp:posOffset>
                  </wp:positionH>
                  <wp:positionV relativeFrom="paragraph">
                    <wp:posOffset>141605</wp:posOffset>
                  </wp:positionV>
                  <wp:extent cx="620395" cy="892175"/>
                  <wp:effectExtent l="0" t="0" r="8255" b="3175"/>
                  <wp:wrapNone/>
                  <wp:docPr id="71" name="ID_EC571F2D96A04245BEFB27E8B9BADB0F"/>
                  <wp:cNvGraphicFramePr/>
                  <a:graphic xmlns:a="http://schemas.openxmlformats.org/drawingml/2006/main">
                    <a:graphicData uri="http://schemas.openxmlformats.org/drawingml/2006/picture">
                      <pic:pic xmlns:pic="http://schemas.openxmlformats.org/drawingml/2006/picture">
                        <pic:nvPicPr>
                          <pic:cNvPr id="71" name="ID_EC571F2D96A04245BEFB27E8B9BADB0F"/>
                          <pic:cNvPicPr/>
                        </pic:nvPicPr>
                        <pic:blipFill>
                          <a:blip r:embed="rId33"/>
                          <a:stretch>
                            <a:fillRect/>
                          </a:stretch>
                        </pic:blipFill>
                        <pic:spPr>
                          <a:xfrm>
                            <a:off x="0" y="0"/>
                            <a:ext cx="620395" cy="892175"/>
                          </a:xfrm>
                          <a:prstGeom prst="rect">
                            <a:avLst/>
                          </a:prstGeom>
                          <a:noFill/>
                          <a:ln>
                            <a:noFill/>
                          </a:ln>
                        </pic:spPr>
                      </pic:pic>
                    </a:graphicData>
                  </a:graphic>
                </wp:anchor>
              </w:drawing>
            </w:r>
          </w:p>
        </w:tc>
        <w:tc>
          <w:tcPr>
            <w:tcW w:w="832" w:type="pct"/>
            <w:shd w:val="clear" w:color="auto" w:fill="auto"/>
            <w:vAlign w:val="center"/>
          </w:tcPr>
          <w:p w14:paraId="4E28820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≥背板高度720mm</w:t>
            </w:r>
          </w:p>
        </w:tc>
        <w:tc>
          <w:tcPr>
            <w:tcW w:w="1559" w:type="pct"/>
            <w:shd w:val="clear" w:color="auto" w:fill="auto"/>
            <w:vAlign w:val="center"/>
          </w:tcPr>
          <w:p w14:paraId="74746338">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商用电磁汤炉，一体化防水LED中文显示器（电量累计日/周/月，加热状态图标+中文，火力数字+分布条双显），模块化全封闭分层负压散热（防油烟/防湿气/防蟑螂），控制机芯采用先进IGBT（具备自检及故障诊断功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一、材质与工艺：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1.炉面：201不锈钢，厚度≥1.2mm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2.柜体：201不锈钢，厚度≥1.0mm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3.微晶板：φ428mm，厚度6mm，耐高温、抗冲击</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4.汤桶：304食品级不锈钢，标配外径φ500×500mm，壁厚≥3mm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5.水龙头：304不锈钢，0～180°摇摆式，90°出水铜芯阀门</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6.线盘：紫铜耐高温阻燃漆包线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7.风机：IPX7防水级、静音、专用冷风通道、高压直流</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8.电容：集成模块化电容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9.接线端子：防水型耐高温PIN端子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10.所有原材料及配件（直接/非直接接触）：符合国家食品标准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2.输出功率：12kW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3.火力档位：≥8档</w:t>
            </w:r>
          </w:p>
          <w:p w14:paraId="60EA41D5">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★4.电气安全：所投产品须依据</w:t>
            </w:r>
            <w:r>
              <w:rPr>
                <w:rFonts w:hint="eastAsia" w:ascii="仿宋" w:hAnsi="仿宋" w:eastAsia="仿宋" w:cs="仿宋"/>
                <w:i w:val="0"/>
                <w:iCs w:val="0"/>
                <w:caps w:val="0"/>
                <w:color w:val="000000"/>
                <w:spacing w:val="0"/>
                <w:kern w:val="0"/>
                <w:sz w:val="18"/>
                <w:szCs w:val="18"/>
                <w:highlight w:val="none"/>
                <w:u w:val="none"/>
                <w:shd w:val="clear"/>
                <w:lang w:bidi="ar"/>
              </w:rPr>
              <w:t>GB/T 4706.1-2024</w:t>
            </w:r>
            <w:r>
              <w:rPr>
                <w:rFonts w:hint="eastAsia" w:ascii="仿宋" w:hAnsi="仿宋" w:eastAsia="仿宋" w:cs="仿宋"/>
                <w:i w:val="0"/>
                <w:iCs w:val="0"/>
                <w:color w:val="000000"/>
                <w:kern w:val="0"/>
                <w:sz w:val="18"/>
                <w:szCs w:val="18"/>
                <w:highlight w:val="none"/>
                <w:u w:val="none"/>
                <w:lang w:val="en-US" w:eastAsia="zh-CN" w:bidi="ar"/>
              </w:rPr>
              <w:t>及GB/T 4706.52-2024标准进行检测。检测项目至少包括：对触及带电部件的防护、输入功率和电流、工作温度下的泄漏电流和电气强度、耐潮湿、非正常工作、接地措施共计6个项目的检测，上述检测结果均须为合格。响应文件中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（须清晰显示上述全部检测项目及对应结论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★5.能效等级：一级，所投产品须依据GB 40876-2021标准进行热效率检测。在12kW档位下，热效率实测值须≥92%，且能效等级须达到一级。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lang w:bidi="ar"/>
              </w:rPr>
              <w:t>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w:t>
            </w:r>
            <w:r>
              <w:rPr>
                <w:rFonts w:hint="eastAsia" w:ascii="仿宋" w:hAnsi="仿宋" w:eastAsia="仿宋" w:cs="仿宋"/>
                <w:b w:val="0"/>
                <w:bCs w:val="0"/>
                <w:i w:val="0"/>
                <w:iCs w:val="0"/>
                <w:caps w:val="0"/>
                <w:color w:val="000000"/>
                <w:spacing w:val="0"/>
                <w:kern w:val="0"/>
                <w:sz w:val="18"/>
                <w:szCs w:val="18"/>
                <w:highlight w:val="none"/>
                <w:u w:val="none"/>
                <w:shd w:val="clear"/>
                <w:lang w:bidi="ar"/>
              </w:rPr>
              <w:t>12kW档位下的热效率实测值</w:t>
            </w:r>
            <w:r>
              <w:rPr>
                <w:rFonts w:hint="eastAsia" w:ascii="仿宋" w:hAnsi="仿宋" w:eastAsia="仿宋" w:cs="仿宋"/>
                <w:i w:val="0"/>
                <w:iCs w:val="0"/>
                <w:caps w:val="0"/>
                <w:color w:val="000000"/>
                <w:spacing w:val="0"/>
                <w:kern w:val="0"/>
                <w:sz w:val="18"/>
                <w:szCs w:val="18"/>
                <w:highlight w:val="none"/>
                <w:u w:val="none"/>
                <w:shd w:val="clear"/>
                <w:lang w:bidi="ar"/>
              </w:rPr>
              <w:t>及</w:t>
            </w:r>
            <w:r>
              <w:rPr>
                <w:rFonts w:hint="eastAsia" w:ascii="仿宋" w:hAnsi="仿宋" w:eastAsia="仿宋" w:cs="仿宋"/>
                <w:b w:val="0"/>
                <w:bCs w:val="0"/>
                <w:i w:val="0"/>
                <w:iCs w:val="0"/>
                <w:caps w:val="0"/>
                <w:color w:val="000000"/>
                <w:spacing w:val="0"/>
                <w:kern w:val="0"/>
                <w:sz w:val="18"/>
                <w:szCs w:val="18"/>
                <w:highlight w:val="none"/>
                <w:u w:val="none"/>
                <w:shd w:val="clear"/>
                <w:lang w:bidi="ar"/>
              </w:rPr>
              <w:t>能效等级判定结果</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★6.电磁辐射检测：所投产品须符合GB/T39640-2020标准的要求，所有测量点的W值不应超过50%，电磁辐射</w:t>
            </w:r>
            <w:r>
              <w:rPr>
                <w:rFonts w:hint="eastAsia" w:ascii="仿宋" w:hAnsi="仿宋" w:eastAsia="仿宋" w:cs="仿宋"/>
                <w:i w:val="0"/>
                <w:iCs w:val="0"/>
                <w:caps w:val="0"/>
                <w:color w:val="000000"/>
                <w:spacing w:val="0"/>
                <w:kern w:val="0"/>
                <w:sz w:val="18"/>
                <w:szCs w:val="18"/>
                <w:highlight w:val="none"/>
                <w:u w:val="none"/>
                <w:shd w:val="clear"/>
                <w:lang w:bidi="ar"/>
              </w:rPr>
              <w:t>检测结果须为</w:t>
            </w:r>
            <w:r>
              <w:rPr>
                <w:rFonts w:hint="eastAsia" w:ascii="仿宋" w:hAnsi="仿宋" w:eastAsia="仿宋" w:cs="仿宋"/>
                <w:b w:val="0"/>
                <w:bCs w:val="0"/>
                <w:i w:val="0"/>
                <w:iCs w:val="0"/>
                <w:caps w:val="0"/>
                <w:color w:val="000000"/>
                <w:spacing w:val="0"/>
                <w:kern w:val="0"/>
                <w:sz w:val="18"/>
                <w:szCs w:val="18"/>
                <w:highlight w:val="none"/>
                <w:u w:val="none"/>
                <w:shd w:val="clear"/>
                <w:lang w:bidi="ar"/>
              </w:rPr>
              <w:t>合格</w:t>
            </w:r>
            <w:r>
              <w:rPr>
                <w:rFonts w:hint="eastAsia" w:ascii="仿宋" w:hAnsi="仿宋" w:eastAsia="仿宋" w:cs="仿宋"/>
                <w:i w:val="0"/>
                <w:iCs w:val="0"/>
                <w:color w:val="000000"/>
                <w:kern w:val="0"/>
                <w:sz w:val="18"/>
                <w:szCs w:val="18"/>
                <w:highlight w:val="none"/>
                <w:u w:val="none"/>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响应文件中须提供带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（须清晰显示电磁辐射测量值及判定结论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并载明检测依据）</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p w14:paraId="53A2BEAB">
            <w:pPr>
              <w:keepNext w:val="0"/>
              <w:keepLines w:val="0"/>
              <w:widowControl/>
              <w:suppressLineNumbers w:val="0"/>
              <w:jc w:val="left"/>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★7.限用物质：所投产品须符合GB/T26572-2011《电子电气产品中限用物质的限量要求》标准及第1号修改单的要求，10项有害物质</w:t>
            </w:r>
            <w:r>
              <w:rPr>
                <w:rFonts w:hint="eastAsia" w:ascii="仿宋" w:hAnsi="仿宋" w:eastAsia="仿宋" w:cs="仿宋"/>
                <w:i w:val="0"/>
                <w:iCs w:val="0"/>
                <w:caps w:val="0"/>
                <w:color w:val="000000"/>
                <w:spacing w:val="0"/>
                <w:kern w:val="0"/>
                <w:sz w:val="18"/>
                <w:szCs w:val="18"/>
                <w:highlight w:val="none"/>
                <w:u w:val="none"/>
                <w:shd w:val="clear"/>
                <w:lang w:bidi="ar"/>
              </w:rPr>
              <w:t>（铅、汞、镉、六价铬、多溴联苯、多溴二苯醚、邻苯二甲酸二正丁酯、邻苯二甲酸丁基苄酯、邻苯二甲酸二(2-乙基</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己</w:t>
            </w:r>
            <w:r>
              <w:rPr>
                <w:rFonts w:hint="eastAsia" w:ascii="仿宋" w:hAnsi="仿宋" w:eastAsia="仿宋" w:cs="仿宋"/>
                <w:i w:val="0"/>
                <w:iCs w:val="0"/>
                <w:caps w:val="0"/>
                <w:color w:val="000000"/>
                <w:spacing w:val="0"/>
                <w:kern w:val="0"/>
                <w:sz w:val="18"/>
                <w:szCs w:val="18"/>
                <w:highlight w:val="none"/>
                <w:u w:val="none"/>
                <w:shd w:val="clear"/>
                <w:lang w:bidi="ar"/>
              </w:rPr>
              <w:t>)酯、邻苯二甲酸二异丁酯）</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含量</w:t>
            </w:r>
            <w:r>
              <w:rPr>
                <w:rFonts w:hint="eastAsia" w:ascii="仿宋" w:hAnsi="仿宋" w:eastAsia="仿宋" w:cs="仿宋"/>
                <w:i w:val="0"/>
                <w:iCs w:val="0"/>
                <w:color w:val="000000"/>
                <w:kern w:val="0"/>
                <w:sz w:val="18"/>
                <w:szCs w:val="18"/>
                <w:highlight w:val="none"/>
                <w:u w:val="none"/>
                <w:lang w:val="en-US" w:eastAsia="zh-CN" w:bidi="ar"/>
              </w:rPr>
              <w:t>检测结果须全部合格。响应文件中须提供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（须清晰显示全部10项有害物质检测项目及对应结论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tc>
        <w:tc>
          <w:tcPr>
            <w:tcW w:w="376" w:type="pct"/>
            <w:shd w:val="clear" w:color="auto" w:fill="auto"/>
            <w:noWrap/>
            <w:vAlign w:val="center"/>
          </w:tcPr>
          <w:p w14:paraId="35DDC0E4">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rPr>
              <w:t>喜德力</w:t>
            </w:r>
            <w:r>
              <w:rPr>
                <w:rFonts w:hint="eastAsia" w:ascii="仿宋" w:hAnsi="仿宋" w:eastAsia="仿宋" w:cs="仿宋"/>
                <w:i w:val="0"/>
                <w:iCs w:val="0"/>
                <w:color w:val="000000"/>
                <w:sz w:val="18"/>
                <w:szCs w:val="18"/>
                <w:highlight w:val="none"/>
                <w:u w:val="none"/>
                <w:lang w:eastAsia="zh-CN"/>
              </w:rPr>
              <w:t>、</w:t>
            </w:r>
            <w:r>
              <w:rPr>
                <w:rFonts w:hint="eastAsia" w:ascii="仿宋" w:hAnsi="仿宋" w:eastAsia="仿宋" w:cs="仿宋"/>
                <w:i w:val="0"/>
                <w:iCs w:val="0"/>
                <w:color w:val="000000"/>
                <w:sz w:val="18"/>
                <w:szCs w:val="18"/>
                <w:highlight w:val="none"/>
                <w:u w:val="none"/>
                <w:lang w:val="en-US" w:eastAsia="zh-CN"/>
              </w:rPr>
              <w:t>厨贝、乐创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3539F39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noWrap/>
            <w:vAlign w:val="center"/>
          </w:tcPr>
          <w:p w14:paraId="5296ED2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4D95BC5D">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6830</w:t>
            </w:r>
          </w:p>
        </w:tc>
        <w:tc>
          <w:tcPr>
            <w:tcW w:w="231" w:type="pct"/>
            <w:shd w:val="clear" w:color="auto" w:fill="auto"/>
            <w:noWrap/>
            <w:vAlign w:val="center"/>
          </w:tcPr>
          <w:p w14:paraId="13C7B6DD">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20490</w:t>
            </w:r>
          </w:p>
        </w:tc>
      </w:tr>
      <w:tr w14:paraId="5F8A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270" w:type="pct"/>
            <w:shd w:val="clear" w:color="auto" w:fill="auto"/>
            <w:noWrap/>
            <w:vAlign w:val="center"/>
          </w:tcPr>
          <w:p w14:paraId="5FAF0060">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56</w:t>
            </w:r>
          </w:p>
        </w:tc>
        <w:tc>
          <w:tcPr>
            <w:tcW w:w="548" w:type="pct"/>
            <w:shd w:val="clear" w:color="auto" w:fill="auto"/>
            <w:vAlign w:val="center"/>
          </w:tcPr>
          <w:p w14:paraId="3B2D608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三层栅格汤桶层架</w:t>
            </w:r>
          </w:p>
        </w:tc>
        <w:tc>
          <w:tcPr>
            <w:tcW w:w="502" w:type="pct"/>
            <w:shd w:val="clear" w:color="auto" w:fill="auto"/>
            <w:vAlign w:val="center"/>
          </w:tcPr>
          <w:p w14:paraId="1D1EB74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24130</wp:posOffset>
                  </wp:positionH>
                  <wp:positionV relativeFrom="paragraph">
                    <wp:posOffset>210820</wp:posOffset>
                  </wp:positionV>
                  <wp:extent cx="735330" cy="840105"/>
                  <wp:effectExtent l="0" t="0" r="7620" b="17145"/>
                  <wp:wrapNone/>
                  <wp:docPr id="85" name="ID_36A1FC0E4DF5483DB11B7E167C441430"/>
                  <wp:cNvGraphicFramePr/>
                  <a:graphic xmlns:a="http://schemas.openxmlformats.org/drawingml/2006/main">
                    <a:graphicData uri="http://schemas.openxmlformats.org/drawingml/2006/picture">
                      <pic:pic xmlns:pic="http://schemas.openxmlformats.org/drawingml/2006/picture">
                        <pic:nvPicPr>
                          <pic:cNvPr id="85" name="ID_36A1FC0E4DF5483DB11B7E167C441430"/>
                          <pic:cNvPicPr/>
                        </pic:nvPicPr>
                        <pic:blipFill>
                          <a:blip r:embed="rId42"/>
                          <a:stretch>
                            <a:fillRect/>
                          </a:stretch>
                        </pic:blipFill>
                        <pic:spPr>
                          <a:xfrm>
                            <a:off x="0" y="0"/>
                            <a:ext cx="735330" cy="840105"/>
                          </a:xfrm>
                          <a:prstGeom prst="rect">
                            <a:avLst/>
                          </a:prstGeom>
                          <a:noFill/>
                          <a:ln>
                            <a:noFill/>
                          </a:ln>
                        </pic:spPr>
                      </pic:pic>
                    </a:graphicData>
                  </a:graphic>
                </wp:anchor>
              </w:drawing>
            </w:r>
          </w:p>
        </w:tc>
        <w:tc>
          <w:tcPr>
            <w:tcW w:w="832" w:type="pct"/>
            <w:shd w:val="clear" w:color="auto" w:fill="auto"/>
            <w:vAlign w:val="center"/>
          </w:tcPr>
          <w:p w14:paraId="5807C9D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1500×500×1550mm</w:t>
            </w:r>
          </w:p>
        </w:tc>
        <w:tc>
          <w:tcPr>
            <w:tcW w:w="1559" w:type="pct"/>
            <w:shd w:val="clear" w:color="auto" w:fill="auto"/>
            <w:vAlign w:val="center"/>
          </w:tcPr>
          <w:p w14:paraId="1EDC1B8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三层栅格结构，层架整体使用框架嵌入式结构，适合放置汤桶、米面油等重物。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1.立柱：38×38×1.0mm304#不锈钢拉丝方管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2.横管：38×25×1.0mm304#不锈钢管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3.层管：25×13×1.0mm304#不锈钢管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4.底部配包钢可调脚，调节范围≥30mm。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5.所有连接点满焊牢固，焊缝打磨平整，外露边缘无毛刺整体酸洗钝化防锈处理。</w:t>
            </w:r>
          </w:p>
        </w:tc>
        <w:tc>
          <w:tcPr>
            <w:tcW w:w="376" w:type="pct"/>
            <w:shd w:val="clear" w:color="auto" w:fill="auto"/>
            <w:noWrap/>
            <w:vAlign w:val="center"/>
          </w:tcPr>
          <w:p w14:paraId="347B3273">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76EDD7C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1CECC53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个</w:t>
            </w:r>
          </w:p>
        </w:tc>
        <w:tc>
          <w:tcPr>
            <w:tcW w:w="226" w:type="pct"/>
            <w:shd w:val="clear" w:color="auto" w:fill="auto"/>
            <w:noWrap/>
            <w:vAlign w:val="center"/>
          </w:tcPr>
          <w:p w14:paraId="1C0D0FC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1450</w:t>
            </w:r>
          </w:p>
        </w:tc>
        <w:tc>
          <w:tcPr>
            <w:tcW w:w="231" w:type="pct"/>
            <w:shd w:val="clear" w:color="auto" w:fill="auto"/>
            <w:noWrap/>
            <w:vAlign w:val="center"/>
          </w:tcPr>
          <w:p w14:paraId="6C46F02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1450</w:t>
            </w:r>
          </w:p>
        </w:tc>
      </w:tr>
      <w:tr w14:paraId="559C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vAlign w:val="center"/>
          </w:tcPr>
          <w:p w14:paraId="433C34C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J</w:t>
            </w:r>
          </w:p>
        </w:tc>
        <w:tc>
          <w:tcPr>
            <w:tcW w:w="548" w:type="pct"/>
            <w:shd w:val="clear" w:color="auto" w:fill="auto"/>
            <w:vAlign w:val="center"/>
          </w:tcPr>
          <w:p w14:paraId="6CBF13F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熟食间</w:t>
            </w:r>
          </w:p>
        </w:tc>
        <w:tc>
          <w:tcPr>
            <w:tcW w:w="502" w:type="pct"/>
            <w:shd w:val="clear" w:color="auto" w:fill="auto"/>
            <w:noWrap/>
            <w:vAlign w:val="center"/>
          </w:tcPr>
          <w:p w14:paraId="050BD678">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7E23980D">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FE4679C">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04D47EF1">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2DCF458A">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307255DC">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73B09852">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0F33830E">
            <w:pPr>
              <w:jc w:val="center"/>
              <w:rPr>
                <w:rFonts w:hint="eastAsia" w:ascii="仿宋" w:hAnsi="仿宋" w:eastAsia="仿宋" w:cs="仿宋"/>
                <w:i w:val="0"/>
                <w:iCs w:val="0"/>
                <w:color w:val="000000"/>
                <w:sz w:val="18"/>
                <w:szCs w:val="18"/>
                <w:highlight w:val="none"/>
                <w:u w:val="none"/>
              </w:rPr>
            </w:pPr>
          </w:p>
        </w:tc>
      </w:tr>
      <w:tr w14:paraId="7A6D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trPr>
        <w:tc>
          <w:tcPr>
            <w:tcW w:w="270" w:type="pct"/>
            <w:shd w:val="clear" w:color="auto" w:fill="auto"/>
            <w:noWrap/>
            <w:vAlign w:val="center"/>
          </w:tcPr>
          <w:p w14:paraId="5F79332A">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57</w:t>
            </w:r>
          </w:p>
        </w:tc>
        <w:tc>
          <w:tcPr>
            <w:tcW w:w="548" w:type="pct"/>
            <w:shd w:val="clear" w:color="auto" w:fill="auto"/>
            <w:vAlign w:val="center"/>
          </w:tcPr>
          <w:p w14:paraId="431EF7A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5DD9512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35560</wp:posOffset>
                  </wp:positionH>
                  <wp:positionV relativeFrom="paragraph">
                    <wp:posOffset>302895</wp:posOffset>
                  </wp:positionV>
                  <wp:extent cx="744855" cy="635635"/>
                  <wp:effectExtent l="0" t="0" r="17145" b="12065"/>
                  <wp:wrapNone/>
                  <wp:docPr id="120" name="ID_497AC02572CD494D8A4653A32114579D_SpCnt_6"/>
                  <wp:cNvGraphicFramePr/>
                  <a:graphic xmlns:a="http://schemas.openxmlformats.org/drawingml/2006/main">
                    <a:graphicData uri="http://schemas.openxmlformats.org/drawingml/2006/picture">
                      <pic:pic xmlns:pic="http://schemas.openxmlformats.org/drawingml/2006/picture">
                        <pic:nvPicPr>
                          <pic:cNvPr id="120" name="ID_497AC02572CD494D8A4653A32114579D_SpCnt_6"/>
                          <pic:cNvPicPr/>
                        </pic:nvPicPr>
                        <pic:blipFill>
                          <a:blip r:embed="rId8"/>
                          <a:stretch>
                            <a:fillRect/>
                          </a:stretch>
                        </pic:blipFill>
                        <pic:spPr>
                          <a:xfrm>
                            <a:off x="0" y="0"/>
                            <a:ext cx="744855" cy="635635"/>
                          </a:xfrm>
                          <a:prstGeom prst="rect">
                            <a:avLst/>
                          </a:prstGeom>
                          <a:noFill/>
                          <a:ln>
                            <a:noFill/>
                          </a:ln>
                        </pic:spPr>
                      </pic:pic>
                    </a:graphicData>
                  </a:graphic>
                </wp:anchor>
              </w:drawing>
            </w:r>
          </w:p>
        </w:tc>
        <w:tc>
          <w:tcPr>
            <w:tcW w:w="832" w:type="pct"/>
            <w:shd w:val="clear" w:color="auto" w:fill="auto"/>
            <w:vAlign w:val="center"/>
          </w:tcPr>
          <w:p w14:paraId="2C3A157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225B4EC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5F409A9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0CB6328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3D9D1C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B5176A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1FAF30E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71D34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3" w:hRule="atLeast"/>
        </w:trPr>
        <w:tc>
          <w:tcPr>
            <w:tcW w:w="270" w:type="pct"/>
            <w:shd w:val="clear" w:color="auto" w:fill="auto"/>
            <w:noWrap/>
            <w:vAlign w:val="center"/>
          </w:tcPr>
          <w:p w14:paraId="7D07A14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58</w:t>
            </w:r>
          </w:p>
        </w:tc>
        <w:tc>
          <w:tcPr>
            <w:tcW w:w="548" w:type="pct"/>
            <w:shd w:val="clear" w:color="auto" w:fill="auto"/>
            <w:vAlign w:val="center"/>
          </w:tcPr>
          <w:p w14:paraId="4FCD003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电开水器（连底座）</w:t>
            </w:r>
          </w:p>
        </w:tc>
        <w:tc>
          <w:tcPr>
            <w:tcW w:w="502" w:type="pct"/>
            <w:shd w:val="clear" w:color="auto" w:fill="auto"/>
            <w:vAlign w:val="top"/>
          </w:tcPr>
          <w:p w14:paraId="59C95CB6">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3175</wp:posOffset>
                  </wp:positionH>
                  <wp:positionV relativeFrom="paragraph">
                    <wp:posOffset>803275</wp:posOffset>
                  </wp:positionV>
                  <wp:extent cx="704215" cy="1076325"/>
                  <wp:effectExtent l="0" t="0" r="635" b="9525"/>
                  <wp:wrapNone/>
                  <wp:docPr id="90" name="ID_2A6889E1093A48B38419C81A06AE324B"/>
                  <wp:cNvGraphicFramePr/>
                  <a:graphic xmlns:a="http://schemas.openxmlformats.org/drawingml/2006/main">
                    <a:graphicData uri="http://schemas.openxmlformats.org/drawingml/2006/picture">
                      <pic:pic xmlns:pic="http://schemas.openxmlformats.org/drawingml/2006/picture">
                        <pic:nvPicPr>
                          <pic:cNvPr id="90" name="ID_2A6889E1093A48B38419C81A06AE324B"/>
                          <pic:cNvPicPr/>
                        </pic:nvPicPr>
                        <pic:blipFill>
                          <a:blip r:embed="rId43"/>
                          <a:stretch>
                            <a:fillRect/>
                          </a:stretch>
                        </pic:blipFill>
                        <pic:spPr>
                          <a:xfrm>
                            <a:off x="0" y="0"/>
                            <a:ext cx="704215" cy="1076325"/>
                          </a:xfrm>
                          <a:prstGeom prst="rect">
                            <a:avLst/>
                          </a:prstGeom>
                          <a:noFill/>
                          <a:ln>
                            <a:noFill/>
                          </a:ln>
                        </pic:spPr>
                      </pic:pic>
                    </a:graphicData>
                  </a:graphic>
                </wp:anchor>
              </w:drawing>
            </w:r>
          </w:p>
        </w:tc>
        <w:tc>
          <w:tcPr>
            <w:tcW w:w="832" w:type="pct"/>
            <w:shd w:val="clear" w:color="auto" w:fill="auto"/>
            <w:vAlign w:val="center"/>
          </w:tcPr>
          <w:p w14:paraId="35CB620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857359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一、结构：带底座，步进式加热，数显温度（0-100℃），三级过滤，配4分进水管。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1.内胆：304不锈钢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2.外壳：201不锈钢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1.产水量：70L/h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2.适用人数：35～65人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3.功率/电压：6kW/380V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4.接水方式：自来水接口</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5.温度显示范围：0-100℃</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6.安全保护：防干烧、缺相过载保护</w:t>
            </w:r>
          </w:p>
        </w:tc>
        <w:tc>
          <w:tcPr>
            <w:tcW w:w="376" w:type="pct"/>
            <w:shd w:val="clear" w:color="auto" w:fill="auto"/>
            <w:noWrap/>
            <w:vAlign w:val="center"/>
          </w:tcPr>
          <w:p w14:paraId="513B72E2">
            <w:pPr>
              <w:jc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三鼎、裕特、厨贝</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52BB579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3C7B36E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6D8182C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2EB2340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r>
      <w:tr w14:paraId="0455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9" w:hRule="atLeast"/>
        </w:trPr>
        <w:tc>
          <w:tcPr>
            <w:tcW w:w="270" w:type="pct"/>
            <w:shd w:val="clear" w:color="auto" w:fill="auto"/>
            <w:noWrap/>
            <w:vAlign w:val="center"/>
          </w:tcPr>
          <w:p w14:paraId="72EB85A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59</w:t>
            </w:r>
          </w:p>
        </w:tc>
        <w:tc>
          <w:tcPr>
            <w:tcW w:w="548" w:type="pct"/>
            <w:shd w:val="clear" w:color="auto" w:fill="auto"/>
            <w:vAlign w:val="center"/>
          </w:tcPr>
          <w:p w14:paraId="296A54B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冷藏工作台</w:t>
            </w:r>
          </w:p>
        </w:tc>
        <w:tc>
          <w:tcPr>
            <w:tcW w:w="502" w:type="pct"/>
            <w:shd w:val="clear" w:color="auto" w:fill="auto"/>
            <w:vAlign w:val="top"/>
          </w:tcPr>
          <w:p w14:paraId="25661B44">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41910</wp:posOffset>
                  </wp:positionH>
                  <wp:positionV relativeFrom="paragraph">
                    <wp:posOffset>1132205</wp:posOffset>
                  </wp:positionV>
                  <wp:extent cx="774700" cy="514985"/>
                  <wp:effectExtent l="0" t="0" r="6350" b="18415"/>
                  <wp:wrapNone/>
                  <wp:docPr id="87" name="ID_3BDF7A11DDDB41BA9537C7222B035DAE"/>
                  <wp:cNvGraphicFramePr/>
                  <a:graphic xmlns:a="http://schemas.openxmlformats.org/drawingml/2006/main">
                    <a:graphicData uri="http://schemas.openxmlformats.org/drawingml/2006/picture">
                      <pic:pic xmlns:pic="http://schemas.openxmlformats.org/drawingml/2006/picture">
                        <pic:nvPicPr>
                          <pic:cNvPr id="87" name="ID_3BDF7A11DDDB41BA9537C7222B035DAE"/>
                          <pic:cNvPicPr/>
                        </pic:nvPicPr>
                        <pic:blipFill>
                          <a:blip r:embed="rId44"/>
                          <a:stretch>
                            <a:fillRect/>
                          </a:stretch>
                        </pic:blipFill>
                        <pic:spPr>
                          <a:xfrm>
                            <a:off x="0" y="0"/>
                            <a:ext cx="774700" cy="514985"/>
                          </a:xfrm>
                          <a:prstGeom prst="rect">
                            <a:avLst/>
                          </a:prstGeom>
                          <a:noFill/>
                          <a:ln>
                            <a:noFill/>
                          </a:ln>
                        </pic:spPr>
                      </pic:pic>
                    </a:graphicData>
                  </a:graphic>
                </wp:anchor>
              </w:drawing>
            </w:r>
          </w:p>
        </w:tc>
        <w:tc>
          <w:tcPr>
            <w:tcW w:w="832" w:type="pct"/>
            <w:shd w:val="clear" w:color="auto" w:fill="auto"/>
            <w:vAlign w:val="center"/>
          </w:tcPr>
          <w:p w14:paraId="493B5EA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4127FCDA">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一、结构：风冷冷藏工作台，自动回归门，全铜管制冷，智能精准温控（0℃～10℃），容量467L。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1.外壳、内胆：201不锈钢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2.制冷管：全铜管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2.功率：0.3kW</w:t>
            </w:r>
          </w:p>
          <w:p w14:paraId="4C9E1272">
            <w:pPr>
              <w:keepNext w:val="0"/>
              <w:keepLines w:val="0"/>
              <w:widowControl/>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lang w:eastAsia="zh-CN" w:bidi="ar"/>
              </w:rPr>
            </w:pPr>
            <w:r>
              <w:rPr>
                <w:rFonts w:hint="eastAsia" w:ascii="仿宋" w:hAnsi="仿宋" w:eastAsia="仿宋" w:cs="仿宋"/>
                <w:i w:val="0"/>
                <w:iCs w:val="0"/>
                <w:color w:val="000000"/>
                <w:kern w:val="0"/>
                <w:sz w:val="18"/>
                <w:szCs w:val="18"/>
                <w:highlight w:val="none"/>
                <w:u w:val="none"/>
                <w:lang w:val="en-US" w:eastAsia="zh-CN" w:bidi="ar"/>
              </w:rPr>
              <w:t>3.能效等级：一级，</w:t>
            </w:r>
            <w:r>
              <w:rPr>
                <w:rFonts w:hint="eastAsia" w:ascii="仿宋" w:hAnsi="仿宋" w:eastAsia="仿宋" w:cs="仿宋"/>
                <w:i w:val="0"/>
                <w:iCs w:val="0"/>
                <w:caps w:val="0"/>
                <w:color w:val="000000"/>
                <w:spacing w:val="0"/>
                <w:kern w:val="0"/>
                <w:sz w:val="18"/>
                <w:szCs w:val="18"/>
                <w:highlight w:val="none"/>
                <w:u w:val="none"/>
                <w:shd w:val="clear" w:fill="auto"/>
                <w:lang w:bidi="ar"/>
              </w:rPr>
              <w:t>依据 GB</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 xml:space="preserve"> </w:t>
            </w:r>
            <w:r>
              <w:rPr>
                <w:rFonts w:hint="eastAsia" w:ascii="仿宋" w:hAnsi="仿宋" w:eastAsia="仿宋" w:cs="仿宋"/>
                <w:i w:val="0"/>
                <w:iCs w:val="0"/>
                <w:caps w:val="0"/>
                <w:color w:val="000000"/>
                <w:spacing w:val="0"/>
                <w:kern w:val="0"/>
                <w:sz w:val="18"/>
                <w:szCs w:val="18"/>
                <w:highlight w:val="none"/>
                <w:u w:val="none"/>
                <w:shd w:val="clear" w:fill="auto"/>
                <w:lang w:bidi="ar"/>
              </w:rPr>
              <w:t>26920-2024</w:t>
            </w:r>
            <w:r>
              <w:rPr>
                <w:rFonts w:hint="eastAsia" w:ascii="仿宋" w:hAnsi="仿宋" w:eastAsia="仿宋" w:cs="仿宋"/>
                <w:i w:val="0"/>
                <w:iCs w:val="0"/>
                <w:color w:val="000000"/>
                <w:kern w:val="0"/>
                <w:sz w:val="18"/>
                <w:szCs w:val="18"/>
                <w:highlight w:val="none"/>
                <w:u w:val="none"/>
                <w:lang w:bidi="ar"/>
              </w:rPr>
              <w:t>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fill="auto"/>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进行判定</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以下任一证明材料（须</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加盖供应商公章</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（1）</w:t>
            </w:r>
            <w:r>
              <w:rPr>
                <w:rFonts w:hint="eastAsia" w:ascii="仿宋" w:hAnsi="仿宋" w:eastAsia="仿宋" w:cs="仿宋"/>
                <w:i w:val="0"/>
                <w:iCs w:val="0"/>
                <w:caps w:val="0"/>
                <w:color w:val="000000"/>
                <w:spacing w:val="0"/>
                <w:kern w:val="0"/>
                <w:sz w:val="18"/>
                <w:szCs w:val="18"/>
                <w:highlight w:val="none"/>
                <w:u w:val="none"/>
                <w:shd w:val="clear"/>
                <w:lang w:bidi="ar"/>
              </w:rPr>
              <w:t>中国能效标识网（</w:t>
            </w:r>
            <w:r>
              <w:rPr>
                <w:rFonts w:hint="eastAsia" w:ascii="仿宋" w:hAnsi="仿宋" w:eastAsia="仿宋" w:cs="仿宋"/>
                <w:i w:val="0"/>
                <w:iCs w:val="0"/>
                <w:caps w:val="0"/>
                <w:color w:val="000000"/>
                <w:spacing w:val="0"/>
                <w:kern w:val="0"/>
                <w:sz w:val="18"/>
                <w:szCs w:val="18"/>
                <w:highlight w:val="none"/>
                <w:u w:val="none"/>
                <w:shd w:val="clear"/>
                <w:lang w:bidi="ar"/>
              </w:rPr>
              <w:fldChar w:fldCharType="begin"/>
            </w:r>
            <w:r>
              <w:rPr>
                <w:rFonts w:hint="eastAsia" w:ascii="仿宋" w:hAnsi="仿宋" w:eastAsia="仿宋" w:cs="仿宋"/>
                <w:i w:val="0"/>
                <w:iCs w:val="0"/>
                <w:caps w:val="0"/>
                <w:color w:val="000000"/>
                <w:spacing w:val="0"/>
                <w:kern w:val="0"/>
                <w:sz w:val="18"/>
                <w:szCs w:val="18"/>
                <w:highlight w:val="none"/>
                <w:u w:val="none"/>
                <w:shd w:val="clear"/>
                <w:lang w:bidi="ar"/>
              </w:rPr>
              <w:instrText xml:space="preserve"> HYPERLINK "https://www.energylabel.com.cn/" \t "https://chat.deepseek.com/a/chat/s/_blank" </w:instrText>
            </w:r>
            <w:r>
              <w:rPr>
                <w:rFonts w:hint="eastAsia" w:ascii="仿宋" w:hAnsi="仿宋" w:eastAsia="仿宋" w:cs="仿宋"/>
                <w:i w:val="0"/>
                <w:iCs w:val="0"/>
                <w:caps w:val="0"/>
                <w:color w:val="000000"/>
                <w:spacing w:val="0"/>
                <w:kern w:val="0"/>
                <w:sz w:val="18"/>
                <w:szCs w:val="18"/>
                <w:highlight w:val="none"/>
                <w:u w:val="none"/>
                <w:shd w:val="clear"/>
                <w:lang w:bidi="ar"/>
              </w:rPr>
              <w:fldChar w:fldCharType="separate"/>
            </w:r>
            <w:r>
              <w:rPr>
                <w:rFonts w:hint="eastAsia" w:ascii="仿宋" w:hAnsi="仿宋" w:eastAsia="仿宋" w:cs="仿宋"/>
                <w:i w:val="0"/>
                <w:iCs w:val="0"/>
                <w:caps w:val="0"/>
                <w:color w:val="000000"/>
                <w:spacing w:val="0"/>
                <w:kern w:val="0"/>
                <w:sz w:val="18"/>
                <w:szCs w:val="18"/>
                <w:highlight w:val="none"/>
                <w:u w:val="none"/>
                <w:shd w:val="clear"/>
                <w:lang w:bidi="ar"/>
              </w:rPr>
              <w:t>https://www.energylabel.com.cn</w:t>
            </w:r>
            <w:r>
              <w:rPr>
                <w:rFonts w:hint="eastAsia" w:ascii="仿宋" w:hAnsi="仿宋" w:eastAsia="仿宋" w:cs="仿宋"/>
                <w:i w:val="0"/>
                <w:iCs w:val="0"/>
                <w:caps w:val="0"/>
                <w:color w:val="000000"/>
                <w:spacing w:val="0"/>
                <w:kern w:val="0"/>
                <w:sz w:val="18"/>
                <w:szCs w:val="18"/>
                <w:highlight w:val="none"/>
                <w:u w:val="none"/>
                <w:shd w:val="clear"/>
                <w:lang w:bidi="ar"/>
              </w:rPr>
              <w:fldChar w:fldCharType="end"/>
            </w:r>
            <w:r>
              <w:rPr>
                <w:rFonts w:hint="eastAsia" w:ascii="仿宋" w:hAnsi="仿宋" w:eastAsia="仿宋" w:cs="仿宋"/>
                <w:i w:val="0"/>
                <w:iCs w:val="0"/>
                <w:caps w:val="0"/>
                <w:color w:val="000000"/>
                <w:spacing w:val="0"/>
                <w:kern w:val="0"/>
                <w:sz w:val="18"/>
                <w:szCs w:val="18"/>
                <w:highlight w:val="none"/>
                <w:u w:val="none"/>
                <w:shd w:val="clear"/>
                <w:lang w:bidi="ar"/>
              </w:rPr>
              <w:t>）备案查询截图（截图须清晰显示产品型号</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能效等级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及依据的</w:t>
            </w:r>
            <w:r>
              <w:rPr>
                <w:rFonts w:hint="eastAsia" w:ascii="仿宋" w:hAnsi="仿宋" w:eastAsia="仿宋" w:cs="仿宋"/>
                <w:i w:val="0"/>
                <w:iCs w:val="0"/>
                <w:caps w:val="0"/>
                <w:color w:val="000000"/>
                <w:spacing w:val="0"/>
                <w:kern w:val="0"/>
                <w:sz w:val="18"/>
                <w:szCs w:val="18"/>
                <w:highlight w:val="none"/>
                <w:u w:val="none"/>
                <w:shd w:val="clear"/>
                <w:lang w:bidi="ar"/>
              </w:rPr>
              <w:t>标准）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由具备CMA资质的第三方检测机构出具的检测报告复印件（须清晰显示能效等级判定结果，并载明检测依据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p>
          <w:p w14:paraId="5D3F6CA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aps w:val="0"/>
                <w:color w:val="000000"/>
                <w:spacing w:val="0"/>
                <w:kern w:val="0"/>
                <w:sz w:val="18"/>
                <w:szCs w:val="18"/>
                <w:highlight w:val="none"/>
                <w:u w:val="none"/>
                <w:shd w:val="clear"/>
                <w:lang w:val="en-US" w:eastAsia="zh-CN" w:bidi="ar"/>
              </w:rPr>
              <w:t>说明：（1）</w:t>
            </w:r>
            <w:r>
              <w:rPr>
                <w:rFonts w:hint="eastAsia" w:ascii="仿宋" w:hAnsi="仿宋" w:eastAsia="仿宋" w:cs="仿宋"/>
                <w:i w:val="0"/>
                <w:iCs w:val="0"/>
                <w:caps w:val="0"/>
                <w:color w:val="000000"/>
                <w:spacing w:val="0"/>
                <w:kern w:val="0"/>
                <w:sz w:val="18"/>
                <w:szCs w:val="18"/>
                <w:highlight w:val="none"/>
                <w:u w:val="none"/>
                <w:shd w:val="clear"/>
                <w:lang w:bidi="ar"/>
              </w:rPr>
              <w:t>评审时</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专家</w:t>
            </w:r>
            <w:r>
              <w:rPr>
                <w:rFonts w:hint="eastAsia" w:ascii="仿宋" w:hAnsi="仿宋" w:eastAsia="仿宋" w:cs="仿宋"/>
                <w:i w:val="0"/>
                <w:iCs w:val="0"/>
                <w:caps w:val="0"/>
                <w:color w:val="000000"/>
                <w:spacing w:val="0"/>
                <w:kern w:val="0"/>
                <w:sz w:val="18"/>
                <w:szCs w:val="18"/>
                <w:highlight w:val="none"/>
                <w:u w:val="none"/>
                <w:shd w:val="clear"/>
                <w:lang w:bidi="ar"/>
              </w:rPr>
              <w:t>有权通过中国能效标识网对能效等级进行核实。核实结果与供应商提供的证明材料不一致的，以中国能效标识网备案数据为准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如所投产品不在中国能效标识网备案范围内，则以检测报告为准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证明材料即</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或</w:t>
            </w:r>
            <w:r>
              <w:rPr>
                <w:rFonts w:hint="eastAsia" w:ascii="仿宋" w:hAnsi="仿宋" w:eastAsia="仿宋" w:cs="仿宋"/>
                <w:i w:val="0"/>
                <w:iCs w:val="0"/>
                <w:caps w:val="0"/>
                <w:color w:val="000000"/>
                <w:spacing w:val="0"/>
                <w:kern w:val="0"/>
                <w:sz w:val="18"/>
                <w:szCs w:val="18"/>
                <w:highlight w:val="none"/>
                <w:u w:val="none"/>
                <w:shd w:val="clear"/>
                <w:lang w:bidi="ar"/>
              </w:rPr>
              <w:t>备案截图所载明的产品型号均须与所投产品型号完全一致，否则视为负偏离。</w:t>
            </w:r>
          </w:p>
        </w:tc>
        <w:tc>
          <w:tcPr>
            <w:tcW w:w="376" w:type="pct"/>
            <w:shd w:val="clear" w:color="auto" w:fill="auto"/>
            <w:vAlign w:val="center"/>
          </w:tcPr>
          <w:p w14:paraId="47B6754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星星、美厨、澳柯玛</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075DB60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2906AE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1555536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4250</w:t>
            </w:r>
          </w:p>
        </w:tc>
        <w:tc>
          <w:tcPr>
            <w:tcW w:w="231" w:type="pct"/>
            <w:shd w:val="clear" w:color="auto" w:fill="auto"/>
            <w:noWrap/>
            <w:vAlign w:val="center"/>
          </w:tcPr>
          <w:p w14:paraId="1495845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4250</w:t>
            </w:r>
          </w:p>
        </w:tc>
      </w:tr>
      <w:tr w14:paraId="03C7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3" w:hRule="atLeast"/>
        </w:trPr>
        <w:tc>
          <w:tcPr>
            <w:tcW w:w="270" w:type="pct"/>
            <w:shd w:val="clear" w:color="auto" w:fill="auto"/>
            <w:noWrap/>
            <w:vAlign w:val="center"/>
          </w:tcPr>
          <w:p w14:paraId="14DBEF8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60</w:t>
            </w:r>
          </w:p>
        </w:tc>
        <w:tc>
          <w:tcPr>
            <w:tcW w:w="548" w:type="pct"/>
            <w:shd w:val="clear" w:color="auto" w:fill="auto"/>
            <w:vAlign w:val="center"/>
          </w:tcPr>
          <w:p w14:paraId="14469B8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单星盆台</w:t>
            </w:r>
          </w:p>
        </w:tc>
        <w:tc>
          <w:tcPr>
            <w:tcW w:w="502" w:type="pct"/>
            <w:shd w:val="clear" w:color="auto" w:fill="auto"/>
            <w:vAlign w:val="center"/>
          </w:tcPr>
          <w:p w14:paraId="4FC9D7F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304800</wp:posOffset>
                  </wp:positionV>
                  <wp:extent cx="784860" cy="612140"/>
                  <wp:effectExtent l="0" t="0" r="15240" b="16510"/>
                  <wp:wrapNone/>
                  <wp:docPr id="99" name="ID_5DBB63DC6F0D4205B572B99F3349B047"/>
                  <wp:cNvGraphicFramePr/>
                  <a:graphic xmlns:a="http://schemas.openxmlformats.org/drawingml/2006/main">
                    <a:graphicData uri="http://schemas.openxmlformats.org/drawingml/2006/picture">
                      <pic:pic xmlns:pic="http://schemas.openxmlformats.org/drawingml/2006/picture">
                        <pic:nvPicPr>
                          <pic:cNvPr id="99" name="ID_5DBB63DC6F0D4205B572B99F3349B047"/>
                          <pic:cNvPicPr/>
                        </pic:nvPicPr>
                        <pic:blipFill>
                          <a:blip r:embed="rId37"/>
                          <a:stretch>
                            <a:fillRect/>
                          </a:stretch>
                        </pic:blipFill>
                        <pic:spPr>
                          <a:xfrm>
                            <a:off x="0" y="0"/>
                            <a:ext cx="784860" cy="612140"/>
                          </a:xfrm>
                          <a:prstGeom prst="rect">
                            <a:avLst/>
                          </a:prstGeom>
                          <a:noFill/>
                          <a:ln>
                            <a:noFill/>
                          </a:ln>
                        </pic:spPr>
                      </pic:pic>
                    </a:graphicData>
                  </a:graphic>
                </wp:anchor>
              </w:drawing>
            </w:r>
          </w:p>
        </w:tc>
        <w:tc>
          <w:tcPr>
            <w:tcW w:w="832" w:type="pct"/>
            <w:shd w:val="clear" w:color="auto" w:fill="auto"/>
            <w:vAlign w:val="center"/>
          </w:tcPr>
          <w:p w14:paraId="46EE0FD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700×700×800mm，后挡水高度150mm</w:t>
            </w:r>
          </w:p>
        </w:tc>
        <w:tc>
          <w:tcPr>
            <w:tcW w:w="1559" w:type="pct"/>
            <w:shd w:val="clear" w:color="auto" w:fill="auto"/>
            <w:vAlign w:val="center"/>
          </w:tcPr>
          <w:p w14:paraId="74B8198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一、结构：单星盆带背挡水及前滴水沿，盆斗与台面一体拉伸或无缝焊接，台面四周向下双曲压弯40mm，支架满焊牢固并配可调节防滑地脚。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vAlign w:val="center"/>
          </w:tcPr>
          <w:p w14:paraId="564BD4A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6D6F3FA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01FA649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4347539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c>
          <w:tcPr>
            <w:tcW w:w="231" w:type="pct"/>
            <w:shd w:val="clear" w:color="auto" w:fill="auto"/>
            <w:noWrap/>
            <w:vAlign w:val="center"/>
          </w:tcPr>
          <w:p w14:paraId="1DFB91C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r>
      <w:tr w14:paraId="4F2D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1" w:hRule="atLeast"/>
        </w:trPr>
        <w:tc>
          <w:tcPr>
            <w:tcW w:w="270" w:type="pct"/>
            <w:shd w:val="clear" w:color="auto" w:fill="auto"/>
            <w:noWrap/>
            <w:vAlign w:val="center"/>
          </w:tcPr>
          <w:p w14:paraId="280A052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61</w:t>
            </w:r>
          </w:p>
        </w:tc>
        <w:tc>
          <w:tcPr>
            <w:tcW w:w="548" w:type="pct"/>
            <w:shd w:val="clear" w:color="auto" w:fill="auto"/>
            <w:vAlign w:val="center"/>
          </w:tcPr>
          <w:p w14:paraId="7256FAA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单通移门荷台柜</w:t>
            </w:r>
          </w:p>
        </w:tc>
        <w:tc>
          <w:tcPr>
            <w:tcW w:w="502" w:type="pct"/>
            <w:shd w:val="clear" w:color="auto" w:fill="auto"/>
            <w:vAlign w:val="top"/>
          </w:tcPr>
          <w:p w14:paraId="73349B43">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27940</wp:posOffset>
                  </wp:positionH>
                  <wp:positionV relativeFrom="paragraph">
                    <wp:posOffset>732155</wp:posOffset>
                  </wp:positionV>
                  <wp:extent cx="774065" cy="561975"/>
                  <wp:effectExtent l="0" t="0" r="6985" b="9525"/>
                  <wp:wrapNone/>
                  <wp:docPr id="88" name="ID_9548C0D174974D98AB34569E7CDE8257_SpCnt_1"/>
                  <wp:cNvGraphicFramePr/>
                  <a:graphic xmlns:a="http://schemas.openxmlformats.org/drawingml/2006/main">
                    <a:graphicData uri="http://schemas.openxmlformats.org/drawingml/2006/picture">
                      <pic:pic xmlns:pic="http://schemas.openxmlformats.org/drawingml/2006/picture">
                        <pic:nvPicPr>
                          <pic:cNvPr id="88" name="ID_9548C0D174974D98AB34569E7CDE8257_SpCnt_1"/>
                          <pic:cNvPicPr/>
                        </pic:nvPicPr>
                        <pic:blipFill>
                          <a:blip r:embed="rId32"/>
                          <a:stretch>
                            <a:fillRect/>
                          </a:stretch>
                        </pic:blipFill>
                        <pic:spPr>
                          <a:xfrm>
                            <a:off x="0" y="0"/>
                            <a:ext cx="774065" cy="561975"/>
                          </a:xfrm>
                          <a:prstGeom prst="rect">
                            <a:avLst/>
                          </a:prstGeom>
                          <a:noFill/>
                          <a:ln>
                            <a:noFill/>
                          </a:ln>
                        </pic:spPr>
                      </pic:pic>
                    </a:graphicData>
                  </a:graphic>
                </wp:anchor>
              </w:drawing>
            </w:r>
          </w:p>
        </w:tc>
        <w:tc>
          <w:tcPr>
            <w:tcW w:w="832" w:type="pct"/>
            <w:shd w:val="clear" w:color="auto" w:fill="auto"/>
            <w:vAlign w:val="center"/>
          </w:tcPr>
          <w:p w14:paraId="0BAF516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1800×700×800mm</w:t>
            </w:r>
          </w:p>
        </w:tc>
        <w:tc>
          <w:tcPr>
            <w:tcW w:w="1559" w:type="pct"/>
            <w:shd w:val="clear" w:color="auto" w:fill="auto"/>
            <w:vAlign w:val="center"/>
          </w:tcPr>
          <w:p w14:paraId="28C80C7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一、结构：单通移门荷台柜，趟门设计。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1.台面：1.2mm厚304不锈钢板，下衬15mm防潮夹木板及双工字型1.0mm不锈钢方通加强筋，种钉加固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2.层板、底板、侧板：1.2mm厚304不锈钢板，内部各衬2条1.0mm不锈钢方通加强筋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3.趟门：1.0mm厚304不锈钢板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4.脚：4个Ф51mm304不锈钢可调脚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5.焊接与表面处理：满焊及内角鱼鳞焊，焊口羊毛轮抛光打蜡，拉丝纹路一致，光滑无毛刺</w:t>
            </w:r>
          </w:p>
        </w:tc>
        <w:tc>
          <w:tcPr>
            <w:tcW w:w="376" w:type="pct"/>
            <w:shd w:val="clear" w:color="auto" w:fill="auto"/>
            <w:vAlign w:val="center"/>
          </w:tcPr>
          <w:p w14:paraId="7E36D06C">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C57490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001220B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38A852A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2950</w:t>
            </w:r>
          </w:p>
        </w:tc>
        <w:tc>
          <w:tcPr>
            <w:tcW w:w="231" w:type="pct"/>
            <w:shd w:val="clear" w:color="auto" w:fill="auto"/>
            <w:noWrap/>
            <w:vAlign w:val="center"/>
          </w:tcPr>
          <w:p w14:paraId="483822A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2950</w:t>
            </w:r>
          </w:p>
        </w:tc>
      </w:tr>
      <w:tr w14:paraId="09E7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vAlign w:val="center"/>
          </w:tcPr>
          <w:p w14:paraId="48DF030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K</w:t>
            </w:r>
          </w:p>
        </w:tc>
        <w:tc>
          <w:tcPr>
            <w:tcW w:w="548" w:type="pct"/>
            <w:shd w:val="clear" w:color="auto" w:fill="auto"/>
            <w:vAlign w:val="center"/>
          </w:tcPr>
          <w:p w14:paraId="2343A39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出品间</w:t>
            </w:r>
          </w:p>
        </w:tc>
        <w:tc>
          <w:tcPr>
            <w:tcW w:w="502" w:type="pct"/>
            <w:shd w:val="clear" w:color="auto" w:fill="auto"/>
            <w:vAlign w:val="center"/>
          </w:tcPr>
          <w:p w14:paraId="4807206E">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289AC93B">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4E398B73">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334FC61E">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2299A9EF">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4BB0DED8">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014F0711">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7EAA7EEF">
            <w:pPr>
              <w:jc w:val="center"/>
              <w:rPr>
                <w:rFonts w:hint="eastAsia" w:ascii="仿宋" w:hAnsi="仿宋" w:eastAsia="仿宋" w:cs="仿宋"/>
                <w:i w:val="0"/>
                <w:iCs w:val="0"/>
                <w:color w:val="000000"/>
                <w:sz w:val="18"/>
                <w:szCs w:val="18"/>
                <w:highlight w:val="none"/>
                <w:u w:val="none"/>
              </w:rPr>
            </w:pPr>
          </w:p>
        </w:tc>
      </w:tr>
      <w:tr w14:paraId="6165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70" w:type="pct"/>
            <w:shd w:val="clear" w:color="auto" w:fill="auto"/>
            <w:vAlign w:val="center"/>
          </w:tcPr>
          <w:p w14:paraId="2A6CA07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62</w:t>
            </w:r>
          </w:p>
        </w:tc>
        <w:tc>
          <w:tcPr>
            <w:tcW w:w="548" w:type="pct"/>
            <w:shd w:val="clear" w:color="auto" w:fill="auto"/>
            <w:vAlign w:val="center"/>
          </w:tcPr>
          <w:p w14:paraId="4938DA3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16ADF16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44450</wp:posOffset>
                  </wp:positionH>
                  <wp:positionV relativeFrom="paragraph">
                    <wp:posOffset>53340</wp:posOffset>
                  </wp:positionV>
                  <wp:extent cx="698500" cy="377190"/>
                  <wp:effectExtent l="0" t="0" r="6350" b="3810"/>
                  <wp:wrapNone/>
                  <wp:docPr id="122" name="ID_497AC02572CD494D8A4653A32114579D_SpCnt_7"/>
                  <wp:cNvGraphicFramePr/>
                  <a:graphic xmlns:a="http://schemas.openxmlformats.org/drawingml/2006/main">
                    <a:graphicData uri="http://schemas.openxmlformats.org/drawingml/2006/picture">
                      <pic:pic xmlns:pic="http://schemas.openxmlformats.org/drawingml/2006/picture">
                        <pic:nvPicPr>
                          <pic:cNvPr id="122" name="ID_497AC02572CD494D8A4653A32114579D_SpCnt_7"/>
                          <pic:cNvPicPr/>
                        </pic:nvPicPr>
                        <pic:blipFill>
                          <a:blip r:embed="rId8"/>
                          <a:stretch>
                            <a:fillRect/>
                          </a:stretch>
                        </pic:blipFill>
                        <pic:spPr>
                          <a:xfrm>
                            <a:off x="0" y="0"/>
                            <a:ext cx="698500" cy="377190"/>
                          </a:xfrm>
                          <a:prstGeom prst="rect">
                            <a:avLst/>
                          </a:prstGeom>
                          <a:noFill/>
                          <a:ln>
                            <a:noFill/>
                          </a:ln>
                        </pic:spPr>
                      </pic:pic>
                    </a:graphicData>
                  </a:graphic>
                </wp:anchor>
              </w:drawing>
            </w:r>
          </w:p>
        </w:tc>
        <w:tc>
          <w:tcPr>
            <w:tcW w:w="832" w:type="pct"/>
            <w:shd w:val="clear" w:color="auto" w:fill="auto"/>
            <w:vAlign w:val="center"/>
          </w:tcPr>
          <w:p w14:paraId="1916DC9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0B4DFE5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1E5DD9B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198A603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2A2C4C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785163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26F99BC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09A8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270" w:type="pct"/>
            <w:shd w:val="clear" w:color="auto" w:fill="auto"/>
            <w:vAlign w:val="center"/>
          </w:tcPr>
          <w:p w14:paraId="3B48A64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63</w:t>
            </w:r>
          </w:p>
        </w:tc>
        <w:tc>
          <w:tcPr>
            <w:tcW w:w="548" w:type="pct"/>
            <w:shd w:val="clear" w:color="auto" w:fill="auto"/>
            <w:vAlign w:val="center"/>
          </w:tcPr>
          <w:p w14:paraId="55E7640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双星洗手池</w:t>
            </w:r>
          </w:p>
        </w:tc>
        <w:tc>
          <w:tcPr>
            <w:tcW w:w="502" w:type="pct"/>
            <w:shd w:val="clear" w:color="auto" w:fill="auto"/>
            <w:vAlign w:val="center"/>
          </w:tcPr>
          <w:p w14:paraId="63FBE18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104140</wp:posOffset>
                  </wp:positionV>
                  <wp:extent cx="822960" cy="551815"/>
                  <wp:effectExtent l="0" t="0" r="0" b="0"/>
                  <wp:wrapNone/>
                  <wp:docPr id="94" name="Picture_130"/>
                  <wp:cNvGraphicFramePr/>
                  <a:graphic xmlns:a="http://schemas.openxmlformats.org/drawingml/2006/main">
                    <a:graphicData uri="http://schemas.openxmlformats.org/drawingml/2006/picture">
                      <pic:pic xmlns:pic="http://schemas.openxmlformats.org/drawingml/2006/picture">
                        <pic:nvPicPr>
                          <pic:cNvPr id="94" name="Picture_130"/>
                          <pic:cNvPicPr/>
                        </pic:nvPicPr>
                        <pic:blipFill>
                          <a:blip r:embed="rId45"/>
                          <a:stretch>
                            <a:fillRect/>
                          </a:stretch>
                        </pic:blipFill>
                        <pic:spPr>
                          <a:xfrm>
                            <a:off x="0" y="0"/>
                            <a:ext cx="822960" cy="551815"/>
                          </a:xfrm>
                          <a:prstGeom prst="rect">
                            <a:avLst/>
                          </a:prstGeom>
                          <a:noFill/>
                          <a:ln>
                            <a:noFill/>
                          </a:ln>
                        </pic:spPr>
                      </pic:pic>
                    </a:graphicData>
                  </a:graphic>
                </wp:anchor>
              </w:drawing>
            </w:r>
          </w:p>
        </w:tc>
        <w:tc>
          <w:tcPr>
            <w:tcW w:w="832" w:type="pct"/>
            <w:shd w:val="clear" w:color="auto" w:fill="auto"/>
            <w:vAlign w:val="center"/>
          </w:tcPr>
          <w:p w14:paraId="244BD07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800×300×400mm，后挡水高度150mm</w:t>
            </w:r>
          </w:p>
        </w:tc>
        <w:tc>
          <w:tcPr>
            <w:tcW w:w="1559" w:type="pct"/>
            <w:shd w:val="clear" w:color="auto" w:fill="auto"/>
            <w:vAlign w:val="center"/>
          </w:tcPr>
          <w:p w14:paraId="6DAAA9E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一、结构：双星洗手池，挂墙式（悬挂式）。</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1.面板、星盆：1.0mm厚304不锈钢磨砂板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vAlign w:val="center"/>
          </w:tcPr>
          <w:p w14:paraId="610AC141">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42830F9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325F89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5E4856D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c>
          <w:tcPr>
            <w:tcW w:w="231" w:type="pct"/>
            <w:shd w:val="clear" w:color="auto" w:fill="auto"/>
            <w:noWrap/>
            <w:vAlign w:val="center"/>
          </w:tcPr>
          <w:p w14:paraId="1226C2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r>
      <w:tr w14:paraId="6961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70" w:type="pct"/>
            <w:shd w:val="clear" w:color="auto" w:fill="auto"/>
            <w:vAlign w:val="center"/>
          </w:tcPr>
          <w:p w14:paraId="45B2E4C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64</w:t>
            </w:r>
          </w:p>
        </w:tc>
        <w:tc>
          <w:tcPr>
            <w:tcW w:w="548" w:type="pct"/>
            <w:shd w:val="clear" w:color="auto" w:fill="auto"/>
            <w:vAlign w:val="center"/>
          </w:tcPr>
          <w:p w14:paraId="3086841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单门留样柜</w:t>
            </w:r>
          </w:p>
        </w:tc>
        <w:tc>
          <w:tcPr>
            <w:tcW w:w="502" w:type="pct"/>
            <w:shd w:val="clear" w:color="auto" w:fill="auto"/>
            <w:vAlign w:val="center"/>
          </w:tcPr>
          <w:p w14:paraId="4F730D5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-150495</wp:posOffset>
                  </wp:positionV>
                  <wp:extent cx="749300" cy="709295"/>
                  <wp:effectExtent l="0" t="0" r="12700" b="14605"/>
                  <wp:wrapNone/>
                  <wp:docPr id="100" name="ID_C0CD8334A234459EB22DC7D4F91CDE8C_SpCnt_1"/>
                  <wp:cNvGraphicFramePr/>
                  <a:graphic xmlns:a="http://schemas.openxmlformats.org/drawingml/2006/main">
                    <a:graphicData uri="http://schemas.openxmlformats.org/drawingml/2006/picture">
                      <pic:pic xmlns:pic="http://schemas.openxmlformats.org/drawingml/2006/picture">
                        <pic:nvPicPr>
                          <pic:cNvPr id="100" name="ID_C0CD8334A234459EB22DC7D4F91CDE8C_SpCnt_1"/>
                          <pic:cNvPicPr/>
                        </pic:nvPicPr>
                        <pic:blipFill>
                          <a:blip r:embed="rId46"/>
                          <a:stretch>
                            <a:fillRect/>
                          </a:stretch>
                        </pic:blipFill>
                        <pic:spPr>
                          <a:xfrm>
                            <a:off x="0" y="0"/>
                            <a:ext cx="749300" cy="709295"/>
                          </a:xfrm>
                          <a:prstGeom prst="rect">
                            <a:avLst/>
                          </a:prstGeom>
                          <a:noFill/>
                          <a:ln>
                            <a:noFill/>
                          </a:ln>
                        </pic:spPr>
                      </pic:pic>
                    </a:graphicData>
                  </a:graphic>
                </wp:anchor>
              </w:drawing>
            </w:r>
          </w:p>
        </w:tc>
        <w:tc>
          <w:tcPr>
            <w:tcW w:w="832" w:type="pct"/>
            <w:shd w:val="clear" w:color="auto" w:fill="auto"/>
            <w:vAlign w:val="center"/>
          </w:tcPr>
          <w:p w14:paraId="7C4A800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4AEC693">
            <w:pPr>
              <w:keepNext w:val="0"/>
              <w:keepLines w:val="0"/>
              <w:widowControl/>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lang w:eastAsia="zh-CN" w:bidi="ar"/>
              </w:rPr>
            </w:pPr>
            <w:r>
              <w:rPr>
                <w:rFonts w:hint="eastAsia" w:ascii="仿宋" w:hAnsi="仿宋" w:eastAsia="仿宋" w:cs="仿宋"/>
                <w:i w:val="0"/>
                <w:iCs w:val="0"/>
                <w:color w:val="000000"/>
                <w:kern w:val="0"/>
                <w:sz w:val="18"/>
                <w:szCs w:val="18"/>
                <w:highlight w:val="none"/>
                <w:u w:val="none"/>
                <w:lang w:val="en-US" w:eastAsia="zh-CN" w:bidi="ar"/>
              </w:rPr>
              <w:t>一、结构：风冷制冷，有效容积≥300L，0～10℃，数字温控+超温报警；90°自动回归门，多气囊磁封条，除凝露电热丝，高密度发泡保温。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1.外壳：201无磁不锈钢抗指纹板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2.内胆及层架：201不锈钢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3.制冷管路：全铜管制冷；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2.功率0.3kW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3.所有原材料及配件（直接/非直接接触）：符合国家食品标准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w:t>
            </w:r>
            <w:r>
              <w:rPr>
                <w:rFonts w:hint="eastAsia" w:ascii="仿宋" w:hAnsi="仿宋" w:eastAsia="仿宋" w:cs="仿宋"/>
                <w:i w:val="0"/>
                <w:iCs w:val="0"/>
                <w:caps w:val="0"/>
                <w:color w:val="000000"/>
                <w:spacing w:val="0"/>
                <w:kern w:val="0"/>
                <w:sz w:val="18"/>
                <w:szCs w:val="18"/>
                <w:highlight w:val="none"/>
                <w:u w:val="none"/>
                <w:shd w:val="clear" w:fill="auto"/>
                <w:lang w:bidi="ar"/>
              </w:rPr>
              <w:t>能效等级：二级</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依据 GB 26920-2024</w:t>
            </w:r>
            <w:r>
              <w:rPr>
                <w:rFonts w:hint="eastAsia" w:ascii="仿宋" w:hAnsi="仿宋" w:eastAsia="仿宋" w:cs="仿宋"/>
                <w:i w:val="0"/>
                <w:iCs w:val="0"/>
                <w:color w:val="000000"/>
                <w:kern w:val="0"/>
                <w:sz w:val="18"/>
                <w:szCs w:val="18"/>
                <w:highlight w:val="none"/>
                <w:u w:val="none"/>
                <w:lang w:bidi="ar"/>
              </w:rPr>
              <w:t>标准</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bidi="ar"/>
              </w:rPr>
              <w:t>及其</w:t>
            </w:r>
            <w:r>
              <w:rPr>
                <w:rFonts w:hint="eastAsia" w:ascii="仿宋" w:hAnsi="仿宋" w:eastAsia="仿宋" w:cs="仿宋"/>
                <w:b w:val="0"/>
                <w:bCs w:val="0"/>
                <w:i w:val="0"/>
                <w:iCs w:val="0"/>
                <w:caps w:val="0"/>
                <w:color w:val="000000"/>
                <w:spacing w:val="0"/>
                <w:kern w:val="0"/>
                <w:sz w:val="18"/>
                <w:szCs w:val="18"/>
                <w:highlight w:val="none"/>
                <w:u w:val="none"/>
                <w:shd w:val="clear" w:fill="auto"/>
                <w:lang w:bidi="ar"/>
              </w:rPr>
              <w:t>现行有效版本</w:t>
            </w:r>
            <w:r>
              <w:rPr>
                <w:rFonts w:hint="eastAsia" w:ascii="仿宋" w:hAnsi="仿宋" w:eastAsia="仿宋" w:cs="仿宋"/>
                <w:i w:val="0"/>
                <w:iCs w:val="0"/>
                <w:color w:val="000000"/>
                <w:kern w:val="0"/>
                <w:sz w:val="18"/>
                <w:szCs w:val="18"/>
                <w:highlight w:val="none"/>
                <w:u w:val="none"/>
                <w:lang w:eastAsia="zh-CN" w:bidi="ar"/>
              </w:rPr>
              <w:t>）</w:t>
            </w:r>
            <w:r>
              <w:rPr>
                <w:rFonts w:hint="eastAsia" w:ascii="仿宋" w:hAnsi="仿宋" w:eastAsia="仿宋" w:cs="仿宋"/>
                <w:i w:val="0"/>
                <w:iCs w:val="0"/>
                <w:color w:val="000000"/>
                <w:kern w:val="0"/>
                <w:sz w:val="18"/>
                <w:szCs w:val="18"/>
                <w:highlight w:val="none"/>
                <w:u w:val="none"/>
                <w:lang w:val="en-US" w:eastAsia="zh-CN" w:bidi="ar"/>
              </w:rPr>
              <w:t>进行判定</w:t>
            </w:r>
            <w:r>
              <w:rPr>
                <w:rFonts w:hint="eastAsia" w:ascii="仿宋" w:hAnsi="仿宋" w:eastAsia="仿宋" w:cs="仿宋"/>
                <w:i w:val="0"/>
                <w:iCs w:val="0"/>
                <w:caps w:val="0"/>
                <w:color w:val="000000"/>
                <w:spacing w:val="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fill="auto"/>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以下任一证明材料（须</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加盖供应商公章</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（1）</w:t>
            </w:r>
            <w:r>
              <w:rPr>
                <w:rFonts w:hint="eastAsia" w:ascii="仿宋" w:hAnsi="仿宋" w:eastAsia="仿宋" w:cs="仿宋"/>
                <w:i w:val="0"/>
                <w:iCs w:val="0"/>
                <w:caps w:val="0"/>
                <w:color w:val="000000"/>
                <w:spacing w:val="0"/>
                <w:kern w:val="0"/>
                <w:sz w:val="18"/>
                <w:szCs w:val="18"/>
                <w:highlight w:val="none"/>
                <w:u w:val="none"/>
                <w:shd w:val="clear"/>
                <w:lang w:bidi="ar"/>
              </w:rPr>
              <w:t>中国能效标识网（</w:t>
            </w:r>
            <w:r>
              <w:rPr>
                <w:rFonts w:hint="eastAsia" w:ascii="仿宋" w:hAnsi="仿宋" w:eastAsia="仿宋" w:cs="仿宋"/>
                <w:i w:val="0"/>
                <w:iCs w:val="0"/>
                <w:caps w:val="0"/>
                <w:color w:val="000000"/>
                <w:spacing w:val="0"/>
                <w:kern w:val="0"/>
                <w:sz w:val="18"/>
                <w:szCs w:val="18"/>
                <w:highlight w:val="none"/>
                <w:u w:val="none"/>
                <w:shd w:val="clear"/>
                <w:lang w:bidi="ar"/>
              </w:rPr>
              <w:fldChar w:fldCharType="begin"/>
            </w:r>
            <w:r>
              <w:rPr>
                <w:rFonts w:hint="eastAsia" w:ascii="仿宋" w:hAnsi="仿宋" w:eastAsia="仿宋" w:cs="仿宋"/>
                <w:i w:val="0"/>
                <w:iCs w:val="0"/>
                <w:caps w:val="0"/>
                <w:color w:val="000000"/>
                <w:spacing w:val="0"/>
                <w:kern w:val="0"/>
                <w:sz w:val="18"/>
                <w:szCs w:val="18"/>
                <w:highlight w:val="none"/>
                <w:u w:val="none"/>
                <w:shd w:val="clear"/>
                <w:lang w:bidi="ar"/>
              </w:rPr>
              <w:instrText xml:space="preserve"> HYPERLINK "https://www.energylabel.com.cn/" \t "https://chat.deepseek.com/a/chat/s/_blank" </w:instrText>
            </w:r>
            <w:r>
              <w:rPr>
                <w:rFonts w:hint="eastAsia" w:ascii="仿宋" w:hAnsi="仿宋" w:eastAsia="仿宋" w:cs="仿宋"/>
                <w:i w:val="0"/>
                <w:iCs w:val="0"/>
                <w:caps w:val="0"/>
                <w:color w:val="000000"/>
                <w:spacing w:val="0"/>
                <w:kern w:val="0"/>
                <w:sz w:val="18"/>
                <w:szCs w:val="18"/>
                <w:highlight w:val="none"/>
                <w:u w:val="none"/>
                <w:shd w:val="clear"/>
                <w:lang w:bidi="ar"/>
              </w:rPr>
              <w:fldChar w:fldCharType="separate"/>
            </w:r>
            <w:r>
              <w:rPr>
                <w:rFonts w:hint="eastAsia" w:ascii="仿宋" w:hAnsi="仿宋" w:eastAsia="仿宋" w:cs="仿宋"/>
                <w:i w:val="0"/>
                <w:iCs w:val="0"/>
                <w:caps w:val="0"/>
                <w:color w:val="000000"/>
                <w:spacing w:val="0"/>
                <w:kern w:val="0"/>
                <w:sz w:val="18"/>
                <w:szCs w:val="18"/>
                <w:highlight w:val="none"/>
                <w:u w:val="none"/>
                <w:shd w:val="clear"/>
                <w:lang w:bidi="ar"/>
              </w:rPr>
              <w:t>https://www.energylabel.com.cn</w:t>
            </w:r>
            <w:r>
              <w:rPr>
                <w:rFonts w:hint="eastAsia" w:ascii="仿宋" w:hAnsi="仿宋" w:eastAsia="仿宋" w:cs="仿宋"/>
                <w:i w:val="0"/>
                <w:iCs w:val="0"/>
                <w:caps w:val="0"/>
                <w:color w:val="000000"/>
                <w:spacing w:val="0"/>
                <w:kern w:val="0"/>
                <w:sz w:val="18"/>
                <w:szCs w:val="18"/>
                <w:highlight w:val="none"/>
                <w:u w:val="none"/>
                <w:shd w:val="clear"/>
                <w:lang w:bidi="ar"/>
              </w:rPr>
              <w:fldChar w:fldCharType="end"/>
            </w:r>
            <w:r>
              <w:rPr>
                <w:rFonts w:hint="eastAsia" w:ascii="仿宋" w:hAnsi="仿宋" w:eastAsia="仿宋" w:cs="仿宋"/>
                <w:i w:val="0"/>
                <w:iCs w:val="0"/>
                <w:caps w:val="0"/>
                <w:color w:val="000000"/>
                <w:spacing w:val="0"/>
                <w:kern w:val="0"/>
                <w:sz w:val="18"/>
                <w:szCs w:val="18"/>
                <w:highlight w:val="none"/>
                <w:u w:val="none"/>
                <w:shd w:val="clear"/>
                <w:lang w:bidi="ar"/>
              </w:rPr>
              <w:t>）备案查询截图（截图须清晰显示产品型号</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能效等级</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及依据的</w:t>
            </w:r>
            <w:r>
              <w:rPr>
                <w:rFonts w:hint="eastAsia" w:ascii="仿宋" w:hAnsi="仿宋" w:eastAsia="仿宋" w:cs="仿宋"/>
                <w:i w:val="0"/>
                <w:iCs w:val="0"/>
                <w:caps w:val="0"/>
                <w:color w:val="000000"/>
                <w:spacing w:val="0"/>
                <w:kern w:val="0"/>
                <w:sz w:val="18"/>
                <w:szCs w:val="18"/>
                <w:highlight w:val="none"/>
                <w:u w:val="none"/>
                <w:shd w:val="clear"/>
                <w:lang w:bidi="ar"/>
              </w:rPr>
              <w:t>标准）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由具备CMA资质的第三方检测机构出具的检测报告复印件（须清晰显示能效等级判定结果，并载明检测依据</w:t>
            </w:r>
            <w:r>
              <w:rPr>
                <w:rFonts w:hint="eastAsia" w:ascii="仿宋" w:hAnsi="仿宋" w:eastAsia="仿宋" w:cs="仿宋"/>
                <w:i w:val="0"/>
                <w:iCs w:val="0"/>
                <w:caps w:val="0"/>
                <w:color w:val="000000"/>
                <w:spacing w:val="0"/>
                <w:kern w:val="0"/>
                <w:sz w:val="18"/>
                <w:szCs w:val="18"/>
                <w:highlight w:val="none"/>
                <w:u w:val="none"/>
                <w:shd w:val="clear"/>
                <w:lang w:eastAsia="zh-CN" w:bidi="ar"/>
              </w:rPr>
              <w:t>）。</w:t>
            </w:r>
          </w:p>
          <w:p w14:paraId="5CF7844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aps w:val="0"/>
                <w:color w:val="000000"/>
                <w:spacing w:val="0"/>
                <w:kern w:val="0"/>
                <w:sz w:val="18"/>
                <w:szCs w:val="18"/>
                <w:highlight w:val="none"/>
                <w:u w:val="none"/>
                <w:shd w:val="clear"/>
                <w:lang w:val="en-US" w:eastAsia="zh-CN" w:bidi="ar"/>
              </w:rPr>
              <w:t>说明：（1）</w:t>
            </w:r>
            <w:r>
              <w:rPr>
                <w:rFonts w:hint="eastAsia" w:ascii="仿宋" w:hAnsi="仿宋" w:eastAsia="仿宋" w:cs="仿宋"/>
                <w:i w:val="0"/>
                <w:iCs w:val="0"/>
                <w:caps w:val="0"/>
                <w:color w:val="000000"/>
                <w:spacing w:val="0"/>
                <w:kern w:val="0"/>
                <w:sz w:val="18"/>
                <w:szCs w:val="18"/>
                <w:highlight w:val="none"/>
                <w:u w:val="none"/>
                <w:shd w:val="clear"/>
                <w:lang w:bidi="ar"/>
              </w:rPr>
              <w:t>评审时</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专家</w:t>
            </w:r>
            <w:r>
              <w:rPr>
                <w:rFonts w:hint="eastAsia" w:ascii="仿宋" w:hAnsi="仿宋" w:eastAsia="仿宋" w:cs="仿宋"/>
                <w:i w:val="0"/>
                <w:iCs w:val="0"/>
                <w:caps w:val="0"/>
                <w:color w:val="000000"/>
                <w:spacing w:val="0"/>
                <w:kern w:val="0"/>
                <w:sz w:val="18"/>
                <w:szCs w:val="18"/>
                <w:highlight w:val="none"/>
                <w:u w:val="none"/>
                <w:shd w:val="clear"/>
                <w:lang w:bidi="ar"/>
              </w:rPr>
              <w:t>有权通过中国能效标识网对能效等级进行核实。核实结果与供应商提供的证明材料不一致的，以中国能效标识网备案数据为准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bidi="ar"/>
              </w:rPr>
              <w:t>如所投产品不在中国能效标识网备案范围内，则以检测报告为准</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2</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证明材料即</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或</w:t>
            </w:r>
            <w:r>
              <w:rPr>
                <w:rFonts w:hint="eastAsia" w:ascii="仿宋" w:hAnsi="仿宋" w:eastAsia="仿宋" w:cs="仿宋"/>
                <w:i w:val="0"/>
                <w:iCs w:val="0"/>
                <w:caps w:val="0"/>
                <w:color w:val="000000"/>
                <w:spacing w:val="0"/>
                <w:kern w:val="0"/>
                <w:sz w:val="18"/>
                <w:szCs w:val="18"/>
                <w:highlight w:val="none"/>
                <w:u w:val="none"/>
                <w:shd w:val="clear"/>
                <w:lang w:bidi="ar"/>
              </w:rPr>
              <w:t>备案截图所载明的产品型号均须与所投产品型号完全一致，否则视为负偏离。</w:t>
            </w:r>
          </w:p>
        </w:tc>
        <w:tc>
          <w:tcPr>
            <w:tcW w:w="376" w:type="pct"/>
            <w:shd w:val="clear" w:color="auto" w:fill="auto"/>
            <w:vAlign w:val="center"/>
          </w:tcPr>
          <w:p w14:paraId="336AC718">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星星、</w:t>
            </w:r>
            <w:r>
              <w:rPr>
                <w:rFonts w:hint="eastAsia" w:ascii="仿宋" w:hAnsi="仿宋" w:eastAsia="仿宋" w:cs="仿宋"/>
                <w:i w:val="0"/>
                <w:iCs w:val="0"/>
                <w:color w:val="000000"/>
                <w:sz w:val="18"/>
                <w:szCs w:val="18"/>
                <w:highlight w:val="none"/>
                <w:u w:val="none"/>
              </w:rPr>
              <w:t>德宝</w:t>
            </w:r>
            <w:r>
              <w:rPr>
                <w:rFonts w:hint="eastAsia" w:ascii="仿宋" w:hAnsi="仿宋" w:eastAsia="仿宋" w:cs="仿宋"/>
                <w:i w:val="0"/>
                <w:iCs w:val="0"/>
                <w:color w:val="000000"/>
                <w:sz w:val="18"/>
                <w:szCs w:val="18"/>
                <w:highlight w:val="none"/>
                <w:u w:val="none"/>
                <w:lang w:eastAsia="zh-CN"/>
              </w:rPr>
              <w:t>、通宝</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091B286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77AB655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81F044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2750</w:t>
            </w:r>
          </w:p>
        </w:tc>
        <w:tc>
          <w:tcPr>
            <w:tcW w:w="231" w:type="pct"/>
            <w:shd w:val="clear" w:color="auto" w:fill="auto"/>
            <w:noWrap/>
            <w:vAlign w:val="center"/>
          </w:tcPr>
          <w:p w14:paraId="72254EC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2750</w:t>
            </w:r>
          </w:p>
        </w:tc>
      </w:tr>
      <w:tr w14:paraId="2749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71" w:hRule="atLeast"/>
        </w:trPr>
        <w:tc>
          <w:tcPr>
            <w:tcW w:w="270" w:type="pct"/>
            <w:shd w:val="clear" w:color="auto" w:fill="auto"/>
            <w:vAlign w:val="center"/>
          </w:tcPr>
          <w:p w14:paraId="3F4A1978">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65</w:t>
            </w:r>
          </w:p>
        </w:tc>
        <w:tc>
          <w:tcPr>
            <w:tcW w:w="548" w:type="pct"/>
            <w:shd w:val="clear" w:color="auto" w:fill="auto"/>
            <w:vAlign w:val="center"/>
          </w:tcPr>
          <w:p w14:paraId="7D3AEF7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shd w:val="clear" w:color="auto" w:fill="auto"/>
            <w:vAlign w:val="center"/>
          </w:tcPr>
          <w:p w14:paraId="51EC138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21590</wp:posOffset>
                  </wp:positionH>
                  <wp:positionV relativeFrom="paragraph">
                    <wp:posOffset>22860</wp:posOffset>
                  </wp:positionV>
                  <wp:extent cx="688975" cy="478155"/>
                  <wp:effectExtent l="0" t="0" r="15875" b="17145"/>
                  <wp:wrapNone/>
                  <wp:docPr id="74" name="ID_6FFB705AFEF14C34A0214FF64D88B1BE"/>
                  <wp:cNvGraphicFramePr/>
                  <a:graphic xmlns:a="http://schemas.openxmlformats.org/drawingml/2006/main">
                    <a:graphicData uri="http://schemas.openxmlformats.org/drawingml/2006/picture">
                      <pic:pic xmlns:pic="http://schemas.openxmlformats.org/drawingml/2006/picture">
                        <pic:nvPicPr>
                          <pic:cNvPr id="74" name="ID_6FFB705AFEF14C34A0214FF64D88B1BE"/>
                          <pic:cNvPicPr/>
                        </pic:nvPicPr>
                        <pic:blipFill>
                          <a:blip r:embed="rId29"/>
                          <a:stretch>
                            <a:fillRect/>
                          </a:stretch>
                        </pic:blipFill>
                        <pic:spPr>
                          <a:xfrm>
                            <a:off x="0" y="0"/>
                            <a:ext cx="688975" cy="478155"/>
                          </a:xfrm>
                          <a:prstGeom prst="rect">
                            <a:avLst/>
                          </a:prstGeom>
                          <a:noFill/>
                          <a:ln>
                            <a:noFill/>
                          </a:ln>
                        </pic:spPr>
                      </pic:pic>
                    </a:graphicData>
                  </a:graphic>
                </wp:anchor>
              </w:drawing>
            </w:r>
          </w:p>
        </w:tc>
        <w:tc>
          <w:tcPr>
            <w:tcW w:w="832" w:type="pct"/>
            <w:shd w:val="clear" w:color="auto" w:fill="auto"/>
            <w:vAlign w:val="center"/>
          </w:tcPr>
          <w:p w14:paraId="0AFA013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24C37EC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1.面板：304不锈钢1.2mm厚磨砂板，下垫15mm防水夹板并以0.8mm的优质钢板做底板封板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shd w:val="clear" w:color="auto" w:fill="auto"/>
            <w:vAlign w:val="center"/>
          </w:tcPr>
          <w:p w14:paraId="2BA1D8E3">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CD6070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054049A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686E23D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c>
          <w:tcPr>
            <w:tcW w:w="231" w:type="pct"/>
            <w:shd w:val="clear" w:color="auto" w:fill="auto"/>
            <w:noWrap/>
            <w:vAlign w:val="center"/>
          </w:tcPr>
          <w:p w14:paraId="3676881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r>
      <w:tr w14:paraId="07EB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vAlign w:val="center"/>
          </w:tcPr>
          <w:p w14:paraId="32BC85DF">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66</w:t>
            </w:r>
          </w:p>
        </w:tc>
        <w:tc>
          <w:tcPr>
            <w:tcW w:w="548" w:type="pct"/>
            <w:shd w:val="clear" w:color="auto" w:fill="auto"/>
            <w:vAlign w:val="center"/>
          </w:tcPr>
          <w:p w14:paraId="7EF7760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密封送餐车</w:t>
            </w:r>
          </w:p>
        </w:tc>
        <w:tc>
          <w:tcPr>
            <w:tcW w:w="502" w:type="pct"/>
            <w:shd w:val="clear" w:color="auto" w:fill="auto"/>
            <w:vAlign w:val="center"/>
          </w:tcPr>
          <w:p w14:paraId="2B68CA2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1C5E347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约1000×550×900mm</w:t>
            </w:r>
          </w:p>
        </w:tc>
        <w:tc>
          <w:tcPr>
            <w:tcW w:w="1559" w:type="pct"/>
            <w:shd w:val="clear" w:color="auto" w:fill="auto"/>
            <w:vAlign w:val="center"/>
          </w:tcPr>
          <w:p w14:paraId="221D14F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1.三层密闭保温结构，封闭式箱体设计，有效防尘防蝇</w:t>
            </w: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-2494280</wp:posOffset>
                  </wp:positionH>
                  <wp:positionV relativeFrom="paragraph">
                    <wp:posOffset>788035</wp:posOffset>
                  </wp:positionV>
                  <wp:extent cx="806450" cy="634365"/>
                  <wp:effectExtent l="0" t="0" r="12700" b="13335"/>
                  <wp:wrapNone/>
                  <wp:docPr id="102" name="图片_3"/>
                  <wp:cNvGraphicFramePr/>
                  <a:graphic xmlns:a="http://schemas.openxmlformats.org/drawingml/2006/main">
                    <a:graphicData uri="http://schemas.openxmlformats.org/drawingml/2006/picture">
                      <pic:pic xmlns:pic="http://schemas.openxmlformats.org/drawingml/2006/picture">
                        <pic:nvPicPr>
                          <pic:cNvPr id="102" name="图片_3"/>
                          <pic:cNvPicPr/>
                        </pic:nvPicPr>
                        <pic:blipFill>
                          <a:blip r:embed="rId47"/>
                          <a:stretch>
                            <a:fillRect/>
                          </a:stretch>
                        </pic:blipFill>
                        <pic:spPr>
                          <a:xfrm>
                            <a:off x="0" y="0"/>
                            <a:ext cx="806450" cy="634365"/>
                          </a:xfrm>
                          <a:prstGeom prst="rect">
                            <a:avLst/>
                          </a:prstGeom>
                          <a:noFill/>
                          <a:ln>
                            <a:noFill/>
                          </a:ln>
                        </pic:spPr>
                      </pic:pic>
                    </a:graphicData>
                  </a:graphic>
                </wp:anchor>
              </w:drawing>
            </w:r>
            <w:r>
              <w:rPr>
                <w:rFonts w:hint="eastAsia" w:ascii="仿宋" w:hAnsi="仿宋" w:eastAsia="仿宋" w:cs="仿宋"/>
                <w:i w:val="0"/>
                <w:iCs w:val="0"/>
                <w:color w:val="000000"/>
                <w:kern w:val="0"/>
                <w:sz w:val="18"/>
                <w:szCs w:val="18"/>
                <w:highlight w:val="none"/>
                <w:u w:val="none"/>
                <w:lang w:val="en-US" w:eastAsia="zh-CN" w:bidi="ar"/>
              </w:rPr>
              <w:t>并保持食物温度。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2.箱体采用全封闭围板结构，门板内设高密度保温层，密封条压紧防漏气。</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3.三层隔板下设加强筋支撑，防止重载下陷。4.门把手采用嵌入式或防磕碰设计，门采用平开门或推拉门设计，开启顺畅。</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5.底部配4个静音万向轮，其中2个带刹车。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1.面板、层板及内部加强筋：采用1.0mm厚优质304不锈钢拉丝板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2.整体框架及支撑脚：采用Φ38×1.0mm304不锈钢管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3.门封条：优质磁性密封条，密封严密，防尘防虫</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4.表面拉丝处理，焊缝满焊打磨平整，外露边缘卷边防割手，整体酸洗钝化防锈处理</w:t>
            </w:r>
          </w:p>
        </w:tc>
        <w:tc>
          <w:tcPr>
            <w:tcW w:w="376" w:type="pct"/>
            <w:shd w:val="clear" w:color="auto" w:fill="auto"/>
            <w:vAlign w:val="center"/>
          </w:tcPr>
          <w:p w14:paraId="06362DDE">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6296B6A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14EBB63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50E0876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2750</w:t>
            </w:r>
          </w:p>
        </w:tc>
        <w:tc>
          <w:tcPr>
            <w:tcW w:w="231" w:type="pct"/>
            <w:shd w:val="clear" w:color="auto" w:fill="auto"/>
            <w:noWrap/>
            <w:vAlign w:val="center"/>
          </w:tcPr>
          <w:p w14:paraId="23AD01C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5500</w:t>
            </w:r>
          </w:p>
        </w:tc>
      </w:tr>
      <w:tr w14:paraId="62C8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trPr>
        <w:tc>
          <w:tcPr>
            <w:tcW w:w="270" w:type="pct"/>
            <w:shd w:val="clear" w:color="auto" w:fill="auto"/>
            <w:noWrap/>
            <w:vAlign w:val="center"/>
          </w:tcPr>
          <w:p w14:paraId="7A722C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L</w:t>
            </w:r>
          </w:p>
        </w:tc>
        <w:tc>
          <w:tcPr>
            <w:tcW w:w="548" w:type="pct"/>
            <w:shd w:val="clear" w:color="auto" w:fill="auto"/>
            <w:vAlign w:val="center"/>
          </w:tcPr>
          <w:p w14:paraId="21B7CC8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营养间</w:t>
            </w:r>
          </w:p>
        </w:tc>
        <w:tc>
          <w:tcPr>
            <w:tcW w:w="502" w:type="pct"/>
            <w:shd w:val="clear" w:color="auto" w:fill="auto"/>
            <w:noWrap/>
            <w:vAlign w:val="center"/>
          </w:tcPr>
          <w:p w14:paraId="028857D2">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0A612554">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14117AEB">
            <w:pP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0287CE4F">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1D6147B7">
            <w:pPr>
              <w:jc w:val="center"/>
              <w:rPr>
                <w:rFonts w:hint="eastAsia" w:ascii="仿宋" w:hAnsi="仿宋" w:eastAsia="仿宋" w:cs="仿宋"/>
                <w:i w:val="0"/>
                <w:iCs w:val="0"/>
                <w:color w:val="000000"/>
                <w:sz w:val="18"/>
                <w:szCs w:val="18"/>
                <w:highlight w:val="none"/>
                <w:u w:val="none"/>
              </w:rPr>
            </w:pPr>
          </w:p>
        </w:tc>
        <w:tc>
          <w:tcPr>
            <w:tcW w:w="235" w:type="pct"/>
            <w:shd w:val="clear" w:color="auto" w:fill="auto"/>
            <w:noWrap/>
            <w:vAlign w:val="center"/>
          </w:tcPr>
          <w:p w14:paraId="370606F6">
            <w:pPr>
              <w:jc w:val="center"/>
              <w:rPr>
                <w:rFonts w:hint="eastAsia" w:ascii="仿宋" w:hAnsi="仿宋" w:eastAsia="仿宋" w:cs="仿宋"/>
                <w:i w:val="0"/>
                <w:iCs w:val="0"/>
                <w:color w:val="000000"/>
                <w:sz w:val="18"/>
                <w:szCs w:val="18"/>
                <w:highlight w:val="none"/>
                <w:u w:val="none"/>
              </w:rPr>
            </w:pPr>
          </w:p>
        </w:tc>
        <w:tc>
          <w:tcPr>
            <w:tcW w:w="226" w:type="pct"/>
            <w:shd w:val="clear" w:color="auto" w:fill="auto"/>
            <w:noWrap/>
            <w:vAlign w:val="center"/>
          </w:tcPr>
          <w:p w14:paraId="7928E67B">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28BAD9C7">
            <w:pPr>
              <w:jc w:val="center"/>
              <w:rPr>
                <w:rFonts w:hint="eastAsia" w:ascii="仿宋" w:hAnsi="仿宋" w:eastAsia="仿宋" w:cs="仿宋"/>
                <w:i w:val="0"/>
                <w:iCs w:val="0"/>
                <w:color w:val="000000"/>
                <w:sz w:val="18"/>
                <w:szCs w:val="18"/>
                <w:highlight w:val="none"/>
                <w:u w:val="none"/>
              </w:rPr>
            </w:pPr>
          </w:p>
        </w:tc>
      </w:tr>
      <w:tr w14:paraId="3487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70" w:type="pct"/>
            <w:shd w:val="clear" w:color="auto" w:fill="auto"/>
            <w:noWrap/>
            <w:vAlign w:val="center"/>
          </w:tcPr>
          <w:p w14:paraId="068DC19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67</w:t>
            </w:r>
          </w:p>
        </w:tc>
        <w:tc>
          <w:tcPr>
            <w:tcW w:w="548" w:type="pct"/>
            <w:shd w:val="clear" w:color="auto" w:fill="auto"/>
            <w:vAlign w:val="center"/>
          </w:tcPr>
          <w:p w14:paraId="1E738F7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双星洗手池</w:t>
            </w:r>
          </w:p>
        </w:tc>
        <w:tc>
          <w:tcPr>
            <w:tcW w:w="502" w:type="pct"/>
            <w:shd w:val="clear" w:color="auto" w:fill="auto"/>
            <w:vAlign w:val="center"/>
          </w:tcPr>
          <w:p w14:paraId="708EB71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-6350</wp:posOffset>
                  </wp:positionH>
                  <wp:positionV relativeFrom="paragraph">
                    <wp:posOffset>174625</wp:posOffset>
                  </wp:positionV>
                  <wp:extent cx="822960" cy="626110"/>
                  <wp:effectExtent l="0" t="0" r="0" b="0"/>
                  <wp:wrapNone/>
                  <wp:docPr id="72" name="Picture_130_SpCnt_1"/>
                  <wp:cNvGraphicFramePr/>
                  <a:graphic xmlns:a="http://schemas.openxmlformats.org/drawingml/2006/main">
                    <a:graphicData uri="http://schemas.openxmlformats.org/drawingml/2006/picture">
                      <pic:pic xmlns:pic="http://schemas.openxmlformats.org/drawingml/2006/picture">
                        <pic:nvPicPr>
                          <pic:cNvPr id="72" name="Picture_130_SpCnt_1"/>
                          <pic:cNvPicPr/>
                        </pic:nvPicPr>
                        <pic:blipFill>
                          <a:blip r:embed="rId45"/>
                          <a:stretch>
                            <a:fillRect/>
                          </a:stretch>
                        </pic:blipFill>
                        <pic:spPr>
                          <a:xfrm>
                            <a:off x="0" y="0"/>
                            <a:ext cx="822960" cy="626110"/>
                          </a:xfrm>
                          <a:prstGeom prst="rect">
                            <a:avLst/>
                          </a:prstGeom>
                          <a:noFill/>
                          <a:ln>
                            <a:noFill/>
                          </a:ln>
                        </pic:spPr>
                      </pic:pic>
                    </a:graphicData>
                  </a:graphic>
                </wp:anchor>
              </w:drawing>
            </w:r>
          </w:p>
        </w:tc>
        <w:tc>
          <w:tcPr>
            <w:tcW w:w="832" w:type="pct"/>
            <w:shd w:val="clear" w:color="auto" w:fill="auto"/>
            <w:vAlign w:val="center"/>
          </w:tcPr>
          <w:p w14:paraId="22CBCC6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800×300×400mm，后挡水高度150mm</w:t>
            </w:r>
          </w:p>
        </w:tc>
        <w:tc>
          <w:tcPr>
            <w:tcW w:w="1559" w:type="pct"/>
            <w:shd w:val="clear" w:color="auto" w:fill="auto"/>
            <w:vAlign w:val="center"/>
          </w:tcPr>
          <w:p w14:paraId="4E14655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一、结构：双星洗手池，挂墙式（悬挂式）。</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1.面板、星盆：1.0mm厚304不锈钢磨砂板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vAlign w:val="center"/>
          </w:tcPr>
          <w:p w14:paraId="44D6BEB0">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DDC222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2CD36C6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C8069D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c>
          <w:tcPr>
            <w:tcW w:w="231" w:type="pct"/>
            <w:shd w:val="clear" w:color="auto" w:fill="auto"/>
            <w:noWrap/>
            <w:vAlign w:val="center"/>
          </w:tcPr>
          <w:p w14:paraId="531FFD3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r>
      <w:tr w14:paraId="5597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trPr>
        <w:tc>
          <w:tcPr>
            <w:tcW w:w="270" w:type="pct"/>
            <w:shd w:val="clear" w:color="auto" w:fill="auto"/>
            <w:noWrap/>
            <w:vAlign w:val="center"/>
          </w:tcPr>
          <w:p w14:paraId="50D02C2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68</w:t>
            </w:r>
          </w:p>
        </w:tc>
        <w:tc>
          <w:tcPr>
            <w:tcW w:w="548" w:type="pct"/>
            <w:shd w:val="clear" w:color="auto" w:fill="auto"/>
            <w:vAlign w:val="center"/>
          </w:tcPr>
          <w:p w14:paraId="5DC22D8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1F23869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-31115</wp:posOffset>
                  </wp:positionH>
                  <wp:positionV relativeFrom="paragraph">
                    <wp:posOffset>108585</wp:posOffset>
                  </wp:positionV>
                  <wp:extent cx="836295" cy="450850"/>
                  <wp:effectExtent l="0" t="0" r="1905" b="6350"/>
                  <wp:wrapNone/>
                  <wp:docPr id="103" name="ID_E0628300537249688E106B2B806D97DE"/>
                  <wp:cNvGraphicFramePr/>
                  <a:graphic xmlns:a="http://schemas.openxmlformats.org/drawingml/2006/main">
                    <a:graphicData uri="http://schemas.openxmlformats.org/drawingml/2006/picture">
                      <pic:pic xmlns:pic="http://schemas.openxmlformats.org/drawingml/2006/picture">
                        <pic:nvPicPr>
                          <pic:cNvPr id="103" name="ID_E0628300537249688E106B2B806D97DE"/>
                          <pic:cNvPicPr/>
                        </pic:nvPicPr>
                        <pic:blipFill>
                          <a:blip r:embed="rId8"/>
                          <a:stretch>
                            <a:fillRect/>
                          </a:stretch>
                        </pic:blipFill>
                        <pic:spPr>
                          <a:xfrm>
                            <a:off x="0" y="0"/>
                            <a:ext cx="836295" cy="450850"/>
                          </a:xfrm>
                          <a:prstGeom prst="rect">
                            <a:avLst/>
                          </a:prstGeom>
                          <a:noFill/>
                          <a:ln>
                            <a:noFill/>
                          </a:ln>
                        </pic:spPr>
                      </pic:pic>
                    </a:graphicData>
                  </a:graphic>
                </wp:anchor>
              </w:drawing>
            </w:r>
          </w:p>
        </w:tc>
        <w:tc>
          <w:tcPr>
            <w:tcW w:w="832" w:type="pct"/>
            <w:shd w:val="clear" w:color="auto" w:fill="auto"/>
            <w:vAlign w:val="center"/>
          </w:tcPr>
          <w:p w14:paraId="21EADA5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068F3CD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7AC36EE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740B778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63686D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606CA3C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1AA13F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36AF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7" w:hRule="atLeast"/>
        </w:trPr>
        <w:tc>
          <w:tcPr>
            <w:tcW w:w="270" w:type="pct"/>
            <w:shd w:val="clear" w:color="auto" w:fill="auto"/>
            <w:noWrap/>
            <w:vAlign w:val="center"/>
          </w:tcPr>
          <w:p w14:paraId="670AB5B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69</w:t>
            </w:r>
          </w:p>
        </w:tc>
        <w:tc>
          <w:tcPr>
            <w:tcW w:w="548" w:type="pct"/>
            <w:shd w:val="clear" w:color="auto" w:fill="auto"/>
            <w:vAlign w:val="center"/>
          </w:tcPr>
          <w:p w14:paraId="1DDA798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微波炉</w:t>
            </w:r>
          </w:p>
        </w:tc>
        <w:tc>
          <w:tcPr>
            <w:tcW w:w="502" w:type="pct"/>
            <w:shd w:val="clear" w:color="auto" w:fill="auto"/>
            <w:vAlign w:val="top"/>
          </w:tcPr>
          <w:p w14:paraId="368736E7">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-15875</wp:posOffset>
                  </wp:positionH>
                  <wp:positionV relativeFrom="paragraph">
                    <wp:posOffset>549275</wp:posOffset>
                  </wp:positionV>
                  <wp:extent cx="833120" cy="450850"/>
                  <wp:effectExtent l="0" t="0" r="5080" b="6350"/>
                  <wp:wrapNone/>
                  <wp:docPr id="105" name="ID_40B5BDA828104B4798D80B52D64906F1"/>
                  <wp:cNvGraphicFramePr/>
                  <a:graphic xmlns:a="http://schemas.openxmlformats.org/drawingml/2006/main">
                    <a:graphicData uri="http://schemas.openxmlformats.org/drawingml/2006/picture">
                      <pic:pic xmlns:pic="http://schemas.openxmlformats.org/drawingml/2006/picture">
                        <pic:nvPicPr>
                          <pic:cNvPr id="105" name="ID_40B5BDA828104B4798D80B52D64906F1"/>
                          <pic:cNvPicPr/>
                        </pic:nvPicPr>
                        <pic:blipFill>
                          <a:blip r:embed="rId48"/>
                          <a:stretch>
                            <a:fillRect/>
                          </a:stretch>
                        </pic:blipFill>
                        <pic:spPr>
                          <a:xfrm>
                            <a:off x="0" y="0"/>
                            <a:ext cx="833120" cy="450850"/>
                          </a:xfrm>
                          <a:prstGeom prst="rect">
                            <a:avLst/>
                          </a:prstGeom>
                          <a:noFill/>
                          <a:ln>
                            <a:noFill/>
                          </a:ln>
                        </pic:spPr>
                      </pic:pic>
                    </a:graphicData>
                  </a:graphic>
                </wp:anchor>
              </w:drawing>
            </w:r>
          </w:p>
        </w:tc>
        <w:tc>
          <w:tcPr>
            <w:tcW w:w="832" w:type="pct"/>
            <w:shd w:val="clear" w:color="auto" w:fill="auto"/>
            <w:vAlign w:val="center"/>
          </w:tcPr>
          <w:p w14:paraId="41E020A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7F76A7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一、结构：微波炉，容量23L（大平板），具备烧烤功能（最高烧烤温度＜150℃），一级能效。</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1.额定电压：220V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2.功率：800W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烧烤最高温度：＜150℃</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3.能效等级：一级</w:t>
            </w:r>
          </w:p>
        </w:tc>
        <w:tc>
          <w:tcPr>
            <w:tcW w:w="376" w:type="pct"/>
            <w:shd w:val="clear" w:color="auto" w:fill="auto"/>
            <w:noWrap/>
            <w:vAlign w:val="center"/>
          </w:tcPr>
          <w:p w14:paraId="31FB221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格兰仕、美的</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1F12F42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3BF6F74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2DAB78E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720</w:t>
            </w:r>
          </w:p>
        </w:tc>
        <w:tc>
          <w:tcPr>
            <w:tcW w:w="231" w:type="pct"/>
            <w:shd w:val="clear" w:color="auto" w:fill="auto"/>
            <w:noWrap/>
            <w:vAlign w:val="center"/>
          </w:tcPr>
          <w:p w14:paraId="54598E0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720</w:t>
            </w:r>
          </w:p>
        </w:tc>
      </w:tr>
      <w:tr w14:paraId="31C5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06" w:hRule="atLeast"/>
        </w:trPr>
        <w:tc>
          <w:tcPr>
            <w:tcW w:w="270" w:type="pct"/>
            <w:shd w:val="clear" w:color="auto" w:fill="auto"/>
            <w:vAlign w:val="center"/>
          </w:tcPr>
          <w:p w14:paraId="708AB9E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70</w:t>
            </w:r>
          </w:p>
        </w:tc>
        <w:tc>
          <w:tcPr>
            <w:tcW w:w="548" w:type="pct"/>
            <w:shd w:val="clear" w:color="auto" w:fill="auto"/>
            <w:vAlign w:val="center"/>
          </w:tcPr>
          <w:p w14:paraId="3D84E21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破壁机</w:t>
            </w:r>
          </w:p>
        </w:tc>
        <w:tc>
          <w:tcPr>
            <w:tcW w:w="502" w:type="pct"/>
            <w:shd w:val="clear" w:color="auto" w:fill="auto"/>
            <w:vAlign w:val="top"/>
          </w:tcPr>
          <w:p w14:paraId="00ADC794">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18415</wp:posOffset>
                  </wp:positionH>
                  <wp:positionV relativeFrom="paragraph">
                    <wp:posOffset>92710</wp:posOffset>
                  </wp:positionV>
                  <wp:extent cx="708025" cy="1485265"/>
                  <wp:effectExtent l="0" t="0" r="15875" b="635"/>
                  <wp:wrapNone/>
                  <wp:docPr id="106" name="ID_B6310E22DD534123AAB2002919B79B59"/>
                  <wp:cNvGraphicFramePr/>
                  <a:graphic xmlns:a="http://schemas.openxmlformats.org/drawingml/2006/main">
                    <a:graphicData uri="http://schemas.openxmlformats.org/drawingml/2006/picture">
                      <pic:pic xmlns:pic="http://schemas.openxmlformats.org/drawingml/2006/picture">
                        <pic:nvPicPr>
                          <pic:cNvPr id="106" name="ID_B6310E22DD534123AAB2002919B79B59"/>
                          <pic:cNvPicPr/>
                        </pic:nvPicPr>
                        <pic:blipFill>
                          <a:blip r:embed="rId49"/>
                          <a:stretch>
                            <a:fillRect/>
                          </a:stretch>
                        </pic:blipFill>
                        <pic:spPr>
                          <a:xfrm>
                            <a:off x="0" y="0"/>
                            <a:ext cx="708025" cy="1485265"/>
                          </a:xfrm>
                          <a:prstGeom prst="rect">
                            <a:avLst/>
                          </a:prstGeom>
                          <a:noFill/>
                          <a:ln>
                            <a:noFill/>
                          </a:ln>
                        </pic:spPr>
                      </pic:pic>
                    </a:graphicData>
                  </a:graphic>
                </wp:anchor>
              </w:drawing>
            </w:r>
          </w:p>
        </w:tc>
        <w:tc>
          <w:tcPr>
            <w:tcW w:w="832" w:type="pct"/>
            <w:shd w:val="clear" w:color="auto" w:fill="auto"/>
            <w:vAlign w:val="center"/>
          </w:tcPr>
          <w:p w14:paraId="3D367F7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3D8339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一、结构：商用大容量破壁机，容量10L，最低水位线3L，支持定时定速、免看管。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1.刀头：304不锈钢或420不锈钢，8页刀片</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2.杯体：优质PC塑料</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3.电机：全铜电机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1.额定电压：220V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3.转速：24500r/min</w:t>
            </w:r>
          </w:p>
        </w:tc>
        <w:tc>
          <w:tcPr>
            <w:tcW w:w="376" w:type="pct"/>
            <w:shd w:val="clear" w:color="auto" w:fill="auto"/>
            <w:noWrap/>
            <w:vAlign w:val="center"/>
          </w:tcPr>
          <w:p w14:paraId="3C35BD1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德玛仕、欧诺华、耐惠</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2755F88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62026B1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9B579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750</w:t>
            </w:r>
          </w:p>
        </w:tc>
        <w:tc>
          <w:tcPr>
            <w:tcW w:w="231" w:type="pct"/>
            <w:shd w:val="clear" w:color="auto" w:fill="auto"/>
            <w:noWrap/>
            <w:vAlign w:val="center"/>
          </w:tcPr>
          <w:p w14:paraId="3AF2211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750</w:t>
            </w:r>
          </w:p>
        </w:tc>
      </w:tr>
      <w:tr w14:paraId="4664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2" w:hRule="atLeast"/>
        </w:trPr>
        <w:tc>
          <w:tcPr>
            <w:tcW w:w="270" w:type="pct"/>
            <w:shd w:val="clear" w:color="auto" w:fill="auto"/>
            <w:noWrap/>
            <w:vAlign w:val="center"/>
          </w:tcPr>
          <w:p w14:paraId="038CD351">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71</w:t>
            </w:r>
          </w:p>
        </w:tc>
        <w:tc>
          <w:tcPr>
            <w:tcW w:w="548" w:type="pct"/>
            <w:shd w:val="clear" w:color="auto" w:fill="auto"/>
            <w:vAlign w:val="center"/>
          </w:tcPr>
          <w:p w14:paraId="2F01560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电磁炉</w:t>
            </w:r>
          </w:p>
        </w:tc>
        <w:tc>
          <w:tcPr>
            <w:tcW w:w="502" w:type="pct"/>
            <w:shd w:val="clear" w:color="auto" w:fill="auto"/>
            <w:vAlign w:val="top"/>
          </w:tcPr>
          <w:p w14:paraId="5CF9599C">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-13335</wp:posOffset>
                  </wp:positionH>
                  <wp:positionV relativeFrom="paragraph">
                    <wp:posOffset>172720</wp:posOffset>
                  </wp:positionV>
                  <wp:extent cx="828675" cy="1244600"/>
                  <wp:effectExtent l="0" t="0" r="9525" b="12700"/>
                  <wp:wrapNone/>
                  <wp:docPr id="76" name="ID_8231660560784E2697C22177A5810ECD"/>
                  <wp:cNvGraphicFramePr/>
                  <a:graphic xmlns:a="http://schemas.openxmlformats.org/drawingml/2006/main">
                    <a:graphicData uri="http://schemas.openxmlformats.org/drawingml/2006/picture">
                      <pic:pic xmlns:pic="http://schemas.openxmlformats.org/drawingml/2006/picture">
                        <pic:nvPicPr>
                          <pic:cNvPr id="76" name="ID_8231660560784E2697C22177A5810ECD"/>
                          <pic:cNvPicPr/>
                        </pic:nvPicPr>
                        <pic:blipFill>
                          <a:blip r:embed="rId50"/>
                          <a:stretch>
                            <a:fillRect/>
                          </a:stretch>
                        </pic:blipFill>
                        <pic:spPr>
                          <a:xfrm>
                            <a:off x="0" y="0"/>
                            <a:ext cx="828675" cy="1244600"/>
                          </a:xfrm>
                          <a:prstGeom prst="rect">
                            <a:avLst/>
                          </a:prstGeom>
                          <a:noFill/>
                          <a:ln>
                            <a:noFill/>
                          </a:ln>
                        </pic:spPr>
                      </pic:pic>
                    </a:graphicData>
                  </a:graphic>
                </wp:anchor>
              </w:drawing>
            </w:r>
          </w:p>
        </w:tc>
        <w:tc>
          <w:tcPr>
            <w:tcW w:w="832" w:type="pct"/>
            <w:shd w:val="clear" w:color="auto" w:fill="auto"/>
            <w:vAlign w:val="center"/>
          </w:tcPr>
          <w:p w14:paraId="76169220">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98BE9E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一、结构：电磁炉，触摸式操作，9档火力调节，支持定时，节能功能。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1.面板：微晶玻璃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2.外壳：阻燃塑料</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1.电压：220V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2.功率：2.2kw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3.能效等级：二级</w:t>
            </w:r>
          </w:p>
        </w:tc>
        <w:tc>
          <w:tcPr>
            <w:tcW w:w="376" w:type="pct"/>
            <w:shd w:val="clear" w:color="auto" w:fill="auto"/>
            <w:noWrap/>
            <w:vAlign w:val="center"/>
          </w:tcPr>
          <w:p w14:paraId="56C2E12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九阳、美的、苏泊尔</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5349305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0C49597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0BD5FE6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6CD9180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23F5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270" w:type="pct"/>
            <w:shd w:val="clear" w:color="auto" w:fill="auto"/>
            <w:noWrap/>
            <w:vAlign w:val="center"/>
          </w:tcPr>
          <w:p w14:paraId="539C4534">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72</w:t>
            </w:r>
          </w:p>
        </w:tc>
        <w:tc>
          <w:tcPr>
            <w:tcW w:w="548" w:type="pct"/>
            <w:shd w:val="clear" w:color="auto" w:fill="auto"/>
            <w:vAlign w:val="center"/>
          </w:tcPr>
          <w:p w14:paraId="53ADF55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消毒柜</w:t>
            </w:r>
          </w:p>
        </w:tc>
        <w:tc>
          <w:tcPr>
            <w:tcW w:w="502" w:type="pct"/>
            <w:shd w:val="clear" w:color="auto" w:fill="auto"/>
            <w:vAlign w:val="top"/>
          </w:tcPr>
          <w:p w14:paraId="489F2D0D">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96520</wp:posOffset>
                  </wp:positionH>
                  <wp:positionV relativeFrom="paragraph">
                    <wp:posOffset>156210</wp:posOffset>
                  </wp:positionV>
                  <wp:extent cx="621665" cy="1339215"/>
                  <wp:effectExtent l="0" t="0" r="6985" b="13335"/>
                  <wp:wrapNone/>
                  <wp:docPr id="107" name="图片_61"/>
                  <wp:cNvGraphicFramePr/>
                  <a:graphic xmlns:a="http://schemas.openxmlformats.org/drawingml/2006/main">
                    <a:graphicData uri="http://schemas.openxmlformats.org/drawingml/2006/picture">
                      <pic:pic xmlns:pic="http://schemas.openxmlformats.org/drawingml/2006/picture">
                        <pic:nvPicPr>
                          <pic:cNvPr id="107" name="图片_61"/>
                          <pic:cNvPicPr/>
                        </pic:nvPicPr>
                        <pic:blipFill>
                          <a:blip r:embed="rId51"/>
                          <a:stretch>
                            <a:fillRect/>
                          </a:stretch>
                        </pic:blipFill>
                        <pic:spPr>
                          <a:xfrm>
                            <a:off x="0" y="0"/>
                            <a:ext cx="621665" cy="1339215"/>
                          </a:xfrm>
                          <a:prstGeom prst="rect">
                            <a:avLst/>
                          </a:prstGeom>
                          <a:noFill/>
                          <a:ln>
                            <a:noFill/>
                          </a:ln>
                        </pic:spPr>
                      </pic:pic>
                    </a:graphicData>
                  </a:graphic>
                </wp:anchor>
              </w:drawing>
            </w:r>
          </w:p>
        </w:tc>
        <w:tc>
          <w:tcPr>
            <w:tcW w:w="832" w:type="pct"/>
            <w:shd w:val="clear" w:color="auto" w:fill="auto"/>
            <w:vAlign w:val="center"/>
          </w:tcPr>
          <w:p w14:paraId="37C560A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1559" w:type="pct"/>
            <w:shd w:val="clear" w:color="auto" w:fill="auto"/>
            <w:vAlign w:val="center"/>
          </w:tcPr>
          <w:p w14:paraId="5CA053B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一、结构：双室独立，上室85℃烘干，下室125℃高温消毒，总120L（上45±5L/下75±5L）。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1.内胆430不锈钢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2.层架202不锈钢，5层可调节</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3.石英发热管≥5000h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4.面板普通玻璃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5.外壳不锈钢/喷涂钢板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1.120R01</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2.220V/50Hz，800W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3.上室周期50min，下室45min</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4.下室消毒≥15min</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▲5.二星级消毒</w:t>
            </w:r>
          </w:p>
        </w:tc>
        <w:tc>
          <w:tcPr>
            <w:tcW w:w="376" w:type="pct"/>
            <w:shd w:val="clear" w:color="auto" w:fill="auto"/>
            <w:noWrap/>
            <w:vAlign w:val="center"/>
          </w:tcPr>
          <w:p w14:paraId="7BBEAB6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美的、康宝、鑫朗特</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45C3260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341EDCF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0BA9A0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c>
          <w:tcPr>
            <w:tcW w:w="231" w:type="pct"/>
            <w:shd w:val="clear" w:color="auto" w:fill="auto"/>
            <w:noWrap/>
            <w:vAlign w:val="center"/>
          </w:tcPr>
          <w:p w14:paraId="40A22B3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w:t>
            </w:r>
          </w:p>
        </w:tc>
      </w:tr>
      <w:tr w14:paraId="6CEE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70" w:type="pct"/>
            <w:shd w:val="clear" w:color="auto" w:fill="auto"/>
            <w:vAlign w:val="center"/>
          </w:tcPr>
          <w:p w14:paraId="2712BCD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73</w:t>
            </w:r>
          </w:p>
        </w:tc>
        <w:tc>
          <w:tcPr>
            <w:tcW w:w="548" w:type="pct"/>
            <w:shd w:val="clear" w:color="auto" w:fill="auto"/>
            <w:vAlign w:val="center"/>
          </w:tcPr>
          <w:p w14:paraId="361D190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单门药品冷藏柜</w:t>
            </w:r>
          </w:p>
        </w:tc>
        <w:tc>
          <w:tcPr>
            <w:tcW w:w="502" w:type="pct"/>
            <w:shd w:val="clear" w:color="auto" w:fill="auto"/>
            <w:vAlign w:val="top"/>
          </w:tcPr>
          <w:p w14:paraId="4ABC0444">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135890</wp:posOffset>
                  </wp:positionH>
                  <wp:positionV relativeFrom="paragraph">
                    <wp:posOffset>145415</wp:posOffset>
                  </wp:positionV>
                  <wp:extent cx="475615" cy="979805"/>
                  <wp:effectExtent l="0" t="0" r="635" b="10795"/>
                  <wp:wrapNone/>
                  <wp:docPr id="108" name="ID_AC123CA185E440148A500EC012E9A9BC"/>
                  <wp:cNvGraphicFramePr/>
                  <a:graphic xmlns:a="http://schemas.openxmlformats.org/drawingml/2006/main">
                    <a:graphicData uri="http://schemas.openxmlformats.org/drawingml/2006/picture">
                      <pic:pic xmlns:pic="http://schemas.openxmlformats.org/drawingml/2006/picture">
                        <pic:nvPicPr>
                          <pic:cNvPr id="108" name="ID_AC123CA185E440148A500EC012E9A9BC"/>
                          <pic:cNvPicPr/>
                        </pic:nvPicPr>
                        <pic:blipFill>
                          <a:blip r:embed="rId52"/>
                          <a:stretch>
                            <a:fillRect/>
                          </a:stretch>
                        </pic:blipFill>
                        <pic:spPr>
                          <a:xfrm>
                            <a:off x="0" y="0"/>
                            <a:ext cx="475615" cy="979805"/>
                          </a:xfrm>
                          <a:prstGeom prst="rect">
                            <a:avLst/>
                          </a:prstGeom>
                          <a:noFill/>
                          <a:ln>
                            <a:noFill/>
                          </a:ln>
                        </pic:spPr>
                      </pic:pic>
                    </a:graphicData>
                  </a:graphic>
                </wp:anchor>
              </w:drawing>
            </w:r>
          </w:p>
        </w:tc>
        <w:tc>
          <w:tcPr>
            <w:tcW w:w="832" w:type="pct"/>
            <w:shd w:val="clear" w:color="auto" w:fill="auto"/>
            <w:vAlign w:val="center"/>
          </w:tcPr>
          <w:p w14:paraId="3045EB0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4539C05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一、结构：单门，风冷无霜，容积≥380L；阴凉/冷藏一键切换（阴凉8-20℃，冷藏2-8℃）；层架自由调节。</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1.外壳：喷涂钢板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3.门体：中空玻璃，带锁</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p>
        </w:tc>
        <w:tc>
          <w:tcPr>
            <w:tcW w:w="376" w:type="pct"/>
            <w:shd w:val="clear" w:color="auto" w:fill="auto"/>
            <w:noWrap/>
            <w:vAlign w:val="center"/>
          </w:tcPr>
          <w:p w14:paraId="426685B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哈里森、欧弛宝、志高</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2ACB25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254A8C6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0E9E69B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2250</w:t>
            </w:r>
          </w:p>
        </w:tc>
        <w:tc>
          <w:tcPr>
            <w:tcW w:w="231" w:type="pct"/>
            <w:shd w:val="clear" w:color="auto" w:fill="auto"/>
            <w:noWrap/>
            <w:vAlign w:val="center"/>
          </w:tcPr>
          <w:p w14:paraId="5E7BD86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2250</w:t>
            </w:r>
          </w:p>
        </w:tc>
      </w:tr>
      <w:tr w14:paraId="43E0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58" w:hRule="atLeast"/>
        </w:trPr>
        <w:tc>
          <w:tcPr>
            <w:tcW w:w="270" w:type="pct"/>
            <w:shd w:val="clear" w:color="auto" w:fill="auto"/>
            <w:noWrap/>
            <w:vAlign w:val="center"/>
          </w:tcPr>
          <w:p w14:paraId="10B0B0E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74</w:t>
            </w:r>
          </w:p>
        </w:tc>
        <w:tc>
          <w:tcPr>
            <w:tcW w:w="548" w:type="pct"/>
            <w:vMerge w:val="restart"/>
            <w:shd w:val="clear" w:color="auto" w:fill="auto"/>
            <w:vAlign w:val="center"/>
          </w:tcPr>
          <w:p w14:paraId="22A7EFA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单通移门荷台柜</w:t>
            </w:r>
          </w:p>
        </w:tc>
        <w:tc>
          <w:tcPr>
            <w:tcW w:w="502" w:type="pct"/>
            <w:vMerge w:val="restart"/>
            <w:shd w:val="clear" w:color="auto" w:fill="auto"/>
            <w:noWrap/>
            <w:vAlign w:val="center"/>
          </w:tcPr>
          <w:p w14:paraId="1F7C677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-27940</wp:posOffset>
                  </wp:positionH>
                  <wp:positionV relativeFrom="paragraph">
                    <wp:posOffset>560705</wp:posOffset>
                  </wp:positionV>
                  <wp:extent cx="824865" cy="629285"/>
                  <wp:effectExtent l="0" t="0" r="13335" b="18415"/>
                  <wp:wrapNone/>
                  <wp:docPr id="77" name="ID_B8E2D1F4E15D4D1D9159953AC0F178D4"/>
                  <wp:cNvGraphicFramePr/>
                  <a:graphic xmlns:a="http://schemas.openxmlformats.org/drawingml/2006/main">
                    <a:graphicData uri="http://schemas.openxmlformats.org/drawingml/2006/picture">
                      <pic:pic xmlns:pic="http://schemas.openxmlformats.org/drawingml/2006/picture">
                        <pic:nvPicPr>
                          <pic:cNvPr id="77" name="ID_B8E2D1F4E15D4D1D9159953AC0F178D4"/>
                          <pic:cNvPicPr/>
                        </pic:nvPicPr>
                        <pic:blipFill>
                          <a:blip r:embed="rId53"/>
                          <a:stretch>
                            <a:fillRect/>
                          </a:stretch>
                        </pic:blipFill>
                        <pic:spPr>
                          <a:xfrm>
                            <a:off x="0" y="0"/>
                            <a:ext cx="824865" cy="629285"/>
                          </a:xfrm>
                          <a:prstGeom prst="rect">
                            <a:avLst/>
                          </a:prstGeom>
                          <a:noFill/>
                          <a:ln>
                            <a:noFill/>
                          </a:ln>
                        </pic:spPr>
                      </pic:pic>
                    </a:graphicData>
                  </a:graphic>
                </wp:anchor>
              </w:drawing>
            </w: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551180</wp:posOffset>
                  </wp:positionH>
                  <wp:positionV relativeFrom="paragraph">
                    <wp:posOffset>1464310</wp:posOffset>
                  </wp:positionV>
                  <wp:extent cx="42545" cy="8255"/>
                  <wp:effectExtent l="0" t="0" r="0" b="0"/>
                  <wp:wrapNone/>
                  <wp:docPr id="109" name="图片_3_SpCnt_1"/>
                  <wp:cNvGraphicFramePr/>
                  <a:graphic xmlns:a="http://schemas.openxmlformats.org/drawingml/2006/main">
                    <a:graphicData uri="http://schemas.openxmlformats.org/drawingml/2006/picture">
                      <pic:pic xmlns:pic="http://schemas.openxmlformats.org/drawingml/2006/picture">
                        <pic:nvPicPr>
                          <pic:cNvPr id="109" name="图片_3_SpCnt_1"/>
                          <pic:cNvPicPr/>
                        </pic:nvPicPr>
                        <pic:blipFill>
                          <a:blip r:embed="rId54"/>
                          <a:stretch>
                            <a:fillRect/>
                          </a:stretch>
                        </pic:blipFill>
                        <pic:spPr>
                          <a:xfrm>
                            <a:off x="0" y="0"/>
                            <a:ext cx="42545" cy="8255"/>
                          </a:xfrm>
                          <a:prstGeom prst="rect">
                            <a:avLst/>
                          </a:prstGeom>
                          <a:noFill/>
                          <a:ln>
                            <a:noFill/>
                          </a:ln>
                        </pic:spPr>
                      </pic:pic>
                    </a:graphicData>
                  </a:graphic>
                </wp:anchor>
              </w:drawing>
            </w:r>
          </w:p>
        </w:tc>
        <w:tc>
          <w:tcPr>
            <w:tcW w:w="832" w:type="pct"/>
            <w:shd w:val="clear" w:color="auto" w:fill="auto"/>
            <w:vAlign w:val="center"/>
          </w:tcPr>
          <w:p w14:paraId="375B911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1200×700×800mm</w:t>
            </w:r>
          </w:p>
        </w:tc>
        <w:tc>
          <w:tcPr>
            <w:tcW w:w="1559" w:type="pct"/>
            <w:vMerge w:val="restart"/>
            <w:shd w:val="clear" w:color="auto" w:fill="auto"/>
            <w:vAlign w:val="center"/>
          </w:tcPr>
          <w:p w14:paraId="4E9877A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一、结构：单通移门荷台柜，趟门设计。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1.台面：1.2mm厚304不锈钢板，下衬15mm防潮夹木板及双工字型1.0mm不锈钢方通加强筋，种钉加固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2.层板、底板、侧板：1.2mm厚304不锈钢板，内部各衬2条1.0mm不锈钢方通加强筋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3.趟门：1.0mm厚304不锈钢板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4.脚：4个Ф51mm304不锈钢可调脚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5.焊接与表面处理：满焊及内角鱼鳞焊，焊口羊毛轮抛光打蜡，拉丝纹路一致，光滑无毛刺</w:t>
            </w:r>
          </w:p>
        </w:tc>
        <w:tc>
          <w:tcPr>
            <w:tcW w:w="376" w:type="pct"/>
            <w:vMerge w:val="restart"/>
            <w:shd w:val="clear" w:color="auto" w:fill="auto"/>
            <w:noWrap/>
            <w:vAlign w:val="center"/>
          </w:tcPr>
          <w:p w14:paraId="53F55F25">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319DDC0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6D7C0B1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5A419A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2550</w:t>
            </w:r>
          </w:p>
        </w:tc>
        <w:tc>
          <w:tcPr>
            <w:tcW w:w="231" w:type="pct"/>
            <w:shd w:val="clear" w:color="auto" w:fill="auto"/>
            <w:noWrap/>
            <w:vAlign w:val="center"/>
          </w:tcPr>
          <w:p w14:paraId="158A4CB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2550</w:t>
            </w:r>
          </w:p>
        </w:tc>
      </w:tr>
      <w:tr w14:paraId="0641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0" w:hRule="atLeast"/>
        </w:trPr>
        <w:tc>
          <w:tcPr>
            <w:tcW w:w="270" w:type="pct"/>
            <w:shd w:val="clear" w:color="auto" w:fill="auto"/>
            <w:vAlign w:val="center"/>
          </w:tcPr>
          <w:p w14:paraId="2B6F4601">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75</w:t>
            </w:r>
          </w:p>
        </w:tc>
        <w:tc>
          <w:tcPr>
            <w:tcW w:w="548" w:type="pct"/>
            <w:vMerge w:val="continue"/>
            <w:shd w:val="clear" w:color="auto" w:fill="auto"/>
            <w:vAlign w:val="center"/>
          </w:tcPr>
          <w:p w14:paraId="6E243B4B">
            <w:pPr>
              <w:jc w:val="center"/>
              <w:rPr>
                <w:rFonts w:hint="eastAsia" w:ascii="仿宋" w:hAnsi="仿宋" w:eastAsia="仿宋" w:cs="仿宋"/>
                <w:i w:val="0"/>
                <w:iCs w:val="0"/>
                <w:color w:val="000000"/>
                <w:sz w:val="18"/>
                <w:szCs w:val="18"/>
                <w:highlight w:val="none"/>
                <w:u w:val="none"/>
              </w:rPr>
            </w:pPr>
          </w:p>
        </w:tc>
        <w:tc>
          <w:tcPr>
            <w:tcW w:w="502" w:type="pct"/>
            <w:vMerge w:val="continue"/>
            <w:shd w:val="clear" w:color="auto" w:fill="auto"/>
            <w:noWrap/>
            <w:vAlign w:val="center"/>
          </w:tcPr>
          <w:p w14:paraId="4371BB8D">
            <w:pPr>
              <w:jc w:val="cente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3A8863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1800×700×800mm</w:t>
            </w:r>
          </w:p>
        </w:tc>
        <w:tc>
          <w:tcPr>
            <w:tcW w:w="1559" w:type="pct"/>
            <w:vMerge w:val="continue"/>
            <w:shd w:val="clear" w:color="auto" w:fill="auto"/>
            <w:vAlign w:val="center"/>
          </w:tcPr>
          <w:p w14:paraId="1AFB35C0">
            <w:pPr>
              <w:jc w:val="left"/>
              <w:rPr>
                <w:rFonts w:hint="eastAsia" w:ascii="仿宋" w:hAnsi="仿宋" w:eastAsia="仿宋" w:cs="仿宋"/>
                <w:i w:val="0"/>
                <w:iCs w:val="0"/>
                <w:color w:val="000000"/>
                <w:sz w:val="18"/>
                <w:szCs w:val="18"/>
                <w:highlight w:val="none"/>
                <w:u w:val="none"/>
              </w:rPr>
            </w:pPr>
          </w:p>
        </w:tc>
        <w:tc>
          <w:tcPr>
            <w:tcW w:w="376" w:type="pct"/>
            <w:vMerge w:val="continue"/>
            <w:shd w:val="clear" w:color="auto" w:fill="auto"/>
            <w:noWrap/>
            <w:vAlign w:val="center"/>
          </w:tcPr>
          <w:p w14:paraId="716D794F">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1D4C4CB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08C811B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7E9B1AD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2950</w:t>
            </w:r>
          </w:p>
        </w:tc>
        <w:tc>
          <w:tcPr>
            <w:tcW w:w="231" w:type="pct"/>
            <w:shd w:val="clear" w:color="auto" w:fill="auto"/>
            <w:noWrap/>
            <w:vAlign w:val="center"/>
          </w:tcPr>
          <w:p w14:paraId="256E751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2950</w:t>
            </w:r>
          </w:p>
        </w:tc>
      </w:tr>
      <w:tr w14:paraId="5E4A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trPr>
        <w:tc>
          <w:tcPr>
            <w:tcW w:w="270" w:type="pct"/>
            <w:shd w:val="clear" w:color="auto" w:fill="auto"/>
            <w:noWrap/>
            <w:vAlign w:val="center"/>
          </w:tcPr>
          <w:p w14:paraId="35C96AA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76</w:t>
            </w:r>
          </w:p>
        </w:tc>
        <w:tc>
          <w:tcPr>
            <w:tcW w:w="548" w:type="pct"/>
            <w:shd w:val="clear" w:color="auto" w:fill="auto"/>
            <w:vAlign w:val="center"/>
          </w:tcPr>
          <w:p w14:paraId="5CCD746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双星工作台</w:t>
            </w:r>
          </w:p>
        </w:tc>
        <w:tc>
          <w:tcPr>
            <w:tcW w:w="502" w:type="pct"/>
            <w:shd w:val="clear" w:color="auto" w:fill="auto"/>
            <w:noWrap/>
            <w:vAlign w:val="center"/>
          </w:tcPr>
          <w:p w14:paraId="5BB2CE2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39370</wp:posOffset>
                  </wp:positionH>
                  <wp:positionV relativeFrom="paragraph">
                    <wp:posOffset>43180</wp:posOffset>
                  </wp:positionV>
                  <wp:extent cx="677545" cy="622935"/>
                  <wp:effectExtent l="0" t="0" r="8255" b="5715"/>
                  <wp:wrapNone/>
                  <wp:docPr id="110" name="ID_2BE47C39CD2241A18D837DDD8CC2E1B7_SpCnt_1"/>
                  <wp:cNvGraphicFramePr/>
                  <a:graphic xmlns:a="http://schemas.openxmlformats.org/drawingml/2006/main">
                    <a:graphicData uri="http://schemas.openxmlformats.org/drawingml/2006/picture">
                      <pic:pic xmlns:pic="http://schemas.openxmlformats.org/drawingml/2006/picture">
                        <pic:nvPicPr>
                          <pic:cNvPr id="110" name="ID_2BE47C39CD2241A18D837DDD8CC2E1B7_SpCnt_1"/>
                          <pic:cNvPicPr/>
                        </pic:nvPicPr>
                        <pic:blipFill>
                          <a:blip r:embed="rId13"/>
                          <a:stretch>
                            <a:fillRect/>
                          </a:stretch>
                        </pic:blipFill>
                        <pic:spPr>
                          <a:xfrm>
                            <a:off x="0" y="0"/>
                            <a:ext cx="677545" cy="622935"/>
                          </a:xfrm>
                          <a:prstGeom prst="rect">
                            <a:avLst/>
                          </a:prstGeom>
                          <a:noFill/>
                          <a:ln>
                            <a:noFill/>
                          </a:ln>
                        </pic:spPr>
                      </pic:pic>
                    </a:graphicData>
                  </a:graphic>
                </wp:anchor>
              </w:drawing>
            </w:r>
          </w:p>
        </w:tc>
        <w:tc>
          <w:tcPr>
            <w:tcW w:w="832" w:type="pct"/>
            <w:shd w:val="clear" w:color="auto" w:fill="auto"/>
            <w:vAlign w:val="center"/>
          </w:tcPr>
          <w:p w14:paraId="58478E0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1500×700×800mm，后挡水高度150mm</w:t>
            </w:r>
          </w:p>
        </w:tc>
        <w:tc>
          <w:tcPr>
            <w:tcW w:w="1559" w:type="pct"/>
            <w:shd w:val="clear" w:color="auto" w:fill="auto"/>
            <w:vAlign w:val="center"/>
          </w:tcPr>
          <w:p w14:paraId="1248A6B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一、结构：双星盆+工作台，带背挡水及前滴水沿，盆斗与面板一体拉伸或无缝焊接，台面四边双曲压弯40mm，支架满焊并配防滑脚。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1.面板：304不锈钢1.2mm厚拉丝板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三、配件（每个星盆配）：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2.304提笼式去水器（带防臭存水弯）</w:t>
            </w:r>
          </w:p>
        </w:tc>
        <w:tc>
          <w:tcPr>
            <w:tcW w:w="376" w:type="pct"/>
            <w:shd w:val="clear" w:color="auto" w:fill="auto"/>
            <w:vAlign w:val="center"/>
          </w:tcPr>
          <w:p w14:paraId="61B9F025">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67875C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373FAB4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FEF2D0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1640</w:t>
            </w:r>
          </w:p>
        </w:tc>
        <w:tc>
          <w:tcPr>
            <w:tcW w:w="231" w:type="pct"/>
            <w:shd w:val="clear" w:color="auto" w:fill="auto"/>
            <w:noWrap/>
            <w:vAlign w:val="center"/>
          </w:tcPr>
          <w:p w14:paraId="7326059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1640</w:t>
            </w:r>
          </w:p>
        </w:tc>
      </w:tr>
      <w:tr w14:paraId="0F58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 w:type="pct"/>
            <w:shd w:val="clear" w:color="auto" w:fill="auto"/>
            <w:vAlign w:val="center"/>
          </w:tcPr>
          <w:p w14:paraId="40DA2D7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M </w:t>
            </w:r>
          </w:p>
        </w:tc>
        <w:tc>
          <w:tcPr>
            <w:tcW w:w="548" w:type="pct"/>
            <w:shd w:val="clear" w:color="auto" w:fill="auto"/>
            <w:vAlign w:val="center"/>
          </w:tcPr>
          <w:p w14:paraId="684E4B6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员工休息间</w:t>
            </w:r>
          </w:p>
        </w:tc>
        <w:tc>
          <w:tcPr>
            <w:tcW w:w="502" w:type="pct"/>
            <w:shd w:val="clear" w:color="auto" w:fill="auto"/>
            <w:vAlign w:val="center"/>
          </w:tcPr>
          <w:p w14:paraId="2CC05C69">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186EDA08">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6625254">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089C52C0">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032DA736">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2F29383A">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6BCE7619">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1D31E54D">
            <w:pPr>
              <w:jc w:val="center"/>
              <w:rPr>
                <w:rFonts w:hint="eastAsia" w:ascii="仿宋" w:hAnsi="仿宋" w:eastAsia="仿宋" w:cs="仿宋"/>
                <w:i w:val="0"/>
                <w:iCs w:val="0"/>
                <w:color w:val="000000"/>
                <w:sz w:val="18"/>
                <w:szCs w:val="18"/>
                <w:highlight w:val="none"/>
                <w:u w:val="none"/>
              </w:rPr>
            </w:pPr>
          </w:p>
        </w:tc>
      </w:tr>
      <w:tr w14:paraId="3390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270" w:type="pct"/>
            <w:shd w:val="clear" w:color="auto" w:fill="auto"/>
            <w:vAlign w:val="center"/>
          </w:tcPr>
          <w:p w14:paraId="386061BD">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77</w:t>
            </w:r>
          </w:p>
        </w:tc>
        <w:tc>
          <w:tcPr>
            <w:tcW w:w="548" w:type="pct"/>
            <w:shd w:val="clear" w:color="auto" w:fill="auto"/>
            <w:vAlign w:val="center"/>
          </w:tcPr>
          <w:p w14:paraId="165E17A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四移门碗碟柜</w:t>
            </w:r>
          </w:p>
        </w:tc>
        <w:tc>
          <w:tcPr>
            <w:tcW w:w="502" w:type="pct"/>
            <w:shd w:val="clear" w:color="auto" w:fill="auto"/>
            <w:vAlign w:val="top"/>
          </w:tcPr>
          <w:p w14:paraId="19AC738D">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-18415</wp:posOffset>
                  </wp:positionH>
                  <wp:positionV relativeFrom="paragraph">
                    <wp:posOffset>510540</wp:posOffset>
                  </wp:positionV>
                  <wp:extent cx="810895" cy="680720"/>
                  <wp:effectExtent l="0" t="0" r="8255" b="5080"/>
                  <wp:wrapNone/>
                  <wp:docPr id="111" name="ID_90ABB6A054864DD49BA5030DCCEDC70D"/>
                  <wp:cNvGraphicFramePr/>
                  <a:graphic xmlns:a="http://schemas.openxmlformats.org/drawingml/2006/main">
                    <a:graphicData uri="http://schemas.openxmlformats.org/drawingml/2006/picture">
                      <pic:pic xmlns:pic="http://schemas.openxmlformats.org/drawingml/2006/picture">
                        <pic:nvPicPr>
                          <pic:cNvPr id="111" name="ID_90ABB6A054864DD49BA5030DCCEDC70D"/>
                          <pic:cNvPicPr/>
                        </pic:nvPicPr>
                        <pic:blipFill>
                          <a:blip r:embed="rId55"/>
                          <a:stretch>
                            <a:fillRect/>
                          </a:stretch>
                        </pic:blipFill>
                        <pic:spPr>
                          <a:xfrm>
                            <a:off x="0" y="0"/>
                            <a:ext cx="810895" cy="680720"/>
                          </a:xfrm>
                          <a:prstGeom prst="rect">
                            <a:avLst/>
                          </a:prstGeom>
                          <a:noFill/>
                          <a:ln>
                            <a:noFill/>
                          </a:ln>
                        </pic:spPr>
                      </pic:pic>
                    </a:graphicData>
                  </a:graphic>
                </wp:anchor>
              </w:drawing>
            </w:r>
          </w:p>
        </w:tc>
        <w:tc>
          <w:tcPr>
            <w:tcW w:w="832" w:type="pct"/>
            <w:shd w:val="clear" w:color="auto" w:fill="auto"/>
            <w:vAlign w:val="center"/>
          </w:tcPr>
          <w:p w14:paraId="5E9796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1200×500×1800mm</w:t>
            </w:r>
          </w:p>
        </w:tc>
        <w:tc>
          <w:tcPr>
            <w:tcW w:w="1559" w:type="pct"/>
            <w:shd w:val="clear" w:color="auto" w:fill="auto"/>
            <w:vAlign w:val="center"/>
          </w:tcPr>
          <w:p w14:paraId="0FE416D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一、结构：四移门碗碟柜，趟门设计。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1.柜身：304不锈钢，厚度1.2mm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2.层板：304不锈钢，厚度1.0mm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3.趟门板：304不锈钢，厚度1.0mm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4.加强筋：1.0mm不锈钢方通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5.地脚：Φ48mm全钢可调子弹脚</w:t>
            </w:r>
          </w:p>
        </w:tc>
        <w:tc>
          <w:tcPr>
            <w:tcW w:w="376" w:type="pct"/>
            <w:shd w:val="clear" w:color="auto" w:fill="auto"/>
            <w:vAlign w:val="center"/>
          </w:tcPr>
          <w:p w14:paraId="5D5595E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E4A678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897398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BB24BB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3250</w:t>
            </w:r>
          </w:p>
        </w:tc>
        <w:tc>
          <w:tcPr>
            <w:tcW w:w="231" w:type="pct"/>
            <w:shd w:val="clear" w:color="auto" w:fill="auto"/>
            <w:noWrap/>
            <w:vAlign w:val="center"/>
          </w:tcPr>
          <w:p w14:paraId="7361398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3250</w:t>
            </w:r>
          </w:p>
        </w:tc>
      </w:tr>
      <w:tr w14:paraId="1600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vAlign w:val="center"/>
          </w:tcPr>
          <w:p w14:paraId="7EB9E6E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N </w:t>
            </w:r>
          </w:p>
        </w:tc>
        <w:tc>
          <w:tcPr>
            <w:tcW w:w="548" w:type="pct"/>
            <w:shd w:val="clear" w:color="auto" w:fill="auto"/>
            <w:vAlign w:val="center"/>
          </w:tcPr>
          <w:p w14:paraId="0ED621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拖把间</w:t>
            </w:r>
          </w:p>
        </w:tc>
        <w:tc>
          <w:tcPr>
            <w:tcW w:w="502" w:type="pct"/>
            <w:shd w:val="clear" w:color="auto" w:fill="auto"/>
            <w:vAlign w:val="center"/>
          </w:tcPr>
          <w:p w14:paraId="30E0385D">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5263D195">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069B4181">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3967B1FF">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50C88534">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0F650059">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33ACB67C">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3A304CDC">
            <w:pPr>
              <w:jc w:val="center"/>
              <w:rPr>
                <w:rFonts w:hint="eastAsia" w:ascii="仿宋" w:hAnsi="仿宋" w:eastAsia="仿宋" w:cs="仿宋"/>
                <w:i w:val="0"/>
                <w:iCs w:val="0"/>
                <w:color w:val="000000"/>
                <w:sz w:val="18"/>
                <w:szCs w:val="18"/>
                <w:highlight w:val="none"/>
                <w:u w:val="none"/>
              </w:rPr>
            </w:pPr>
          </w:p>
        </w:tc>
      </w:tr>
      <w:tr w14:paraId="111E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5" w:hRule="atLeast"/>
        </w:trPr>
        <w:tc>
          <w:tcPr>
            <w:tcW w:w="270" w:type="pct"/>
            <w:shd w:val="clear" w:color="auto" w:fill="auto"/>
            <w:vAlign w:val="center"/>
          </w:tcPr>
          <w:p w14:paraId="51EAC01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78</w:t>
            </w:r>
          </w:p>
        </w:tc>
        <w:tc>
          <w:tcPr>
            <w:tcW w:w="548" w:type="pct"/>
            <w:shd w:val="clear" w:color="auto" w:fill="auto"/>
            <w:vAlign w:val="center"/>
          </w:tcPr>
          <w:p w14:paraId="2A97C6D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双星拖把池</w:t>
            </w:r>
          </w:p>
        </w:tc>
        <w:tc>
          <w:tcPr>
            <w:tcW w:w="502" w:type="pct"/>
            <w:shd w:val="clear" w:color="auto" w:fill="auto"/>
            <w:vAlign w:val="center"/>
          </w:tcPr>
          <w:p w14:paraId="46BF97A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132715</wp:posOffset>
                  </wp:positionH>
                  <wp:positionV relativeFrom="paragraph">
                    <wp:posOffset>159385</wp:posOffset>
                  </wp:positionV>
                  <wp:extent cx="523875" cy="660400"/>
                  <wp:effectExtent l="0" t="0" r="9525" b="6350"/>
                  <wp:wrapNone/>
                  <wp:docPr id="112" name="ID_B98778B30D3C40DE91B45EC8A627DD78"/>
                  <wp:cNvGraphicFramePr/>
                  <a:graphic xmlns:a="http://schemas.openxmlformats.org/drawingml/2006/main">
                    <a:graphicData uri="http://schemas.openxmlformats.org/drawingml/2006/picture">
                      <pic:pic xmlns:pic="http://schemas.openxmlformats.org/drawingml/2006/picture">
                        <pic:nvPicPr>
                          <pic:cNvPr id="112" name="ID_B98778B30D3C40DE91B45EC8A627DD78"/>
                          <pic:cNvPicPr/>
                        </pic:nvPicPr>
                        <pic:blipFill>
                          <a:blip r:embed="rId56"/>
                          <a:stretch>
                            <a:fillRect/>
                          </a:stretch>
                        </pic:blipFill>
                        <pic:spPr>
                          <a:xfrm>
                            <a:off x="0" y="0"/>
                            <a:ext cx="523875" cy="660400"/>
                          </a:xfrm>
                          <a:prstGeom prst="rect">
                            <a:avLst/>
                          </a:prstGeom>
                          <a:noFill/>
                          <a:ln>
                            <a:noFill/>
                          </a:ln>
                        </pic:spPr>
                      </pic:pic>
                    </a:graphicData>
                  </a:graphic>
                </wp:anchor>
              </w:drawing>
            </w:r>
          </w:p>
        </w:tc>
        <w:tc>
          <w:tcPr>
            <w:tcW w:w="832" w:type="pct"/>
            <w:shd w:val="clear" w:color="auto" w:fill="auto"/>
            <w:vAlign w:val="center"/>
          </w:tcPr>
          <w:p w14:paraId="385044D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1500×500×2000mm</w:t>
            </w:r>
          </w:p>
        </w:tc>
        <w:tc>
          <w:tcPr>
            <w:tcW w:w="1559" w:type="pct"/>
            <w:shd w:val="clear" w:color="auto" w:fill="auto"/>
            <w:vAlign w:val="center"/>
          </w:tcPr>
          <w:p w14:paraId="7857DB6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一、结构：双星拖把池，底部配可调节子弹脚。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1.面板：1.2mm厚304不锈钢板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2.星盆斗：1.2mm厚304不锈钢板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4.可调子弹脚：Φ38mm不锈钢子弹脚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2.304提笼式去水器（带防臭存水弯）</w:t>
            </w:r>
          </w:p>
        </w:tc>
        <w:tc>
          <w:tcPr>
            <w:tcW w:w="376" w:type="pct"/>
            <w:shd w:val="clear" w:color="auto" w:fill="auto"/>
            <w:vAlign w:val="center"/>
          </w:tcPr>
          <w:p w14:paraId="32701ED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35C6BAD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78F2B3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7D3B92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1600</w:t>
            </w:r>
          </w:p>
        </w:tc>
        <w:tc>
          <w:tcPr>
            <w:tcW w:w="231" w:type="pct"/>
            <w:shd w:val="clear" w:color="auto" w:fill="auto"/>
            <w:noWrap/>
            <w:vAlign w:val="center"/>
          </w:tcPr>
          <w:p w14:paraId="1EBD733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1600</w:t>
            </w:r>
          </w:p>
        </w:tc>
      </w:tr>
      <w:tr w14:paraId="5126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6" w:hRule="atLeast"/>
        </w:trPr>
        <w:tc>
          <w:tcPr>
            <w:tcW w:w="270" w:type="pct"/>
            <w:shd w:val="clear" w:color="auto" w:fill="auto"/>
            <w:vAlign w:val="center"/>
          </w:tcPr>
          <w:p w14:paraId="01FE446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79</w:t>
            </w:r>
          </w:p>
        </w:tc>
        <w:tc>
          <w:tcPr>
            <w:tcW w:w="548" w:type="pct"/>
            <w:shd w:val="clear" w:color="auto" w:fill="auto"/>
            <w:vAlign w:val="center"/>
          </w:tcPr>
          <w:p w14:paraId="5128B5B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四层平板货架</w:t>
            </w:r>
          </w:p>
        </w:tc>
        <w:tc>
          <w:tcPr>
            <w:tcW w:w="502" w:type="pct"/>
            <w:shd w:val="clear" w:color="auto" w:fill="auto"/>
            <w:vAlign w:val="top"/>
          </w:tcPr>
          <w:p w14:paraId="7E9A956E">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19050</wp:posOffset>
                  </wp:positionH>
                  <wp:positionV relativeFrom="paragraph">
                    <wp:posOffset>896620</wp:posOffset>
                  </wp:positionV>
                  <wp:extent cx="737870" cy="607060"/>
                  <wp:effectExtent l="0" t="0" r="5080" b="2540"/>
                  <wp:wrapNone/>
                  <wp:docPr id="62" name="ID_207E9C4A3A9A42EFA6F6B554502B0BB5"/>
                  <wp:cNvGraphicFramePr/>
                  <a:graphic xmlns:a="http://schemas.openxmlformats.org/drawingml/2006/main">
                    <a:graphicData uri="http://schemas.openxmlformats.org/drawingml/2006/picture">
                      <pic:pic xmlns:pic="http://schemas.openxmlformats.org/drawingml/2006/picture">
                        <pic:nvPicPr>
                          <pic:cNvPr id="62" name="ID_207E9C4A3A9A42EFA6F6B554502B0BB5"/>
                          <pic:cNvPicPr/>
                        </pic:nvPicPr>
                        <pic:blipFill>
                          <a:blip r:embed="rId57"/>
                          <a:stretch>
                            <a:fillRect/>
                          </a:stretch>
                        </pic:blipFill>
                        <pic:spPr>
                          <a:xfrm>
                            <a:off x="0" y="0"/>
                            <a:ext cx="737870" cy="607060"/>
                          </a:xfrm>
                          <a:prstGeom prst="rect">
                            <a:avLst/>
                          </a:prstGeom>
                          <a:noFill/>
                          <a:ln>
                            <a:noFill/>
                          </a:ln>
                        </pic:spPr>
                      </pic:pic>
                    </a:graphicData>
                  </a:graphic>
                </wp:anchor>
              </w:drawing>
            </w:r>
          </w:p>
        </w:tc>
        <w:tc>
          <w:tcPr>
            <w:tcW w:w="832" w:type="pct"/>
            <w:shd w:val="clear" w:color="auto" w:fill="auto"/>
            <w:vAlign w:val="center"/>
          </w:tcPr>
          <w:p w14:paraId="62ED5BF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1200×500×1550mm</w:t>
            </w:r>
          </w:p>
        </w:tc>
        <w:tc>
          <w:tcPr>
            <w:tcW w:w="1559" w:type="pct"/>
            <w:shd w:val="clear" w:color="auto" w:fill="auto"/>
            <w:vAlign w:val="center"/>
          </w:tcPr>
          <w:p w14:paraId="206E539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四层平板结构，层板采用满焊工艺，结实稳固。层板下设加强筋，承重性强，满载不变形。底部配不锈钢可调子弹脚，调节范围≥30mm，适应不平地面，防滑防潮。</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1.立柱：38×38×1.0mm304#不锈钢拉丝方管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2.层板及层码：1.2mm304#不锈钢板焊接而成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3.底部配不锈钢可调子弹脚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4.表面拉丝处理，所有焊接点满焊，焊缝打磨光滑，外露边缘卷边防割手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5.整体酸洗钝化防锈处理</w:t>
            </w:r>
          </w:p>
        </w:tc>
        <w:tc>
          <w:tcPr>
            <w:tcW w:w="376" w:type="pct"/>
            <w:shd w:val="clear" w:color="auto" w:fill="auto"/>
            <w:vAlign w:val="center"/>
          </w:tcPr>
          <w:p w14:paraId="14F8CB81">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421A15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1AC00E4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个</w:t>
            </w:r>
          </w:p>
        </w:tc>
        <w:tc>
          <w:tcPr>
            <w:tcW w:w="226" w:type="pct"/>
            <w:shd w:val="clear" w:color="auto" w:fill="auto"/>
            <w:vAlign w:val="center"/>
          </w:tcPr>
          <w:p w14:paraId="5C62B69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1580</w:t>
            </w:r>
          </w:p>
        </w:tc>
        <w:tc>
          <w:tcPr>
            <w:tcW w:w="231" w:type="pct"/>
            <w:shd w:val="clear" w:color="auto" w:fill="auto"/>
            <w:noWrap/>
            <w:vAlign w:val="center"/>
          </w:tcPr>
          <w:p w14:paraId="3E0AFF3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1580</w:t>
            </w:r>
          </w:p>
        </w:tc>
      </w:tr>
      <w:tr w14:paraId="0779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vAlign w:val="center"/>
          </w:tcPr>
          <w:p w14:paraId="324A052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O </w:t>
            </w:r>
          </w:p>
        </w:tc>
        <w:tc>
          <w:tcPr>
            <w:tcW w:w="548" w:type="pct"/>
            <w:shd w:val="clear" w:color="auto" w:fill="auto"/>
            <w:vAlign w:val="center"/>
          </w:tcPr>
          <w:p w14:paraId="54CBB2E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餐车洗消间</w:t>
            </w:r>
          </w:p>
        </w:tc>
        <w:tc>
          <w:tcPr>
            <w:tcW w:w="502" w:type="pct"/>
            <w:shd w:val="clear" w:color="auto" w:fill="auto"/>
            <w:vAlign w:val="center"/>
          </w:tcPr>
          <w:p w14:paraId="1B737896">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307A636F">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4B68314D">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02EEB8C7">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64BA9857">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492D3D3F">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433539C7">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085EC748">
            <w:pPr>
              <w:jc w:val="center"/>
              <w:rPr>
                <w:rFonts w:hint="eastAsia" w:ascii="仿宋" w:hAnsi="仿宋" w:eastAsia="仿宋" w:cs="仿宋"/>
                <w:i w:val="0"/>
                <w:iCs w:val="0"/>
                <w:color w:val="000000"/>
                <w:sz w:val="18"/>
                <w:szCs w:val="18"/>
                <w:highlight w:val="none"/>
                <w:u w:val="none"/>
              </w:rPr>
            </w:pPr>
          </w:p>
        </w:tc>
      </w:tr>
      <w:tr w14:paraId="75A3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270" w:type="pct"/>
            <w:shd w:val="clear" w:color="auto" w:fill="auto"/>
            <w:vAlign w:val="center"/>
          </w:tcPr>
          <w:p w14:paraId="7DAE70E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80</w:t>
            </w:r>
          </w:p>
        </w:tc>
        <w:tc>
          <w:tcPr>
            <w:tcW w:w="548" w:type="pct"/>
            <w:shd w:val="clear" w:color="auto" w:fill="auto"/>
            <w:vAlign w:val="center"/>
          </w:tcPr>
          <w:p w14:paraId="2D5359A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三星盆台</w:t>
            </w:r>
          </w:p>
        </w:tc>
        <w:tc>
          <w:tcPr>
            <w:tcW w:w="502" w:type="pct"/>
            <w:shd w:val="clear" w:color="auto" w:fill="auto"/>
            <w:vAlign w:val="center"/>
          </w:tcPr>
          <w:p w14:paraId="2DF3983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69215</wp:posOffset>
                  </wp:positionH>
                  <wp:positionV relativeFrom="paragraph">
                    <wp:posOffset>-13335</wp:posOffset>
                  </wp:positionV>
                  <wp:extent cx="655955" cy="541655"/>
                  <wp:effectExtent l="0" t="0" r="10795" b="10795"/>
                  <wp:wrapNone/>
                  <wp:docPr id="64" name="ID_E11B9D6B973D4AAB9B61A97BE185C11E"/>
                  <wp:cNvGraphicFramePr/>
                  <a:graphic xmlns:a="http://schemas.openxmlformats.org/drawingml/2006/main">
                    <a:graphicData uri="http://schemas.openxmlformats.org/drawingml/2006/picture">
                      <pic:pic xmlns:pic="http://schemas.openxmlformats.org/drawingml/2006/picture">
                        <pic:nvPicPr>
                          <pic:cNvPr id="64" name="ID_E11B9D6B973D4AAB9B61A97BE185C11E"/>
                          <pic:cNvPicPr/>
                        </pic:nvPicPr>
                        <pic:blipFill>
                          <a:blip r:embed="rId58"/>
                          <a:stretch>
                            <a:fillRect/>
                          </a:stretch>
                        </pic:blipFill>
                        <pic:spPr>
                          <a:xfrm>
                            <a:off x="0" y="0"/>
                            <a:ext cx="655955" cy="541655"/>
                          </a:xfrm>
                          <a:prstGeom prst="rect">
                            <a:avLst/>
                          </a:prstGeom>
                          <a:noFill/>
                          <a:ln>
                            <a:noFill/>
                          </a:ln>
                        </pic:spPr>
                      </pic:pic>
                    </a:graphicData>
                  </a:graphic>
                </wp:anchor>
              </w:drawing>
            </w:r>
          </w:p>
        </w:tc>
        <w:tc>
          <w:tcPr>
            <w:tcW w:w="832" w:type="pct"/>
            <w:shd w:val="clear" w:color="auto" w:fill="auto"/>
            <w:vAlign w:val="center"/>
          </w:tcPr>
          <w:p w14:paraId="0075373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1800×700×800mm，后挡水高度150mm</w:t>
            </w:r>
          </w:p>
        </w:tc>
        <w:tc>
          <w:tcPr>
            <w:tcW w:w="1559" w:type="pct"/>
            <w:shd w:val="clear" w:color="auto" w:fill="auto"/>
            <w:vAlign w:val="center"/>
          </w:tcPr>
          <w:p w14:paraId="2B5D49F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星盆设计（三个独立星盆），带背挡水及前滴水沿。星盆斗与工作台面板一体拉伸或无缝焊接，过渡圆润，排水顺畅。台面四周向下双曲压弯40mm，便于与周边设备对接。星盆内侧采用R20mm圆角压弯工艺，便于清洁。支架满焊牢固，底部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1.工作台面板及星盆斗均采用1.2mm厚304不锈钢拉丝板；加强筋采用1.0mm不锈钢板；支架、通脚采用Φ38×1.0mm304不锈钢管；可调子弹脚采用Φ38mm不锈钢。</w:t>
            </w:r>
          </w:p>
          <w:p w14:paraId="21BE537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三、配件（每个星盆配）：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2.304提笼式去水器（带防臭存水弯）</w:t>
            </w:r>
          </w:p>
        </w:tc>
        <w:tc>
          <w:tcPr>
            <w:tcW w:w="376" w:type="pct"/>
            <w:shd w:val="clear" w:color="auto" w:fill="auto"/>
            <w:vAlign w:val="center"/>
          </w:tcPr>
          <w:p w14:paraId="3730FDD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27C649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114E651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714ABC5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1980</w:t>
            </w:r>
          </w:p>
        </w:tc>
        <w:tc>
          <w:tcPr>
            <w:tcW w:w="231" w:type="pct"/>
            <w:shd w:val="clear" w:color="auto" w:fill="auto"/>
            <w:noWrap/>
            <w:vAlign w:val="center"/>
          </w:tcPr>
          <w:p w14:paraId="1717746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1980</w:t>
            </w:r>
          </w:p>
        </w:tc>
      </w:tr>
      <w:tr w14:paraId="5465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1" w:hRule="atLeast"/>
        </w:trPr>
        <w:tc>
          <w:tcPr>
            <w:tcW w:w="270" w:type="pct"/>
            <w:shd w:val="clear" w:color="auto" w:fill="auto"/>
            <w:vAlign w:val="center"/>
          </w:tcPr>
          <w:p w14:paraId="7B42709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81</w:t>
            </w:r>
          </w:p>
        </w:tc>
        <w:tc>
          <w:tcPr>
            <w:tcW w:w="548" w:type="pct"/>
            <w:shd w:val="clear" w:color="auto" w:fill="auto"/>
            <w:vAlign w:val="center"/>
          </w:tcPr>
          <w:p w14:paraId="45CE27E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密封送餐车</w:t>
            </w:r>
          </w:p>
        </w:tc>
        <w:tc>
          <w:tcPr>
            <w:tcW w:w="502" w:type="pct"/>
            <w:shd w:val="clear" w:color="auto" w:fill="auto"/>
            <w:vAlign w:val="center"/>
          </w:tcPr>
          <w:p w14:paraId="7AB0E26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-6985</wp:posOffset>
                  </wp:positionH>
                  <wp:positionV relativeFrom="paragraph">
                    <wp:posOffset>-100330</wp:posOffset>
                  </wp:positionV>
                  <wp:extent cx="848995" cy="680085"/>
                  <wp:effectExtent l="0" t="0" r="8255" b="5715"/>
                  <wp:wrapNone/>
                  <wp:docPr id="129" name="图片_3_SpCnt_2"/>
                  <wp:cNvGraphicFramePr/>
                  <a:graphic xmlns:a="http://schemas.openxmlformats.org/drawingml/2006/main">
                    <a:graphicData uri="http://schemas.openxmlformats.org/drawingml/2006/picture">
                      <pic:pic xmlns:pic="http://schemas.openxmlformats.org/drawingml/2006/picture">
                        <pic:nvPicPr>
                          <pic:cNvPr id="129" name="图片_3_SpCnt_2"/>
                          <pic:cNvPicPr/>
                        </pic:nvPicPr>
                        <pic:blipFill>
                          <a:blip r:embed="rId59"/>
                          <a:stretch>
                            <a:fillRect/>
                          </a:stretch>
                        </pic:blipFill>
                        <pic:spPr>
                          <a:xfrm>
                            <a:off x="0" y="0"/>
                            <a:ext cx="848995" cy="680085"/>
                          </a:xfrm>
                          <a:prstGeom prst="rect">
                            <a:avLst/>
                          </a:prstGeom>
                          <a:noFill/>
                          <a:ln>
                            <a:noFill/>
                          </a:ln>
                        </pic:spPr>
                      </pic:pic>
                    </a:graphicData>
                  </a:graphic>
                </wp:anchor>
              </w:drawing>
            </w:r>
          </w:p>
        </w:tc>
        <w:tc>
          <w:tcPr>
            <w:tcW w:w="832" w:type="pct"/>
            <w:shd w:val="clear" w:color="auto" w:fill="auto"/>
            <w:vAlign w:val="center"/>
          </w:tcPr>
          <w:p w14:paraId="269A91E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≥1000×550×900mm</w:t>
            </w:r>
          </w:p>
        </w:tc>
        <w:tc>
          <w:tcPr>
            <w:tcW w:w="1559" w:type="pct"/>
            <w:shd w:val="clear" w:color="auto" w:fill="auto"/>
            <w:vAlign w:val="center"/>
          </w:tcPr>
          <w:p w14:paraId="3CA3E23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1.三层密闭保温结构，封闭式箱体设计，有效防尘防蝇并保持食物温度。</w:t>
            </w:r>
          </w:p>
          <w:p w14:paraId="1336983D">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2.箱体采用全封闭围板结构，门板内设高密度保温层，密封条压紧防漏气。</w:t>
            </w:r>
          </w:p>
          <w:p w14:paraId="548176B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3.三层隔板下设加强筋支撑，防止重载下陷。</w:t>
            </w:r>
          </w:p>
          <w:p w14:paraId="068C80CE">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4.门把手采用嵌入式或防磕碰设计，门采用平开门或推拉门设计，开启顺畅。</w:t>
            </w:r>
          </w:p>
          <w:p w14:paraId="275647F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5.底部配4个静音万向轮，其中2个带刹车。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1.面板、层板及内部加强筋：采用1.0mm厚优质304不锈钢拉丝板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2.整体框架及支撑脚：采用Φ38×1.0mm304不锈钢管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3.门封条：优质磁性密封条，密封严密，防尘防虫</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4.表面拉丝处理，焊缝满焊打磨平整，外露边缘卷边防割手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整体酸洗钝化防锈处理</w:t>
            </w:r>
          </w:p>
        </w:tc>
        <w:tc>
          <w:tcPr>
            <w:tcW w:w="376" w:type="pct"/>
            <w:shd w:val="clear" w:color="auto" w:fill="auto"/>
            <w:vAlign w:val="center"/>
          </w:tcPr>
          <w:p w14:paraId="123265F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E284C0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w:t>
            </w:r>
          </w:p>
        </w:tc>
        <w:tc>
          <w:tcPr>
            <w:tcW w:w="235" w:type="pct"/>
            <w:shd w:val="clear" w:color="auto" w:fill="auto"/>
            <w:vAlign w:val="center"/>
          </w:tcPr>
          <w:p w14:paraId="157ADCA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7C9A81D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2750</w:t>
            </w:r>
          </w:p>
        </w:tc>
        <w:tc>
          <w:tcPr>
            <w:tcW w:w="231" w:type="pct"/>
            <w:shd w:val="clear" w:color="auto" w:fill="auto"/>
            <w:noWrap/>
            <w:vAlign w:val="center"/>
          </w:tcPr>
          <w:p w14:paraId="3B9E8A4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11000</w:t>
            </w:r>
          </w:p>
        </w:tc>
      </w:tr>
      <w:tr w14:paraId="6170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9" w:hRule="atLeast"/>
        </w:trPr>
        <w:tc>
          <w:tcPr>
            <w:tcW w:w="270" w:type="pct"/>
            <w:shd w:val="clear" w:color="auto" w:fill="auto"/>
            <w:vAlign w:val="center"/>
          </w:tcPr>
          <w:p w14:paraId="0E68626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82</w:t>
            </w:r>
          </w:p>
        </w:tc>
        <w:tc>
          <w:tcPr>
            <w:tcW w:w="548" w:type="pct"/>
            <w:shd w:val="clear" w:color="auto" w:fill="auto"/>
            <w:vAlign w:val="center"/>
          </w:tcPr>
          <w:p w14:paraId="077A000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洗地龙头</w:t>
            </w:r>
          </w:p>
        </w:tc>
        <w:tc>
          <w:tcPr>
            <w:tcW w:w="502" w:type="pct"/>
            <w:shd w:val="clear" w:color="auto" w:fill="auto"/>
            <w:vAlign w:val="center"/>
          </w:tcPr>
          <w:p w14:paraId="5F821B3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99060</wp:posOffset>
                  </wp:positionH>
                  <wp:positionV relativeFrom="paragraph">
                    <wp:posOffset>-20320</wp:posOffset>
                  </wp:positionV>
                  <wp:extent cx="539750" cy="516255"/>
                  <wp:effectExtent l="0" t="0" r="12700" b="17145"/>
                  <wp:wrapNone/>
                  <wp:docPr id="136" name="图片_2"/>
                  <wp:cNvGraphicFramePr/>
                  <a:graphic xmlns:a="http://schemas.openxmlformats.org/drawingml/2006/main">
                    <a:graphicData uri="http://schemas.openxmlformats.org/drawingml/2006/picture">
                      <pic:pic xmlns:pic="http://schemas.openxmlformats.org/drawingml/2006/picture">
                        <pic:nvPicPr>
                          <pic:cNvPr id="136" name="图片_2"/>
                          <pic:cNvPicPr/>
                        </pic:nvPicPr>
                        <pic:blipFill>
                          <a:blip r:embed="rId60"/>
                          <a:stretch>
                            <a:fillRect/>
                          </a:stretch>
                        </pic:blipFill>
                        <pic:spPr>
                          <a:xfrm>
                            <a:off x="0" y="0"/>
                            <a:ext cx="539750" cy="516255"/>
                          </a:xfrm>
                          <a:prstGeom prst="rect">
                            <a:avLst/>
                          </a:prstGeom>
                          <a:noFill/>
                          <a:ln>
                            <a:noFill/>
                          </a:ln>
                        </pic:spPr>
                      </pic:pic>
                    </a:graphicData>
                  </a:graphic>
                </wp:anchor>
              </w:drawing>
            </w:r>
          </w:p>
        </w:tc>
        <w:tc>
          <w:tcPr>
            <w:tcW w:w="832" w:type="pct"/>
            <w:shd w:val="clear" w:color="auto" w:fill="auto"/>
            <w:vAlign w:val="center"/>
          </w:tcPr>
          <w:p w14:paraId="29DAE2B2">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6E806D3">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一、规格</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1.开放式洗地龙头，黑色环氧涂层钢卷盘。</w:t>
            </w:r>
          </w:p>
          <w:p w14:paraId="3AC89B1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2.进水接口为标准1/2"（4分）外螺纹。</w:t>
            </w:r>
          </w:p>
          <w:p w14:paraId="5A2AE20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3.支持安装于天花板、墙面、柜台下等，可调止动块。</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1.固定侧支架钢板厚度5mm±5%，黄铜进水主体，固定金属接头。</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2.配置360°旋转花洒枪头。</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3.卷盘内置棘轮系统，可自动回收软管，系统能卡住软管，轻轻一拉便可自动收回。</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4.多导向卷盘支持多角度安装，可调式软管缓冲块。</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1.卷盘主体：黑色环氧涂层钢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2.进水主体：黄铜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3.固定支架：钢板（厚度5mm±5%）</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4.软管：10.7米±5%黑色三层钢丝软管，最大耐温85℃，最大耐压300psi（约21公斤）</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5.枪头：360°旋转花洒枪头，黄铜材质</w:t>
            </w:r>
          </w:p>
        </w:tc>
        <w:tc>
          <w:tcPr>
            <w:tcW w:w="376" w:type="pct"/>
            <w:shd w:val="clear" w:color="auto" w:fill="auto"/>
            <w:vAlign w:val="center"/>
          </w:tcPr>
          <w:p w14:paraId="21A924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龙旗嘉业、古阁尔、德牌</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28FC250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8C5A43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4BC42BF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2980</w:t>
            </w:r>
          </w:p>
        </w:tc>
        <w:tc>
          <w:tcPr>
            <w:tcW w:w="231" w:type="pct"/>
            <w:shd w:val="clear" w:color="auto" w:fill="auto"/>
            <w:noWrap/>
            <w:vAlign w:val="center"/>
          </w:tcPr>
          <w:p w14:paraId="1A33356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2980</w:t>
            </w:r>
          </w:p>
        </w:tc>
      </w:tr>
      <w:tr w14:paraId="7FEF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70" w:type="pct"/>
            <w:shd w:val="clear" w:color="auto" w:fill="auto"/>
            <w:vAlign w:val="center"/>
          </w:tcPr>
          <w:p w14:paraId="48E2E5A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P</w:t>
            </w:r>
          </w:p>
        </w:tc>
        <w:tc>
          <w:tcPr>
            <w:tcW w:w="548" w:type="pct"/>
            <w:shd w:val="clear" w:color="auto" w:fill="auto"/>
            <w:vAlign w:val="center"/>
          </w:tcPr>
          <w:p w14:paraId="0247D7B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洗消间/碗碟保洁间</w:t>
            </w:r>
          </w:p>
        </w:tc>
        <w:tc>
          <w:tcPr>
            <w:tcW w:w="502" w:type="pct"/>
            <w:shd w:val="clear" w:color="auto" w:fill="auto"/>
            <w:vAlign w:val="center"/>
          </w:tcPr>
          <w:p w14:paraId="11810DBD">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62759F47">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5FFFB168">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0656C976">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33362023">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6D16A872">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6F427FC5">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6C47FE93">
            <w:pPr>
              <w:jc w:val="center"/>
              <w:rPr>
                <w:rFonts w:hint="eastAsia" w:ascii="仿宋" w:hAnsi="仿宋" w:eastAsia="仿宋" w:cs="仿宋"/>
                <w:i w:val="0"/>
                <w:iCs w:val="0"/>
                <w:color w:val="000000"/>
                <w:sz w:val="18"/>
                <w:szCs w:val="18"/>
                <w:highlight w:val="none"/>
                <w:u w:val="none"/>
              </w:rPr>
            </w:pPr>
          </w:p>
        </w:tc>
      </w:tr>
      <w:tr w14:paraId="46D4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270" w:type="pct"/>
            <w:shd w:val="clear" w:color="auto" w:fill="auto"/>
            <w:vAlign w:val="center"/>
          </w:tcPr>
          <w:p w14:paraId="7F4BE5F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83</w:t>
            </w:r>
          </w:p>
        </w:tc>
        <w:tc>
          <w:tcPr>
            <w:tcW w:w="548" w:type="pct"/>
            <w:shd w:val="clear" w:color="auto" w:fill="auto"/>
            <w:vAlign w:val="center"/>
          </w:tcPr>
          <w:p w14:paraId="5BC39C2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28453CD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53340</wp:posOffset>
                  </wp:positionH>
                  <wp:positionV relativeFrom="paragraph">
                    <wp:posOffset>-57785</wp:posOffset>
                  </wp:positionV>
                  <wp:extent cx="744220" cy="469900"/>
                  <wp:effectExtent l="0" t="0" r="17780" b="6350"/>
                  <wp:wrapNone/>
                  <wp:docPr id="128" name="ID_E0628300537249688E106B2B806D97DE_SpCnt_1"/>
                  <wp:cNvGraphicFramePr/>
                  <a:graphic xmlns:a="http://schemas.openxmlformats.org/drawingml/2006/main">
                    <a:graphicData uri="http://schemas.openxmlformats.org/drawingml/2006/picture">
                      <pic:pic xmlns:pic="http://schemas.openxmlformats.org/drawingml/2006/picture">
                        <pic:nvPicPr>
                          <pic:cNvPr id="128" name="ID_E0628300537249688E106B2B806D97DE_SpCnt_1"/>
                          <pic:cNvPicPr/>
                        </pic:nvPicPr>
                        <pic:blipFill>
                          <a:blip r:embed="rId8"/>
                          <a:stretch>
                            <a:fillRect/>
                          </a:stretch>
                        </pic:blipFill>
                        <pic:spPr>
                          <a:xfrm>
                            <a:off x="0" y="0"/>
                            <a:ext cx="744220" cy="469900"/>
                          </a:xfrm>
                          <a:prstGeom prst="rect">
                            <a:avLst/>
                          </a:prstGeom>
                          <a:noFill/>
                          <a:ln>
                            <a:noFill/>
                          </a:ln>
                        </pic:spPr>
                      </pic:pic>
                    </a:graphicData>
                  </a:graphic>
                </wp:anchor>
              </w:drawing>
            </w:r>
          </w:p>
        </w:tc>
        <w:tc>
          <w:tcPr>
            <w:tcW w:w="832" w:type="pct"/>
            <w:shd w:val="clear" w:color="auto" w:fill="auto"/>
            <w:vAlign w:val="center"/>
          </w:tcPr>
          <w:p w14:paraId="7FB63FA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12F47FA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18F9087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64FF7DC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395C73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1A710EC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3AD9515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23AB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270" w:type="pct"/>
            <w:shd w:val="clear" w:color="auto" w:fill="auto"/>
            <w:vAlign w:val="center"/>
          </w:tcPr>
          <w:p w14:paraId="3E954D75">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84</w:t>
            </w:r>
          </w:p>
        </w:tc>
        <w:tc>
          <w:tcPr>
            <w:tcW w:w="548" w:type="pct"/>
            <w:shd w:val="clear" w:color="auto" w:fill="auto"/>
            <w:vAlign w:val="center"/>
          </w:tcPr>
          <w:p w14:paraId="773E740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收残台</w:t>
            </w:r>
          </w:p>
        </w:tc>
        <w:tc>
          <w:tcPr>
            <w:tcW w:w="502" w:type="pct"/>
            <w:shd w:val="clear" w:color="auto" w:fill="auto"/>
            <w:vAlign w:val="top"/>
          </w:tcPr>
          <w:p w14:paraId="1000713E">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10160</wp:posOffset>
                  </wp:positionH>
                  <wp:positionV relativeFrom="paragraph">
                    <wp:posOffset>770255</wp:posOffset>
                  </wp:positionV>
                  <wp:extent cx="838835" cy="597535"/>
                  <wp:effectExtent l="0" t="0" r="18415" b="12065"/>
                  <wp:wrapNone/>
                  <wp:docPr id="138" name="ID_9BE39E2DC74040D99B996424CA431B20"/>
                  <wp:cNvGraphicFramePr/>
                  <a:graphic xmlns:a="http://schemas.openxmlformats.org/drawingml/2006/main">
                    <a:graphicData uri="http://schemas.openxmlformats.org/drawingml/2006/picture">
                      <pic:pic xmlns:pic="http://schemas.openxmlformats.org/drawingml/2006/picture">
                        <pic:nvPicPr>
                          <pic:cNvPr id="138" name="ID_9BE39E2DC74040D99B996424CA431B20"/>
                          <pic:cNvPicPr/>
                        </pic:nvPicPr>
                        <pic:blipFill>
                          <a:blip r:embed="rId61"/>
                          <a:stretch>
                            <a:fillRect/>
                          </a:stretch>
                        </pic:blipFill>
                        <pic:spPr>
                          <a:xfrm>
                            <a:off x="0" y="0"/>
                            <a:ext cx="838835" cy="597535"/>
                          </a:xfrm>
                          <a:prstGeom prst="rect">
                            <a:avLst/>
                          </a:prstGeom>
                          <a:noFill/>
                          <a:ln>
                            <a:noFill/>
                          </a:ln>
                        </pic:spPr>
                      </pic:pic>
                    </a:graphicData>
                  </a:graphic>
                </wp:anchor>
              </w:drawing>
            </w:r>
          </w:p>
        </w:tc>
        <w:tc>
          <w:tcPr>
            <w:tcW w:w="832" w:type="pct"/>
            <w:shd w:val="clear" w:color="auto" w:fill="auto"/>
            <w:vAlign w:val="center"/>
          </w:tcPr>
          <w:p w14:paraId="286285F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700×700×800mm</w:t>
            </w:r>
          </w:p>
        </w:tc>
        <w:tc>
          <w:tcPr>
            <w:tcW w:w="1559" w:type="pct"/>
            <w:shd w:val="clear" w:color="auto" w:fill="auto"/>
            <w:vAlign w:val="center"/>
          </w:tcPr>
          <w:p w14:paraId="6080042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一、结构：单孔收残台，台面下衬双工字型加强筋，底部配可调子弹脚。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1.台面304不锈钢1.2mm，下衬304不锈钢1.0mm方通加强筋，种订加固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2.脚：Φ38全钢可调子弹脚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3.满焊，羊毛轮抛光打蜡，拉丝纹路一致</w:t>
            </w:r>
          </w:p>
        </w:tc>
        <w:tc>
          <w:tcPr>
            <w:tcW w:w="376" w:type="pct"/>
            <w:shd w:val="clear" w:color="auto" w:fill="auto"/>
            <w:vAlign w:val="center"/>
          </w:tcPr>
          <w:p w14:paraId="0BDB3A4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40B32B2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4CD70C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2459E7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w:t>
            </w:r>
          </w:p>
        </w:tc>
        <w:tc>
          <w:tcPr>
            <w:tcW w:w="231" w:type="pct"/>
            <w:shd w:val="clear" w:color="auto" w:fill="auto"/>
            <w:noWrap/>
            <w:vAlign w:val="center"/>
          </w:tcPr>
          <w:p w14:paraId="1714922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w:t>
            </w:r>
          </w:p>
        </w:tc>
      </w:tr>
      <w:tr w14:paraId="2E67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70" w:type="pct"/>
            <w:shd w:val="clear" w:color="auto" w:fill="auto"/>
            <w:vAlign w:val="center"/>
          </w:tcPr>
          <w:p w14:paraId="1E20517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85</w:t>
            </w:r>
          </w:p>
        </w:tc>
        <w:tc>
          <w:tcPr>
            <w:tcW w:w="548" w:type="pct"/>
            <w:shd w:val="clear" w:color="auto" w:fill="auto"/>
            <w:vAlign w:val="center"/>
          </w:tcPr>
          <w:p w14:paraId="7A0C3F0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四移门碗碟柜</w:t>
            </w:r>
          </w:p>
        </w:tc>
        <w:tc>
          <w:tcPr>
            <w:tcW w:w="502" w:type="pct"/>
            <w:shd w:val="clear" w:color="auto" w:fill="auto"/>
            <w:vAlign w:val="top"/>
          </w:tcPr>
          <w:p w14:paraId="0E261969">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102235</wp:posOffset>
                  </wp:positionH>
                  <wp:positionV relativeFrom="paragraph">
                    <wp:posOffset>494030</wp:posOffset>
                  </wp:positionV>
                  <wp:extent cx="673735" cy="431800"/>
                  <wp:effectExtent l="0" t="0" r="12065" b="6350"/>
                  <wp:wrapNone/>
                  <wp:docPr id="127" name="ID_1EAF3A98CB994D749CCC2BD91F23D43A"/>
                  <wp:cNvGraphicFramePr/>
                  <a:graphic xmlns:a="http://schemas.openxmlformats.org/drawingml/2006/main">
                    <a:graphicData uri="http://schemas.openxmlformats.org/drawingml/2006/picture">
                      <pic:pic xmlns:pic="http://schemas.openxmlformats.org/drawingml/2006/picture">
                        <pic:nvPicPr>
                          <pic:cNvPr id="127" name="ID_1EAF3A98CB994D749CCC2BD91F23D43A"/>
                          <pic:cNvPicPr/>
                        </pic:nvPicPr>
                        <pic:blipFill>
                          <a:blip r:embed="rId55"/>
                          <a:stretch>
                            <a:fillRect/>
                          </a:stretch>
                        </pic:blipFill>
                        <pic:spPr>
                          <a:xfrm>
                            <a:off x="0" y="0"/>
                            <a:ext cx="673735" cy="431800"/>
                          </a:xfrm>
                          <a:prstGeom prst="rect">
                            <a:avLst/>
                          </a:prstGeom>
                          <a:noFill/>
                          <a:ln>
                            <a:noFill/>
                          </a:ln>
                        </pic:spPr>
                      </pic:pic>
                    </a:graphicData>
                  </a:graphic>
                </wp:anchor>
              </w:drawing>
            </w:r>
          </w:p>
        </w:tc>
        <w:tc>
          <w:tcPr>
            <w:tcW w:w="832" w:type="pct"/>
            <w:shd w:val="clear" w:color="auto" w:fill="auto"/>
            <w:vAlign w:val="center"/>
          </w:tcPr>
          <w:p w14:paraId="1194288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1200×500×1800mm</w:t>
            </w:r>
          </w:p>
        </w:tc>
        <w:tc>
          <w:tcPr>
            <w:tcW w:w="1559" w:type="pct"/>
            <w:shd w:val="clear" w:color="auto" w:fill="auto"/>
            <w:vAlign w:val="center"/>
          </w:tcPr>
          <w:p w14:paraId="28B2E00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一、结构：四移门碗碟柜，趟门设计。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1.柜身：304不锈钢，厚度1.2mm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2.层板：304不锈钢，厚度1.0mm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3.趟门板：304不锈钢，厚度1.0mm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4.加强筋：1.0mm不锈钢方通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5.地脚：Φ48mm全钢可调子弹脚</w:t>
            </w:r>
          </w:p>
        </w:tc>
        <w:tc>
          <w:tcPr>
            <w:tcW w:w="376" w:type="pct"/>
            <w:shd w:val="clear" w:color="auto" w:fill="auto"/>
            <w:vAlign w:val="center"/>
          </w:tcPr>
          <w:p w14:paraId="7D034297">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AFF4F3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w:t>
            </w:r>
          </w:p>
        </w:tc>
        <w:tc>
          <w:tcPr>
            <w:tcW w:w="235" w:type="pct"/>
            <w:shd w:val="clear" w:color="auto" w:fill="auto"/>
            <w:vAlign w:val="center"/>
          </w:tcPr>
          <w:p w14:paraId="6347ECB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562A6FA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3250</w:t>
            </w:r>
          </w:p>
        </w:tc>
        <w:tc>
          <w:tcPr>
            <w:tcW w:w="231" w:type="pct"/>
            <w:shd w:val="clear" w:color="auto" w:fill="auto"/>
            <w:noWrap/>
            <w:vAlign w:val="center"/>
          </w:tcPr>
          <w:p w14:paraId="18D0113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16250</w:t>
            </w:r>
          </w:p>
        </w:tc>
      </w:tr>
      <w:tr w14:paraId="5043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vAlign w:val="center"/>
          </w:tcPr>
          <w:p w14:paraId="5E32D91A">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86</w:t>
            </w:r>
          </w:p>
        </w:tc>
        <w:tc>
          <w:tcPr>
            <w:tcW w:w="548" w:type="pct"/>
            <w:shd w:val="clear" w:color="auto" w:fill="auto"/>
            <w:vAlign w:val="center"/>
          </w:tcPr>
          <w:p w14:paraId="2290BF0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长龙式洗碗机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(带烘干)</w:t>
            </w:r>
          </w:p>
        </w:tc>
        <w:tc>
          <w:tcPr>
            <w:tcW w:w="502" w:type="pct"/>
            <w:shd w:val="clear" w:color="auto" w:fill="auto"/>
            <w:vAlign w:val="center"/>
          </w:tcPr>
          <w:p w14:paraId="7CF0733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wp:posOffset>
                  </wp:positionH>
                  <wp:positionV relativeFrom="paragraph">
                    <wp:posOffset>-314325</wp:posOffset>
                  </wp:positionV>
                  <wp:extent cx="794385" cy="647700"/>
                  <wp:effectExtent l="0" t="0" r="5715" b="0"/>
                  <wp:wrapNone/>
                  <wp:docPr id="137" name="ID_D9F7EB833317403BBF19CAEF82248F1E"/>
                  <wp:cNvGraphicFramePr/>
                  <a:graphic xmlns:a="http://schemas.openxmlformats.org/drawingml/2006/main">
                    <a:graphicData uri="http://schemas.openxmlformats.org/drawingml/2006/picture">
                      <pic:pic xmlns:pic="http://schemas.openxmlformats.org/drawingml/2006/picture">
                        <pic:nvPicPr>
                          <pic:cNvPr id="137" name="ID_D9F7EB833317403BBF19CAEF82248F1E"/>
                          <pic:cNvPicPr/>
                        </pic:nvPicPr>
                        <pic:blipFill>
                          <a:blip r:embed="rId62"/>
                          <a:stretch>
                            <a:fillRect/>
                          </a:stretch>
                        </pic:blipFill>
                        <pic:spPr>
                          <a:xfrm>
                            <a:off x="0" y="0"/>
                            <a:ext cx="794385" cy="647700"/>
                          </a:xfrm>
                          <a:prstGeom prst="rect">
                            <a:avLst/>
                          </a:prstGeom>
                          <a:noFill/>
                          <a:ln>
                            <a:noFill/>
                          </a:ln>
                        </pic:spPr>
                      </pic:pic>
                    </a:graphicData>
                  </a:graphic>
                </wp:anchor>
              </w:drawing>
            </w:r>
          </w:p>
        </w:tc>
        <w:tc>
          <w:tcPr>
            <w:tcW w:w="832" w:type="pct"/>
            <w:shd w:val="clear" w:color="auto" w:fill="auto"/>
            <w:vAlign w:val="center"/>
          </w:tcPr>
          <w:p w14:paraId="7CF33C2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B1E04AE">
            <w:pPr>
              <w:keepNext w:val="0"/>
              <w:keepLines w:val="0"/>
              <w:widowControl/>
              <w:suppressLineNumbers w:val="0"/>
              <w:jc w:val="left"/>
              <w:textAlignment w:val="auto"/>
              <w:rPr>
                <w:rFonts w:hint="eastAsia" w:ascii="仿宋" w:hAnsi="仿宋" w:eastAsia="仿宋" w:cs="仿宋"/>
                <w:i w:val="0"/>
                <w:iCs w:val="0"/>
                <w:caps w:val="0"/>
                <w:color w:val="000000"/>
                <w:spacing w:val="0"/>
                <w:kern w:val="0"/>
                <w:sz w:val="18"/>
                <w:szCs w:val="18"/>
                <w:highlight w:val="none"/>
                <w:u w:val="none"/>
                <w:shd w:val="clear" w:fill="auto"/>
                <w:lang w:eastAsia="zh-CN" w:bidi="ar"/>
              </w:rPr>
            </w:pPr>
            <w:r>
              <w:rPr>
                <w:rFonts w:hint="eastAsia" w:ascii="仿宋" w:hAnsi="仿宋" w:eastAsia="仿宋" w:cs="仿宋"/>
                <w:i w:val="0"/>
                <w:iCs w:val="0"/>
                <w:color w:val="000000"/>
                <w:kern w:val="0"/>
                <w:sz w:val="18"/>
                <w:szCs w:val="18"/>
                <w:highlight w:val="none"/>
                <w:u w:val="none"/>
                <w:lang w:val="en-US" w:eastAsia="zh-CN" w:bidi="ar"/>
              </w:rPr>
              <w:t>1、清洗量：每小时≥3000个（以6寸碟为参照）；</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2、功率：61KW；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3、电器元件：</w:t>
            </w:r>
            <w:r>
              <w:rPr>
                <w:rFonts w:hint="eastAsia" w:ascii="仿宋" w:hAnsi="仿宋" w:eastAsia="仿宋" w:cs="仿宋"/>
                <w:color w:val="000000"/>
                <w:kern w:val="0"/>
                <w:sz w:val="18"/>
                <w:szCs w:val="18"/>
                <w:highlight w:val="none"/>
                <w:u w:val="none"/>
                <w:lang w:bidi="ar"/>
              </w:rPr>
              <w:t>所投产品主要电器元件</w:t>
            </w:r>
            <w:r>
              <w:rPr>
                <w:rFonts w:hint="eastAsia" w:ascii="仿宋" w:hAnsi="仿宋" w:eastAsia="仿宋" w:cs="仿宋"/>
                <w:i w:val="0"/>
                <w:iCs w:val="0"/>
                <w:caps w:val="0"/>
                <w:color w:val="000000"/>
                <w:spacing w:val="0"/>
                <w:kern w:val="0"/>
                <w:sz w:val="18"/>
                <w:szCs w:val="18"/>
                <w:highlight w:val="none"/>
                <w:u w:val="none"/>
                <w:shd w:val="clear"/>
                <w:lang w:bidi="ar"/>
              </w:rPr>
              <w:t>（含交流接触器、相序保护器）</w:t>
            </w:r>
            <w:r>
              <w:rPr>
                <w:rFonts w:hint="eastAsia" w:ascii="仿宋" w:hAnsi="仿宋" w:eastAsia="仿宋" w:cs="仿宋"/>
                <w:color w:val="000000"/>
                <w:kern w:val="0"/>
                <w:sz w:val="18"/>
                <w:szCs w:val="18"/>
                <w:highlight w:val="none"/>
                <w:u w:val="none"/>
                <w:lang w:bidi="ar"/>
              </w:rPr>
              <w:t>须通过国家强制性产品认证（CCC），其中相序保护器须具备过载保护、缺相保护功能。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智能化液晶控制面板（尺寸≥10寸），具有物联网功能，能实现手机、电脑互联，自动显示洗碗机运行状况（如主洗温度、漂洗温度、烘干温度、设备水位、发热管及水泵运行状况等），并能远程控制设备基本参数，保证机器正常运行及餐具干净卫生；</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5、内置电加热器漂洗水箱和清洗水箱，保证喷淋水压稳定，具有水循环结构以及过滤系统，实现节能减排；机器漂洗区设有反虹吸装置，防止设备停止运转时漂洗水倒流排干导致加热器干烧；</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输送带采用高分子网格结构，总宽度580mm（误差±5mm）。网格形状及大小设计合理，能有效防止餐具打滑、漏下，同时便于粗大污渍掉落，避免洗净死角。输送带结构应便于日常清洁保养，支持在不拆散整条输送带的前提下单独更换损坏部件。为保证餐具平稳输送，输送带网格形状应合理，不得影响餐具的正常平放；</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7、洗净时碗口朝下平放在输送带，无需碗碟筐，且洗涤过程中餐具不会出现竖立或倾斜，适用于洗涤碗、碟、杯、托盘、餐盘、刀、叉、调羹、筷子等餐具；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8、在输送带上方设置软压带，总宽度为580mm（误差±5mm）。软压带材质及形状设计合理，可避免餐具挂伤，中心孔位置与输送带匹配，能有效防止清洗过程中餐具在高压冲洗下跳动、重叠；</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9、主洗区由上四下四根喷淋管的洗净喷淋系统组成，每根喷淋管为金属圆管，管径设计合理（约22mm左右），可单独从喷淋系统上免工具拆装，以利清洁保养；</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10、主洗区和漂洗区的喷臂和喷嘴都采用优质304不锈钢材质，主洗区喷嘴采用广角扇形喷嘴，水压强、清洗效果好；主洗区和漂洗区喷嘴固定在喷臂的方式应采用可靠的防漏水结构设计（如螺纹锁紧等），确保长期运行不漏水、不老化，保证清洗水压稳定及清洗效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11、烘干区由两部分组成：第一部分由风机的风刀将餐具表面水分刮掉，吹风口上下均有设置，并配有烘干热回收装置；第二部分设置翅片加热管，机内热风循环使用，烘干风机直接喷吹热风到餐具表面，促进餐具干燥，实现高温消毒。烘干区风机总功率应满足满载运行需求，确保风力强劲。不锈钢餐具实际烘干效果达99%以上，陶瓷餐具实际烘干效果达98%以上；</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12、进口设有限高板，防止过高物体误投入；出口设有下滑板，餐具通过下滑板滑落到工作台或碗碟筐，出口设置安全检测，防止餐具损坏及保证人身安全，传送带设有机械式安全保护装置，防止异物卡住传送带引起过负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13、机器配置热回收系统，铜制热交换收集器内部热能，能将进水温度加热至20-30℃，降低机器总能耗，有效节能20%以上，减少日常运营成本；</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14、洗净温度：60℃以上；清洗温度：80℃以上；烘干温度：90℃-120℃；</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★15、</w:t>
            </w:r>
            <w:r>
              <w:rPr>
                <w:rFonts w:hint="eastAsia" w:ascii="仿宋" w:hAnsi="仿宋" w:eastAsia="仿宋" w:cs="仿宋"/>
                <w:i w:val="0"/>
                <w:iCs w:val="0"/>
                <w:caps w:val="0"/>
                <w:color w:val="000000"/>
                <w:spacing w:val="0"/>
                <w:kern w:val="0"/>
                <w:sz w:val="18"/>
                <w:szCs w:val="18"/>
                <w:highlight w:val="none"/>
                <w:u w:val="none"/>
                <w:shd w:val="clear"/>
                <w:lang w:bidi="ar"/>
              </w:rPr>
              <w:t>电气安全：所投产品须符合GB/T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 xml:space="preserve"> </w:t>
            </w:r>
            <w:r>
              <w:rPr>
                <w:rFonts w:hint="eastAsia" w:ascii="仿宋" w:hAnsi="仿宋" w:eastAsia="仿宋" w:cs="仿宋"/>
                <w:i w:val="0"/>
                <w:iCs w:val="0"/>
                <w:caps w:val="0"/>
                <w:color w:val="000000"/>
                <w:spacing w:val="0"/>
                <w:kern w:val="0"/>
                <w:sz w:val="18"/>
                <w:szCs w:val="18"/>
                <w:highlight w:val="none"/>
                <w:u w:val="none"/>
                <w:shd w:val="clear"/>
                <w:lang w:bidi="ar"/>
              </w:rPr>
              <w:t>4706.50-2024《家用和类似用途电器的安全 第50部分：商用电动洗碗机的特殊要求》标准的要求</w:t>
            </w:r>
            <w:r>
              <w:rPr>
                <w:rFonts w:hint="default"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防触电</w:t>
            </w:r>
            <w:r>
              <w:rPr>
                <w:rFonts w:ascii="仿宋" w:hAnsi="仿宋" w:eastAsia="仿宋" w:cs="仿宋"/>
                <w:b w:val="0"/>
                <w:bCs w:val="0"/>
                <w:i w:val="0"/>
                <w:iCs w:val="0"/>
                <w:caps w:val="0"/>
                <w:color w:val="000000"/>
                <w:spacing w:val="0"/>
                <w:kern w:val="0"/>
                <w:sz w:val="18"/>
                <w:szCs w:val="18"/>
                <w:highlight w:val="none"/>
                <w:u w:val="none"/>
                <w:shd w:val="clear"/>
                <w:lang w:bidi="ar"/>
              </w:rPr>
              <w:t>保护</w:t>
            </w:r>
            <w:r>
              <w:rPr>
                <w:rFonts w:hint="default" w:ascii="仿宋" w:hAnsi="仿宋" w:eastAsia="仿宋" w:cs="仿宋"/>
                <w:i w:val="0"/>
                <w:iCs w:val="0"/>
                <w:caps w:val="0"/>
                <w:color w:val="000000"/>
                <w:spacing w:val="0"/>
                <w:kern w:val="0"/>
                <w:sz w:val="18"/>
                <w:szCs w:val="18"/>
                <w:highlight w:val="none"/>
                <w:u w:val="none"/>
                <w:shd w:val="clear"/>
                <w:lang w:bidi="ar"/>
              </w:rPr>
              <w:t>须符合标准规定</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olor w:val="000000"/>
                <w:kern w:val="0"/>
                <w:sz w:val="18"/>
                <w:szCs w:val="18"/>
                <w:highlight w:val="none"/>
                <w:u w:val="none"/>
                <w:lang w:val="en-US" w:eastAsia="zh-CN" w:bidi="ar"/>
              </w:rPr>
              <w:t>响应文件中须提供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p>
          <w:p w14:paraId="788BE45A">
            <w:pPr>
              <w:keepNext w:val="0"/>
              <w:keepLines w:val="0"/>
              <w:widowControl/>
              <w:suppressLineNumbers w:val="0"/>
              <w:jc w:val="left"/>
              <w:textAlignment w:val="auto"/>
              <w:rPr>
                <w:rFonts w:hint="default" w:ascii="仿宋" w:hAnsi="仿宋" w:eastAsia="仿宋" w:cs="仿宋"/>
                <w:i w:val="0"/>
                <w:iCs w:val="0"/>
                <w:caps w:val="0"/>
                <w:color w:val="000000"/>
                <w:spacing w:val="0"/>
                <w:kern w:val="0"/>
                <w:sz w:val="18"/>
                <w:szCs w:val="18"/>
                <w:highlight w:val="none"/>
                <w:u w:val="none"/>
                <w:shd w:val="clear"/>
                <w:lang w:bidi="ar"/>
              </w:rPr>
            </w:pP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说明：</w:t>
            </w:r>
            <w:r>
              <w:rPr>
                <w:rFonts w:ascii="仿宋" w:hAnsi="仿宋" w:eastAsia="仿宋" w:cs="仿宋"/>
                <w:i w:val="0"/>
                <w:iCs w:val="0"/>
                <w:caps w:val="0"/>
                <w:color w:val="000000"/>
                <w:spacing w:val="0"/>
                <w:kern w:val="0"/>
                <w:sz w:val="18"/>
                <w:szCs w:val="18"/>
                <w:highlight w:val="none"/>
                <w:u w:val="none"/>
                <w:shd w:val="clear"/>
                <w:lang w:bidi="ar"/>
              </w:rPr>
              <w:t>若检测报告签发日期在2026年8月1日之前，依据旧版标准（GB 4706.50-2008）出具的报告同样有效；签发日期在2026年8月1日之后的，须依据GB/T 4706.50-2024出具。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★16.</w:t>
            </w:r>
            <w:r>
              <w:rPr>
                <w:rFonts w:hint="eastAsia" w:ascii="仿宋" w:hAnsi="仿宋" w:eastAsia="仿宋" w:cs="仿宋"/>
                <w:b w:val="0"/>
                <w:bCs w:val="0"/>
                <w:i w:val="0"/>
                <w:iCs w:val="0"/>
                <w:caps w:val="0"/>
                <w:color w:val="000000"/>
                <w:spacing w:val="0"/>
                <w:kern w:val="0"/>
                <w:sz w:val="18"/>
                <w:szCs w:val="18"/>
                <w:highlight w:val="none"/>
                <w:u w:val="none"/>
                <w:shd w:val="clear"/>
                <w:lang w:bidi="ar"/>
              </w:rPr>
              <w:t>食品接触材料安全</w:t>
            </w:r>
            <w:r>
              <w:rPr>
                <w:rFonts w:hint="eastAsia" w:ascii="仿宋" w:hAnsi="仿宋" w:eastAsia="仿宋" w:cs="仿宋"/>
                <w:b w:val="0"/>
                <w:bCs w:val="0"/>
                <w:i w:val="0"/>
                <w:iCs w:val="0"/>
                <w:caps w:val="0"/>
                <w:color w:val="000000"/>
                <w:spacing w:val="0"/>
                <w:kern w:val="0"/>
                <w:sz w:val="18"/>
                <w:szCs w:val="18"/>
                <w:highlight w:val="none"/>
                <w:u w:val="none"/>
                <w:shd w:val="clear"/>
                <w:lang w:val="en-US" w:eastAsia="zh-CN" w:bidi="ar"/>
              </w:rPr>
              <w:t>:</w:t>
            </w:r>
            <w:r>
              <w:rPr>
                <w:rFonts w:hint="eastAsia" w:ascii="仿宋" w:hAnsi="仿宋" w:eastAsia="仿宋" w:cs="仿宋"/>
                <w:i w:val="0"/>
                <w:iCs w:val="0"/>
                <w:color w:val="000000"/>
                <w:kern w:val="0"/>
                <w:sz w:val="18"/>
                <w:szCs w:val="18"/>
                <w:highlight w:val="none"/>
                <w:u w:val="none"/>
                <w:lang w:val="en-US" w:eastAsia="zh-CN" w:bidi="ar"/>
              </w:rPr>
              <w:t>所投产品各部位板材（包括但不限于洗碗机烘干部分上风刀、下风刀、烘干热回收装置热回收下风刀、洗碗机通道、洗碗机外部等）符合GB4806.9-2023《食品安全国家标准食品接触用金属材料及制品》的要求，</w:t>
            </w:r>
            <w:r>
              <w:rPr>
                <w:rFonts w:hint="eastAsia" w:ascii="仿宋" w:hAnsi="仿宋" w:eastAsia="仿宋" w:cs="仿宋"/>
                <w:i w:val="0"/>
                <w:iCs w:val="0"/>
                <w:caps w:val="0"/>
                <w:color w:val="000000"/>
                <w:spacing w:val="0"/>
                <w:kern w:val="0"/>
                <w:sz w:val="18"/>
                <w:szCs w:val="18"/>
                <w:highlight w:val="none"/>
                <w:u w:val="none"/>
                <w:shd w:val="clear"/>
                <w:lang w:bidi="ar"/>
              </w:rPr>
              <w:t>检测结果须为</w:t>
            </w:r>
            <w:r>
              <w:rPr>
                <w:rFonts w:hint="eastAsia" w:ascii="仿宋" w:hAnsi="仿宋" w:eastAsia="仿宋" w:cs="仿宋"/>
                <w:b w:val="0"/>
                <w:bCs w:val="0"/>
                <w:i w:val="0"/>
                <w:iCs w:val="0"/>
                <w:caps w:val="0"/>
                <w:color w:val="000000"/>
                <w:spacing w:val="0"/>
                <w:kern w:val="0"/>
                <w:sz w:val="18"/>
                <w:szCs w:val="18"/>
                <w:highlight w:val="none"/>
                <w:u w:val="none"/>
                <w:shd w:val="clear"/>
                <w:lang w:bidi="ar"/>
              </w:rPr>
              <w:t>合格</w:t>
            </w:r>
            <w:r>
              <w:rPr>
                <w:rFonts w:hint="eastAsia" w:ascii="仿宋" w:hAnsi="仿宋" w:eastAsia="仿宋" w:cs="仿宋"/>
                <w:i w:val="0"/>
                <w:iCs w:val="0"/>
                <w:color w:val="000000"/>
                <w:kern w:val="0"/>
                <w:sz w:val="18"/>
                <w:szCs w:val="18"/>
                <w:highlight w:val="none"/>
                <w:u w:val="none"/>
                <w:lang w:val="en-US" w:eastAsia="zh-CN" w:bidi="ar"/>
              </w:rPr>
              <w:t>。响应文件中须提供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（须清晰显示各检测部位及对应结论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fill="auto"/>
                <w:lang w:eastAsia="zh-CN"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★17.</w:t>
            </w:r>
            <w:r>
              <w:rPr>
                <w:rFonts w:hint="default" w:ascii="仿宋" w:hAnsi="仿宋" w:eastAsia="仿宋" w:cs="仿宋"/>
                <w:b w:val="0"/>
                <w:bCs w:val="0"/>
                <w:i w:val="0"/>
                <w:iCs w:val="0"/>
                <w:caps w:val="0"/>
                <w:color w:val="000000"/>
                <w:spacing w:val="0"/>
                <w:kern w:val="0"/>
                <w:sz w:val="18"/>
                <w:szCs w:val="18"/>
                <w:highlight w:val="none"/>
                <w:u w:val="none"/>
                <w:shd w:val="clear"/>
                <w:lang w:bidi="ar"/>
              </w:rPr>
              <w:t>主洗喷臂和喷嘴</w:t>
            </w:r>
            <w:r>
              <w:rPr>
                <w:rFonts w:hint="default" w:ascii="仿宋" w:hAnsi="仿宋" w:eastAsia="仿宋" w:cs="仿宋"/>
                <w:b w:val="0"/>
                <w:bCs w:val="0"/>
                <w:i w:val="0"/>
                <w:iCs w:val="0"/>
                <w:caps w:val="0"/>
                <w:color w:val="000000"/>
                <w:spacing w:val="0"/>
                <w:kern w:val="0"/>
                <w:sz w:val="18"/>
                <w:szCs w:val="18"/>
                <w:highlight w:val="none"/>
                <w:u w:val="none"/>
                <w:shd w:val="clear"/>
                <w:lang w:eastAsia="zh-CN" w:bidi="ar"/>
              </w:rPr>
              <w:t>：</w:t>
            </w:r>
            <w:r>
              <w:rPr>
                <w:rFonts w:hint="eastAsia" w:ascii="仿宋" w:hAnsi="仿宋" w:eastAsia="仿宋" w:cs="仿宋"/>
                <w:b w:val="0"/>
                <w:bCs w:val="0"/>
                <w:i w:val="0"/>
                <w:iCs w:val="0"/>
                <w:caps w:val="0"/>
                <w:color w:val="000000"/>
                <w:spacing w:val="0"/>
                <w:kern w:val="0"/>
                <w:sz w:val="18"/>
                <w:szCs w:val="18"/>
                <w:highlight w:val="none"/>
                <w:u w:val="none"/>
                <w:shd w:val="clear"/>
                <w:lang w:val="en-US" w:eastAsia="zh-CN" w:bidi="ar"/>
              </w:rPr>
              <w:t>所投产品的</w:t>
            </w:r>
            <w:r>
              <w:rPr>
                <w:rFonts w:hint="eastAsia" w:ascii="仿宋" w:hAnsi="仿宋" w:eastAsia="仿宋" w:cs="仿宋"/>
                <w:i w:val="0"/>
                <w:iCs w:val="0"/>
                <w:color w:val="000000"/>
                <w:kern w:val="0"/>
                <w:sz w:val="18"/>
                <w:szCs w:val="18"/>
                <w:highlight w:val="none"/>
                <w:u w:val="none"/>
                <w:lang w:val="en-US" w:eastAsia="zh-CN" w:bidi="ar"/>
              </w:rPr>
              <w:t>主洗喷臂和喷嘴都采用304不锈钢材质，并符合GB4806.9-2023《食品安全国家标准食品接触用金属材料及制品》的要求，检测结果为合格。响应文件中须提供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w:t>
            </w:r>
            <w:r>
              <w:rPr>
                <w:rFonts w:hint="eastAsia" w:ascii="仿宋" w:hAnsi="仿宋" w:eastAsia="仿宋" w:cs="仿宋"/>
                <w:i w:val="0"/>
                <w:iCs w:val="0"/>
                <w:color w:val="000000"/>
                <w:kern w:val="0"/>
                <w:sz w:val="18"/>
                <w:szCs w:val="18"/>
                <w:highlight w:val="none"/>
                <w:u w:val="none"/>
                <w:lang w:val="en-US" w:eastAsia="zh-CN" w:bidi="ar"/>
              </w:rPr>
              <w:t>主洗喷臂和喷嘴的</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ascii="仿宋" w:hAnsi="仿宋" w:eastAsia="仿宋" w:cs="仿宋"/>
                <w:i w:val="0"/>
                <w:iCs w:val="0"/>
                <w:caps w:val="0"/>
                <w:color w:val="000000"/>
                <w:spacing w:val="0"/>
                <w:kern w:val="0"/>
                <w:sz w:val="18"/>
                <w:szCs w:val="18"/>
                <w:highlight w:val="none"/>
                <w:u w:val="none"/>
                <w:shd w:val="clear"/>
                <w:lang w:bidi="ar"/>
              </w:rPr>
              <w:t>（须清晰显示材质检测结果及判定结论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检测报告须加盖供应商公章</w:t>
            </w:r>
            <w:r>
              <w:rPr>
                <w:rFonts w:hint="eastAsia" w:ascii="仿宋" w:hAnsi="仿宋" w:eastAsia="仿宋" w:cs="仿宋"/>
                <w:i w:val="0"/>
                <w:iCs w:val="0"/>
                <w:caps w:val="0"/>
                <w:color w:val="000000"/>
                <w:spacing w:val="0"/>
                <w:sz w:val="18"/>
                <w:szCs w:val="18"/>
                <w:highlight w:val="none"/>
                <w:u w:val="none"/>
                <w:shd w:val="clear"/>
                <w:lang w:bidi="ar"/>
              </w:rPr>
              <w:t>。</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★18、</w:t>
            </w:r>
            <w:r>
              <w:rPr>
                <w:rFonts w:ascii="仿宋" w:hAnsi="仿宋" w:eastAsia="仿宋" w:cs="仿宋"/>
                <w:b w:val="0"/>
                <w:bCs w:val="0"/>
                <w:i w:val="0"/>
                <w:iCs w:val="0"/>
                <w:caps w:val="0"/>
                <w:color w:val="000000"/>
                <w:spacing w:val="0"/>
                <w:kern w:val="0"/>
                <w:sz w:val="18"/>
                <w:szCs w:val="18"/>
                <w:highlight w:val="none"/>
                <w:u w:val="none"/>
                <w:shd w:val="clear"/>
                <w:lang w:bidi="ar"/>
              </w:rPr>
              <w:t>触摸屏及控制系统</w:t>
            </w:r>
            <w:r>
              <w:rPr>
                <w:rFonts w:hint="default" w:ascii="仿宋" w:hAnsi="仿宋" w:eastAsia="仿宋" w:cs="仿宋"/>
                <w:i w:val="0"/>
                <w:iCs w:val="0"/>
                <w:caps w:val="0"/>
                <w:color w:val="000000"/>
                <w:spacing w:val="0"/>
                <w:kern w:val="0"/>
                <w:sz w:val="18"/>
                <w:szCs w:val="18"/>
                <w:highlight w:val="none"/>
                <w:u w:val="none"/>
                <w:shd w:val="clear"/>
                <w:lang w:bidi="ar"/>
              </w:rPr>
              <w:t>：</w:t>
            </w:r>
          </w:p>
          <w:p w14:paraId="798F607C">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（1）功能要求：</w:t>
            </w:r>
            <w:r>
              <w:rPr>
                <w:rFonts w:hint="default" w:ascii="仿宋" w:hAnsi="仿宋" w:eastAsia="仿宋" w:cs="仿宋"/>
                <w:i w:val="0"/>
                <w:iCs w:val="0"/>
                <w:color w:val="000000"/>
                <w:kern w:val="0"/>
                <w:sz w:val="18"/>
                <w:szCs w:val="18"/>
                <w:highlight w:val="none"/>
                <w:u w:val="none"/>
                <w:lang w:val="en-US" w:eastAsia="zh-CN" w:bidi="ar"/>
              </w:rPr>
              <w:t>所投产品触摸屏≥10寸，显示屏显示状态包括但不限于：</w:t>
            </w:r>
            <w:r>
              <w:rPr>
                <w:rFonts w:hint="eastAsia" w:ascii="仿宋" w:hAnsi="仿宋" w:eastAsia="仿宋" w:cs="仿宋"/>
                <w:i w:val="0"/>
                <w:iCs w:val="0"/>
                <w:color w:val="000000"/>
                <w:kern w:val="0"/>
                <w:sz w:val="18"/>
                <w:szCs w:val="18"/>
                <w:highlight w:val="none"/>
                <w:u w:val="none"/>
                <w:lang w:val="en-US" w:eastAsia="zh-CN" w:bidi="ar"/>
              </w:rPr>
              <w:t>①洗碗机实时状态的中文显示；②预洗温度显示；③主洗温度实时显示；④漂洗温度实时显示；⑤烘干温度实时显示；⑥标准洗涤/快洗洗涤模式；</w:t>
            </w:r>
          </w:p>
          <w:p w14:paraId="50F198D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r>
              <w:rPr>
                <w:rFonts w:hint="eastAsia" w:ascii="仿宋" w:hAnsi="仿宋" w:eastAsia="仿宋" w:cs="仿宋"/>
                <w:b w:val="0"/>
                <w:bCs w:val="0"/>
                <w:i w:val="0"/>
                <w:iCs w:val="0"/>
                <w:caps w:val="0"/>
                <w:color w:val="000000"/>
                <w:spacing w:val="0"/>
                <w:kern w:val="0"/>
                <w:sz w:val="18"/>
                <w:szCs w:val="18"/>
                <w:highlight w:val="none"/>
                <w:u w:val="none"/>
                <w:shd w:val="clear"/>
                <w:lang w:bidi="ar"/>
              </w:rPr>
              <w:t>外壳防护</w:t>
            </w:r>
            <w:r>
              <w:rPr>
                <w:rFonts w:hint="eastAsia" w:ascii="仿宋" w:hAnsi="仿宋" w:eastAsia="仿宋" w:cs="仿宋"/>
                <w:i w:val="0"/>
                <w:iCs w:val="0"/>
                <w:caps w:val="0"/>
                <w:color w:val="000000"/>
                <w:spacing w:val="0"/>
                <w:kern w:val="0"/>
                <w:sz w:val="18"/>
                <w:szCs w:val="18"/>
                <w:highlight w:val="none"/>
                <w:u w:val="none"/>
                <w:shd w:val="clear"/>
                <w:lang w:bidi="ar"/>
              </w:rPr>
              <w:t>：所投产品控制箱体防护等级须≥</w:t>
            </w:r>
            <w:r>
              <w:rPr>
                <w:rFonts w:hint="eastAsia" w:ascii="仿宋" w:hAnsi="仿宋" w:eastAsia="仿宋" w:cs="仿宋"/>
                <w:b w:val="0"/>
                <w:bCs w:val="0"/>
                <w:i w:val="0"/>
                <w:iCs w:val="0"/>
                <w:caps w:val="0"/>
                <w:color w:val="000000"/>
                <w:spacing w:val="0"/>
                <w:kern w:val="0"/>
                <w:sz w:val="18"/>
                <w:szCs w:val="18"/>
                <w:highlight w:val="none"/>
                <w:u w:val="none"/>
                <w:shd w:val="clear"/>
                <w:lang w:bidi="ar"/>
              </w:rPr>
              <w:t>IPX4</w:t>
            </w:r>
            <w:r>
              <w:rPr>
                <w:rFonts w:hint="eastAsia" w:ascii="仿宋" w:hAnsi="仿宋" w:eastAsia="仿宋" w:cs="仿宋"/>
                <w:i w:val="0"/>
                <w:iCs w:val="0"/>
                <w:caps w:val="0"/>
                <w:color w:val="000000"/>
                <w:spacing w:val="0"/>
                <w:kern w:val="0"/>
                <w:sz w:val="18"/>
                <w:szCs w:val="18"/>
                <w:highlight w:val="none"/>
                <w:u w:val="none"/>
                <w:shd w:val="clear"/>
                <w:lang w:bidi="ar"/>
              </w:rPr>
              <w:t>（依据 </w:t>
            </w:r>
            <w:r>
              <w:rPr>
                <w:rFonts w:hint="eastAsia" w:ascii="仿宋" w:hAnsi="仿宋" w:eastAsia="仿宋" w:cs="仿宋"/>
                <w:b w:val="0"/>
                <w:bCs w:val="0"/>
                <w:i w:val="0"/>
                <w:iCs w:val="0"/>
                <w:caps w:val="0"/>
                <w:color w:val="000000"/>
                <w:spacing w:val="0"/>
                <w:kern w:val="0"/>
                <w:sz w:val="18"/>
                <w:szCs w:val="18"/>
                <w:highlight w:val="none"/>
                <w:u w:val="none"/>
                <w:shd w:val="clear"/>
                <w:lang w:bidi="ar"/>
              </w:rPr>
              <w:t>GB/T 4208-2017</w:t>
            </w:r>
            <w:r>
              <w:rPr>
                <w:rFonts w:hint="eastAsia" w:ascii="仿宋" w:hAnsi="仿宋" w:eastAsia="仿宋" w:cs="仿宋"/>
                <w:i w:val="0"/>
                <w:iCs w:val="0"/>
                <w:caps w:val="0"/>
                <w:color w:val="000000"/>
                <w:spacing w:val="0"/>
                <w:kern w:val="0"/>
                <w:sz w:val="18"/>
                <w:szCs w:val="18"/>
                <w:highlight w:val="none"/>
                <w:u w:val="none"/>
                <w:shd w:val="clear"/>
                <w:lang w:bidi="ar"/>
              </w:rPr>
              <w:t>《外壳防护等级（IP代码）》标准检测</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b w:val="0"/>
                <w:bCs w:val="0"/>
                <w:i w:val="0"/>
                <w:iCs w:val="0"/>
                <w:color w:val="000000"/>
                <w:kern w:val="0"/>
                <w:sz w:val="18"/>
                <w:szCs w:val="18"/>
                <w:highlight w:val="none"/>
                <w:u w:val="none"/>
                <w:lang w:val="en-US" w:eastAsia="zh-CN" w:bidi="ar"/>
              </w:rPr>
              <w:t>提供整机或控制系统相关检测报告均可</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响应文件中</w:t>
            </w:r>
            <w:r>
              <w:rPr>
                <w:rFonts w:hint="eastAsia" w:ascii="仿宋" w:hAnsi="仿宋" w:eastAsia="仿宋" w:cs="仿宋"/>
                <w:i w:val="0"/>
                <w:iCs w:val="0"/>
                <w:caps w:val="0"/>
                <w:color w:val="000000"/>
                <w:spacing w:val="0"/>
                <w:kern w:val="0"/>
                <w:sz w:val="18"/>
                <w:szCs w:val="18"/>
                <w:highlight w:val="none"/>
                <w:u w:val="none"/>
                <w:shd w:val="clear"/>
                <w:lang w:bidi="ar"/>
              </w:rPr>
              <w:t>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（须清晰显示防护等级判定结果</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tc>
        <w:tc>
          <w:tcPr>
            <w:tcW w:w="376" w:type="pct"/>
            <w:shd w:val="clear" w:color="auto" w:fill="auto"/>
            <w:vAlign w:val="center"/>
          </w:tcPr>
          <w:p w14:paraId="7483125B">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超胜、洁速尔、埃科菲</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5D00BFF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C96906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55427DF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108000</w:t>
            </w:r>
          </w:p>
        </w:tc>
        <w:tc>
          <w:tcPr>
            <w:tcW w:w="231" w:type="pct"/>
            <w:shd w:val="clear" w:color="auto" w:fill="auto"/>
            <w:noWrap/>
            <w:vAlign w:val="center"/>
          </w:tcPr>
          <w:p w14:paraId="5999EE3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108000</w:t>
            </w:r>
          </w:p>
        </w:tc>
      </w:tr>
      <w:tr w14:paraId="1491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vAlign w:val="center"/>
          </w:tcPr>
          <w:p w14:paraId="6DD82936">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40DE0AF2">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4DDBA351">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5569BEF1">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0B7E08E2">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3EF82606">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18A0CC66">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87</w:t>
            </w:r>
          </w:p>
        </w:tc>
        <w:tc>
          <w:tcPr>
            <w:tcW w:w="548" w:type="pct"/>
            <w:shd w:val="clear" w:color="auto" w:fill="auto"/>
            <w:vAlign w:val="center"/>
          </w:tcPr>
          <w:p w14:paraId="10AECAF4">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04781FC7">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4D23A568">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3CE0645C">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17E224E7">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1101725</wp:posOffset>
                  </wp:positionH>
                  <wp:positionV relativeFrom="paragraph">
                    <wp:posOffset>118745</wp:posOffset>
                  </wp:positionV>
                  <wp:extent cx="660400" cy="1130935"/>
                  <wp:effectExtent l="0" t="0" r="6350" b="12065"/>
                  <wp:wrapNone/>
                  <wp:docPr id="132" name="ID_949A92EB5381446CA9026AFBB3C4A291"/>
                  <wp:cNvGraphicFramePr/>
                  <a:graphic xmlns:a="http://schemas.openxmlformats.org/drawingml/2006/main">
                    <a:graphicData uri="http://schemas.openxmlformats.org/drawingml/2006/picture">
                      <pic:pic xmlns:pic="http://schemas.openxmlformats.org/drawingml/2006/picture">
                        <pic:nvPicPr>
                          <pic:cNvPr id="132" name="ID_949A92EB5381446CA9026AFBB3C4A291"/>
                          <pic:cNvPicPr/>
                        </pic:nvPicPr>
                        <pic:blipFill>
                          <a:blip r:embed="rId63"/>
                          <a:stretch>
                            <a:fillRect/>
                          </a:stretch>
                        </pic:blipFill>
                        <pic:spPr>
                          <a:xfrm>
                            <a:off x="0" y="0"/>
                            <a:ext cx="660400" cy="1130935"/>
                          </a:xfrm>
                          <a:prstGeom prst="rect">
                            <a:avLst/>
                          </a:prstGeom>
                          <a:noFill/>
                          <a:ln>
                            <a:noFill/>
                          </a:ln>
                        </pic:spPr>
                      </pic:pic>
                    </a:graphicData>
                  </a:graphic>
                </wp:anchor>
              </w:drawing>
            </w:r>
          </w:p>
          <w:p w14:paraId="520E3BD8">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p>
          <w:p w14:paraId="1ADB7B5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软水机</w:t>
            </w:r>
          </w:p>
        </w:tc>
        <w:tc>
          <w:tcPr>
            <w:tcW w:w="502" w:type="pct"/>
            <w:shd w:val="clear" w:color="auto" w:fill="auto"/>
            <w:vAlign w:val="top"/>
          </w:tcPr>
          <w:p w14:paraId="53A9C28B">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p>
        </w:tc>
        <w:tc>
          <w:tcPr>
            <w:tcW w:w="832" w:type="pct"/>
            <w:shd w:val="clear" w:color="auto" w:fill="auto"/>
            <w:vAlign w:val="center"/>
          </w:tcPr>
          <w:p w14:paraId="6739CF9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2D7ECD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全自动钠离子交换器结构，采用流量型或时间流量双控型自动控制阀，实现全自动运行。</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1.树脂罐：采用食品级304不锈钢罐体，坚固耐用，抗腐蚀性强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2.盐箱：不锈钢材质，内置不锈钢浮球阀</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3.连接管路：食品卫生级不锈钢管道</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4.控制阀：多路自动控制阀，具备自动冲洗功能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5.离子交换树脂：食品级专用阳离子交换树脂</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6.整体符合食品卫生标准要求，出水水质符合饮用水标准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1.电源：380V/50Hz（三相）</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2.额定功率：0.5kW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3.净水能力：3000L/h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4.进水压力：0.2-0.5MPa，最佳为0.25-0.35MPa</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5.进水水温：5-45℃</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6.出水硬度：0.03mmol/L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7.再生方式：顺流或逆流自动再生</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8.进水水质要求：原水硬度符合GB/T18300标准，进水浊度10mg/L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9.控制方式：智能实时控制系统，全自动运行，流量型或时间流量双控</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10.安全保护：具有自动冲洗、过载保护、缺水保护等功能</w:t>
            </w:r>
          </w:p>
        </w:tc>
        <w:tc>
          <w:tcPr>
            <w:tcW w:w="376" w:type="pct"/>
            <w:shd w:val="clear" w:color="auto" w:fill="auto"/>
            <w:vAlign w:val="center"/>
          </w:tcPr>
          <w:p w14:paraId="3294AC1C">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20F1900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36C782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6AAC053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4710</w:t>
            </w:r>
          </w:p>
        </w:tc>
        <w:tc>
          <w:tcPr>
            <w:tcW w:w="231" w:type="pct"/>
            <w:shd w:val="clear" w:color="auto" w:fill="auto"/>
            <w:noWrap/>
            <w:vAlign w:val="center"/>
          </w:tcPr>
          <w:p w14:paraId="21331F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4710</w:t>
            </w:r>
          </w:p>
        </w:tc>
      </w:tr>
      <w:tr w14:paraId="1166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57" w:hRule="atLeast"/>
        </w:trPr>
        <w:tc>
          <w:tcPr>
            <w:tcW w:w="270" w:type="pct"/>
            <w:shd w:val="clear" w:color="auto" w:fill="auto"/>
            <w:vAlign w:val="center"/>
          </w:tcPr>
          <w:p w14:paraId="02B71EA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88</w:t>
            </w:r>
          </w:p>
        </w:tc>
        <w:tc>
          <w:tcPr>
            <w:tcW w:w="548" w:type="pct"/>
            <w:shd w:val="clear" w:color="auto" w:fill="auto"/>
            <w:vAlign w:val="center"/>
          </w:tcPr>
          <w:p w14:paraId="6F8197C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小件投递口</w:t>
            </w:r>
          </w:p>
        </w:tc>
        <w:tc>
          <w:tcPr>
            <w:tcW w:w="502" w:type="pct"/>
            <w:shd w:val="clear" w:color="auto" w:fill="auto"/>
            <w:vAlign w:val="top"/>
          </w:tcPr>
          <w:p w14:paraId="540D67EE">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lang w:val="en-US" w:eastAsia="zh-CN" w:bidi="ar"/>
              </w:rPr>
              <w:drawing>
                <wp:anchor distT="0" distB="0" distL="114300" distR="114300" simplePos="0" relativeHeight="251664384" behindDoc="0" locked="0" layoutInCell="1" allowOverlap="1">
                  <wp:simplePos x="0" y="0"/>
                  <wp:positionH relativeFrom="column">
                    <wp:posOffset>53340</wp:posOffset>
                  </wp:positionH>
                  <wp:positionV relativeFrom="paragraph">
                    <wp:posOffset>989965</wp:posOffset>
                  </wp:positionV>
                  <wp:extent cx="723265" cy="462915"/>
                  <wp:effectExtent l="0" t="0" r="635" b="13335"/>
                  <wp:wrapNone/>
                  <wp:docPr id="12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2" descr="IMG_257"/>
                          <pic:cNvPicPr>
                            <a:picLocks noChangeAspect="1"/>
                          </pic:cNvPicPr>
                        </pic:nvPicPr>
                        <pic:blipFill>
                          <a:blip r:embed="rId64"/>
                          <a:stretch>
                            <a:fillRect/>
                          </a:stretch>
                        </pic:blipFill>
                        <pic:spPr>
                          <a:xfrm>
                            <a:off x="0" y="0"/>
                            <a:ext cx="723265" cy="462915"/>
                          </a:xfrm>
                          <a:prstGeom prst="rect">
                            <a:avLst/>
                          </a:prstGeom>
                          <a:noFill/>
                          <a:ln w="9525">
                            <a:noFill/>
                          </a:ln>
                        </pic:spPr>
                      </pic:pic>
                    </a:graphicData>
                  </a:graphic>
                </wp:anchor>
              </w:drawing>
            </w:r>
          </w:p>
        </w:tc>
        <w:tc>
          <w:tcPr>
            <w:tcW w:w="832" w:type="pct"/>
            <w:shd w:val="clear" w:color="auto" w:fill="auto"/>
            <w:vAlign w:val="center"/>
          </w:tcPr>
          <w:p w14:paraId="03FF74F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1100×300×940mm</w:t>
            </w:r>
          </w:p>
        </w:tc>
        <w:tc>
          <w:tcPr>
            <w:tcW w:w="1559" w:type="pct"/>
            <w:shd w:val="clear" w:color="auto" w:fill="auto"/>
            <w:vAlign w:val="center"/>
          </w:tcPr>
          <w:p w14:paraId="7095BCC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本设备与片式输送机并列分布，操作面上设置多个独立或连排投入口（口径适配筷子、汤匙等小件餐具），防止大件杂物误入，用于投放餐具与残渣。内部设倾斜导料槽，利用重力将小件顺畅滑落至底部收集箱，无卡顿死角。底部可配可拆卸收集盒或直接对接下游设备接口。</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1.外壳采用不锈钢材质，厚度≥1.2mm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2.支架采用SUS304不锈钢材质，厚度≥2.0mm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3.表面拉丝处理，焊缝打磨平整光滑，边缘卷边处理防割手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4.内部转角圆弧过渡，无卫生死角</w:t>
            </w:r>
          </w:p>
        </w:tc>
        <w:tc>
          <w:tcPr>
            <w:tcW w:w="376" w:type="pct"/>
            <w:shd w:val="clear" w:color="auto" w:fill="auto"/>
            <w:vAlign w:val="center"/>
          </w:tcPr>
          <w:p w14:paraId="73887EB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57B3B3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4C6262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1D2F3B8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2000</w:t>
            </w:r>
          </w:p>
        </w:tc>
        <w:tc>
          <w:tcPr>
            <w:tcW w:w="231" w:type="pct"/>
            <w:shd w:val="clear" w:color="auto" w:fill="auto"/>
            <w:noWrap/>
            <w:vAlign w:val="center"/>
          </w:tcPr>
          <w:p w14:paraId="4309C9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2000</w:t>
            </w:r>
          </w:p>
        </w:tc>
      </w:tr>
      <w:tr w14:paraId="319C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0" w:hRule="atLeast"/>
        </w:trPr>
        <w:tc>
          <w:tcPr>
            <w:tcW w:w="270" w:type="pct"/>
            <w:shd w:val="clear" w:color="auto" w:fill="auto"/>
            <w:vAlign w:val="center"/>
          </w:tcPr>
          <w:p w14:paraId="0C33D9BB">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89</w:t>
            </w:r>
          </w:p>
        </w:tc>
        <w:tc>
          <w:tcPr>
            <w:tcW w:w="548" w:type="pct"/>
            <w:shd w:val="clear" w:color="auto" w:fill="auto"/>
            <w:vAlign w:val="center"/>
          </w:tcPr>
          <w:p w14:paraId="465C10F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餐具回收柜圆形孔三孔</w:t>
            </w:r>
          </w:p>
        </w:tc>
        <w:tc>
          <w:tcPr>
            <w:tcW w:w="502" w:type="pct"/>
            <w:shd w:val="clear" w:color="auto" w:fill="auto"/>
            <w:vAlign w:val="top"/>
          </w:tcPr>
          <w:p w14:paraId="3FFBCF56">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lang w:val="en-US" w:eastAsia="zh-CN" w:bidi="ar"/>
              </w:rPr>
              <w:drawing>
                <wp:anchor distT="0" distB="0" distL="114300" distR="114300" simplePos="0" relativeHeight="251665408" behindDoc="1" locked="0" layoutInCell="1" allowOverlap="1">
                  <wp:simplePos x="0" y="0"/>
                  <wp:positionH relativeFrom="column">
                    <wp:posOffset>31750</wp:posOffset>
                  </wp:positionH>
                  <wp:positionV relativeFrom="paragraph">
                    <wp:posOffset>1086485</wp:posOffset>
                  </wp:positionV>
                  <wp:extent cx="703580" cy="450215"/>
                  <wp:effectExtent l="0" t="0" r="1270" b="6985"/>
                  <wp:wrapNone/>
                  <wp:docPr id="13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 descr="IMG_258"/>
                          <pic:cNvPicPr>
                            <a:picLocks noChangeAspect="1"/>
                          </pic:cNvPicPr>
                        </pic:nvPicPr>
                        <pic:blipFill>
                          <a:blip r:embed="rId64"/>
                          <a:stretch>
                            <a:fillRect/>
                          </a:stretch>
                        </pic:blipFill>
                        <pic:spPr>
                          <a:xfrm>
                            <a:off x="0" y="0"/>
                            <a:ext cx="703580" cy="450215"/>
                          </a:xfrm>
                          <a:prstGeom prst="rect">
                            <a:avLst/>
                          </a:prstGeom>
                          <a:noFill/>
                          <a:ln w="9525">
                            <a:noFill/>
                          </a:ln>
                        </pic:spPr>
                      </pic:pic>
                    </a:graphicData>
                  </a:graphic>
                </wp:anchor>
              </w:drawing>
            </w:r>
          </w:p>
        </w:tc>
        <w:tc>
          <w:tcPr>
            <w:tcW w:w="832" w:type="pct"/>
            <w:shd w:val="clear" w:color="auto" w:fill="auto"/>
            <w:vAlign w:val="center"/>
          </w:tcPr>
          <w:p w14:paraId="6EE04AF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1600×300×940mm</w:t>
            </w:r>
          </w:p>
        </w:tc>
        <w:tc>
          <w:tcPr>
            <w:tcW w:w="1559" w:type="pct"/>
            <w:shd w:val="clear" w:color="auto" w:fill="auto"/>
            <w:vAlign w:val="center"/>
          </w:tcPr>
          <w:p w14:paraId="7B93B71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本设备与片式输送机并列分布，操作面上设置三个独立圆形投入口（孔径适配餐盘、碗碟等餐具），用于投放餐具与残渣。台面三孔独立布局，孔边缘卷边防割手且带导滑坡度，防止餐具卡滞。内部设大容量倾斜储料仓或直通落料口，利用重力将餐具顺畅滑落至下游传送带或收集车，无堆积死角。底部可配滑轮移动底座或直接固定对接下游设备。</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1.外壳采用不锈钢材质，厚度≥1.2mm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2.支架采用SUS304不锈钢材质，厚度≥2.0mm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3.表面拉丝处理，焊缝打磨平整光滑，边缘卷边处理防割手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4.内部转角圆弧过渡，无卫生死角</w:t>
            </w:r>
          </w:p>
        </w:tc>
        <w:tc>
          <w:tcPr>
            <w:tcW w:w="376" w:type="pct"/>
            <w:shd w:val="clear" w:color="auto" w:fill="auto"/>
            <w:vAlign w:val="center"/>
          </w:tcPr>
          <w:p w14:paraId="48FB18F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DCE167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40E7FA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EED244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2360</w:t>
            </w:r>
          </w:p>
        </w:tc>
        <w:tc>
          <w:tcPr>
            <w:tcW w:w="231" w:type="pct"/>
            <w:shd w:val="clear" w:color="auto" w:fill="auto"/>
            <w:noWrap/>
            <w:vAlign w:val="center"/>
          </w:tcPr>
          <w:p w14:paraId="549E39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2360</w:t>
            </w:r>
          </w:p>
        </w:tc>
      </w:tr>
      <w:tr w14:paraId="11D4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vAlign w:val="center"/>
          </w:tcPr>
          <w:p w14:paraId="17E91DCB">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90</w:t>
            </w:r>
          </w:p>
        </w:tc>
        <w:tc>
          <w:tcPr>
            <w:tcW w:w="548" w:type="pct"/>
            <w:shd w:val="clear" w:color="auto" w:fill="auto"/>
            <w:vAlign w:val="center"/>
          </w:tcPr>
          <w:p w14:paraId="63F26F2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链板式传送带</w:t>
            </w:r>
          </w:p>
        </w:tc>
        <w:tc>
          <w:tcPr>
            <w:tcW w:w="502" w:type="pct"/>
            <w:shd w:val="clear" w:color="auto" w:fill="auto"/>
            <w:vAlign w:val="top"/>
          </w:tcPr>
          <w:p w14:paraId="628F92E6">
            <w:pPr>
              <w:keepNext w:val="0"/>
              <w:keepLines w:val="0"/>
              <w:widowControl/>
              <w:suppressLineNumbers w:val="0"/>
              <w:jc w:val="both"/>
              <w:textAlignment w:val="top"/>
              <w:rPr>
                <w:rFonts w:hint="eastAsia" w:ascii="仿宋" w:hAnsi="仿宋" w:eastAsia="仿宋" w:cs="仿宋"/>
                <w:i w:val="0"/>
                <w:iCs w:val="0"/>
                <w:color w:val="FF0000"/>
                <w:sz w:val="18"/>
                <w:szCs w:val="18"/>
                <w:highlight w:val="none"/>
                <w:u w:val="none"/>
              </w:rPr>
            </w:pPr>
          </w:p>
        </w:tc>
        <w:tc>
          <w:tcPr>
            <w:tcW w:w="832" w:type="pct"/>
            <w:shd w:val="clear" w:color="auto" w:fill="auto"/>
            <w:vAlign w:val="center"/>
          </w:tcPr>
          <w:p w14:paraId="6AAA29C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（L）*500×940mm</w:t>
            </w:r>
          </w:p>
        </w:tc>
        <w:tc>
          <w:tcPr>
            <w:tcW w:w="1559" w:type="pct"/>
            <w:shd w:val="clear" w:color="auto" w:fill="auto"/>
            <w:vAlign w:val="center"/>
          </w:tcPr>
          <w:p w14:paraId="28876AD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一、结构：食品级输送线，自动张紧装置，残渣收集抽屉。</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-2475865</wp:posOffset>
                  </wp:positionH>
                  <wp:positionV relativeFrom="paragraph">
                    <wp:posOffset>737235</wp:posOffset>
                  </wp:positionV>
                  <wp:extent cx="730885" cy="604520"/>
                  <wp:effectExtent l="0" t="0" r="12065" b="5080"/>
                  <wp:wrapNone/>
                  <wp:docPr id="140" name="ID_DDF9446857C54787A163E7D1EDD04E45"/>
                  <wp:cNvGraphicFramePr/>
                  <a:graphic xmlns:a="http://schemas.openxmlformats.org/drawingml/2006/main">
                    <a:graphicData uri="http://schemas.openxmlformats.org/drawingml/2006/picture">
                      <pic:pic xmlns:pic="http://schemas.openxmlformats.org/drawingml/2006/picture">
                        <pic:nvPicPr>
                          <pic:cNvPr id="140" name="ID_DDF9446857C54787A163E7D1EDD04E45"/>
                          <pic:cNvPicPr/>
                        </pic:nvPicPr>
                        <pic:blipFill>
                          <a:blip r:embed="rId65"/>
                          <a:stretch>
                            <a:fillRect/>
                          </a:stretch>
                        </pic:blipFill>
                        <pic:spPr>
                          <a:xfrm>
                            <a:off x="0" y="0"/>
                            <a:ext cx="730885" cy="604520"/>
                          </a:xfrm>
                          <a:prstGeom prst="rect">
                            <a:avLst/>
                          </a:prstGeom>
                          <a:noFill/>
                          <a:ln>
                            <a:noFill/>
                          </a:ln>
                        </pic:spPr>
                      </pic:pic>
                    </a:graphicData>
                  </a:graphic>
                </wp:anchor>
              </w:draw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1.外壳：优质不锈钢，厚度≥1.2mm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2.支架：304不锈钢，厚度≥2.0mm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3.输送带：高耐磨食品级，不易脱落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4.驱动：静音马达，柔性启动</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5.护边：可拆卸PP</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6.残渣收集：抽屉式</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1.光感应自动启停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2.清洁无死角</w:t>
            </w:r>
          </w:p>
        </w:tc>
        <w:tc>
          <w:tcPr>
            <w:tcW w:w="376" w:type="pct"/>
            <w:shd w:val="clear" w:color="auto" w:fill="auto"/>
            <w:vAlign w:val="center"/>
          </w:tcPr>
          <w:p w14:paraId="54F06481">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0DD457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E216B2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米</w:t>
            </w:r>
          </w:p>
        </w:tc>
        <w:tc>
          <w:tcPr>
            <w:tcW w:w="226" w:type="pct"/>
            <w:shd w:val="clear" w:color="auto" w:fill="auto"/>
            <w:vAlign w:val="center"/>
          </w:tcPr>
          <w:p w14:paraId="75ADB1F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6550</w:t>
            </w:r>
          </w:p>
        </w:tc>
        <w:tc>
          <w:tcPr>
            <w:tcW w:w="231" w:type="pct"/>
            <w:shd w:val="clear" w:color="auto" w:fill="auto"/>
            <w:noWrap/>
            <w:vAlign w:val="center"/>
          </w:tcPr>
          <w:p w14:paraId="09FB9E3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6550</w:t>
            </w:r>
          </w:p>
        </w:tc>
      </w:tr>
      <w:tr w14:paraId="4F5E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270" w:type="pct"/>
            <w:shd w:val="clear" w:color="auto" w:fill="auto"/>
            <w:vAlign w:val="center"/>
          </w:tcPr>
          <w:p w14:paraId="252C7B63">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91</w:t>
            </w:r>
          </w:p>
        </w:tc>
        <w:tc>
          <w:tcPr>
            <w:tcW w:w="548" w:type="pct"/>
            <w:shd w:val="clear" w:color="auto" w:fill="auto"/>
            <w:vAlign w:val="center"/>
          </w:tcPr>
          <w:p w14:paraId="0D54EE4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链板式传送带</w:t>
            </w:r>
          </w:p>
        </w:tc>
        <w:tc>
          <w:tcPr>
            <w:tcW w:w="502" w:type="pct"/>
            <w:shd w:val="clear" w:color="auto" w:fill="auto"/>
            <w:vAlign w:val="center"/>
          </w:tcPr>
          <w:p w14:paraId="515831B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77470</wp:posOffset>
                  </wp:positionH>
                  <wp:positionV relativeFrom="paragraph">
                    <wp:posOffset>-170815</wp:posOffset>
                  </wp:positionV>
                  <wp:extent cx="565150" cy="429895"/>
                  <wp:effectExtent l="0" t="0" r="6350" b="8255"/>
                  <wp:wrapNone/>
                  <wp:docPr id="25" name="ID_DDF9446857C54787A163E7D1EDD04E45_SpCnt_1"/>
                  <wp:cNvGraphicFramePr/>
                  <a:graphic xmlns:a="http://schemas.openxmlformats.org/drawingml/2006/main">
                    <a:graphicData uri="http://schemas.openxmlformats.org/drawingml/2006/picture">
                      <pic:pic xmlns:pic="http://schemas.openxmlformats.org/drawingml/2006/picture">
                        <pic:nvPicPr>
                          <pic:cNvPr id="25" name="ID_DDF9446857C54787A163E7D1EDD04E45_SpCnt_1"/>
                          <pic:cNvPicPr/>
                        </pic:nvPicPr>
                        <pic:blipFill>
                          <a:blip r:embed="rId65"/>
                          <a:stretch>
                            <a:fillRect/>
                          </a:stretch>
                        </pic:blipFill>
                        <pic:spPr>
                          <a:xfrm>
                            <a:off x="0" y="0"/>
                            <a:ext cx="565150" cy="429895"/>
                          </a:xfrm>
                          <a:prstGeom prst="rect">
                            <a:avLst/>
                          </a:prstGeom>
                          <a:noFill/>
                          <a:ln>
                            <a:noFill/>
                          </a:ln>
                        </pic:spPr>
                      </pic:pic>
                    </a:graphicData>
                  </a:graphic>
                </wp:anchor>
              </w:drawing>
            </w:r>
          </w:p>
        </w:tc>
        <w:tc>
          <w:tcPr>
            <w:tcW w:w="832" w:type="pct"/>
            <w:shd w:val="clear" w:color="auto" w:fill="auto"/>
            <w:vAlign w:val="center"/>
          </w:tcPr>
          <w:p w14:paraId="4C7B063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(L)*500*940mm</w:t>
            </w:r>
          </w:p>
        </w:tc>
        <w:tc>
          <w:tcPr>
            <w:tcW w:w="1559" w:type="pct"/>
            <w:shd w:val="clear" w:color="auto" w:fill="auto"/>
            <w:vAlign w:val="center"/>
          </w:tcPr>
          <w:p w14:paraId="0CA4A78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一、结构：食品级输送线，自动张紧装置，残渣收集抽屉。</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70528" behindDoc="0" locked="0" layoutInCell="1" allowOverlap="1">
                  <wp:simplePos x="0" y="0"/>
                  <wp:positionH relativeFrom="column">
                    <wp:posOffset>-2475865</wp:posOffset>
                  </wp:positionH>
                  <wp:positionV relativeFrom="paragraph">
                    <wp:posOffset>737235</wp:posOffset>
                  </wp:positionV>
                  <wp:extent cx="730885" cy="604520"/>
                  <wp:effectExtent l="0" t="0" r="12065" b="5080"/>
                  <wp:wrapNone/>
                  <wp:docPr id="66" name="ID_DDF9446857C54787A163E7D1EDD04E45"/>
                  <wp:cNvGraphicFramePr/>
                  <a:graphic xmlns:a="http://schemas.openxmlformats.org/drawingml/2006/main">
                    <a:graphicData uri="http://schemas.openxmlformats.org/drawingml/2006/picture">
                      <pic:pic xmlns:pic="http://schemas.openxmlformats.org/drawingml/2006/picture">
                        <pic:nvPicPr>
                          <pic:cNvPr id="66" name="ID_DDF9446857C54787A163E7D1EDD04E45"/>
                          <pic:cNvPicPr/>
                        </pic:nvPicPr>
                        <pic:blipFill>
                          <a:blip r:embed="rId65"/>
                          <a:stretch>
                            <a:fillRect/>
                          </a:stretch>
                        </pic:blipFill>
                        <pic:spPr>
                          <a:xfrm>
                            <a:off x="0" y="0"/>
                            <a:ext cx="730885" cy="604520"/>
                          </a:xfrm>
                          <a:prstGeom prst="rect">
                            <a:avLst/>
                          </a:prstGeom>
                          <a:noFill/>
                          <a:ln>
                            <a:noFill/>
                          </a:ln>
                        </pic:spPr>
                      </pic:pic>
                    </a:graphicData>
                  </a:graphic>
                </wp:anchor>
              </w:draw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1.外壳：优质不锈钢，厚度≥1.2mm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2.支架：304不锈钢，厚度≥2.0mm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3.输送带：高耐磨食品级，不易脱落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4.驱动：静音马达，柔性启动</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5.护边：可拆卸PP</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6.残渣收集：抽屉式</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1.光感应自动启停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2.清洁无死角</w:t>
            </w:r>
          </w:p>
        </w:tc>
        <w:tc>
          <w:tcPr>
            <w:tcW w:w="376" w:type="pct"/>
            <w:shd w:val="clear" w:color="auto" w:fill="auto"/>
            <w:vAlign w:val="center"/>
          </w:tcPr>
          <w:p w14:paraId="495E2B38">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50CD0C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w:t>
            </w:r>
          </w:p>
        </w:tc>
        <w:tc>
          <w:tcPr>
            <w:tcW w:w="235" w:type="pct"/>
            <w:shd w:val="clear" w:color="auto" w:fill="auto"/>
            <w:vAlign w:val="center"/>
          </w:tcPr>
          <w:p w14:paraId="2A9A6E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米</w:t>
            </w:r>
          </w:p>
        </w:tc>
        <w:tc>
          <w:tcPr>
            <w:tcW w:w="226" w:type="pct"/>
            <w:shd w:val="clear" w:color="auto" w:fill="auto"/>
            <w:vAlign w:val="center"/>
          </w:tcPr>
          <w:p w14:paraId="519F41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6550</w:t>
            </w:r>
          </w:p>
        </w:tc>
        <w:tc>
          <w:tcPr>
            <w:tcW w:w="231" w:type="pct"/>
            <w:shd w:val="clear" w:color="auto" w:fill="auto"/>
            <w:noWrap/>
            <w:vAlign w:val="center"/>
          </w:tcPr>
          <w:p w14:paraId="4ED39C3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16375</w:t>
            </w:r>
          </w:p>
        </w:tc>
      </w:tr>
      <w:tr w14:paraId="15F2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8" w:hRule="atLeast"/>
        </w:trPr>
        <w:tc>
          <w:tcPr>
            <w:tcW w:w="270" w:type="pct"/>
            <w:shd w:val="clear" w:color="auto" w:fill="auto"/>
            <w:vAlign w:val="center"/>
          </w:tcPr>
          <w:p w14:paraId="47BD441B">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92</w:t>
            </w:r>
          </w:p>
        </w:tc>
        <w:tc>
          <w:tcPr>
            <w:tcW w:w="548" w:type="pct"/>
            <w:shd w:val="clear" w:color="auto" w:fill="auto"/>
            <w:vAlign w:val="center"/>
          </w:tcPr>
          <w:p w14:paraId="7BD30C4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链板式传送带（弯头）</w:t>
            </w:r>
          </w:p>
        </w:tc>
        <w:tc>
          <w:tcPr>
            <w:tcW w:w="502" w:type="pct"/>
            <w:shd w:val="clear" w:color="auto" w:fill="auto"/>
            <w:vAlign w:val="top"/>
          </w:tcPr>
          <w:p w14:paraId="1F91E4F7">
            <w:pPr>
              <w:keepNext w:val="0"/>
              <w:keepLines w:val="0"/>
              <w:widowControl/>
              <w:suppressLineNumbers w:val="0"/>
              <w:jc w:val="center"/>
              <w:textAlignment w:val="top"/>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drawing>
                <wp:anchor distT="0" distB="0" distL="114300" distR="114300" simplePos="0" relativeHeight="251665408" behindDoc="1" locked="0" layoutInCell="1" allowOverlap="1">
                  <wp:simplePos x="0" y="0"/>
                  <wp:positionH relativeFrom="column">
                    <wp:posOffset>-19050</wp:posOffset>
                  </wp:positionH>
                  <wp:positionV relativeFrom="paragraph">
                    <wp:posOffset>789305</wp:posOffset>
                  </wp:positionV>
                  <wp:extent cx="878205" cy="439420"/>
                  <wp:effectExtent l="0" t="0" r="17145" b="17780"/>
                  <wp:wrapNone/>
                  <wp:docPr id="130"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4" descr="IMG_259"/>
                          <pic:cNvPicPr>
                            <a:picLocks noChangeAspect="1"/>
                          </pic:cNvPicPr>
                        </pic:nvPicPr>
                        <pic:blipFill>
                          <a:blip r:embed="rId66"/>
                          <a:stretch>
                            <a:fillRect/>
                          </a:stretch>
                        </pic:blipFill>
                        <pic:spPr>
                          <a:xfrm>
                            <a:off x="0" y="0"/>
                            <a:ext cx="878205" cy="439420"/>
                          </a:xfrm>
                          <a:prstGeom prst="rect">
                            <a:avLst/>
                          </a:prstGeom>
                          <a:noFill/>
                          <a:ln w="9525">
                            <a:noFill/>
                          </a:ln>
                        </pic:spPr>
                      </pic:pic>
                    </a:graphicData>
                  </a:graphic>
                </wp:anchor>
              </w:drawing>
            </w:r>
          </w:p>
        </w:tc>
        <w:tc>
          <w:tcPr>
            <w:tcW w:w="832" w:type="pct"/>
            <w:shd w:val="clear" w:color="auto" w:fill="auto"/>
            <w:vAlign w:val="center"/>
          </w:tcPr>
          <w:p w14:paraId="1777D349">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900*900*800mm</w:t>
            </w:r>
          </w:p>
        </w:tc>
        <w:tc>
          <w:tcPr>
            <w:tcW w:w="1559" w:type="pct"/>
            <w:shd w:val="clear" w:color="auto" w:fill="auto"/>
            <w:vAlign w:val="center"/>
          </w:tcPr>
          <w:p w14:paraId="3629EDC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一、结构：食品级输送线，自动张紧装置，残渣收集抽屉。</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1.外壳：优质不锈钢，厚度≥1.2mm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2.支架：304不锈钢，厚度≥2.0mm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3.输送带：高耐磨食品级，不易脱落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4.驱动：静音马达，柔性启动</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5.护边：可拆卸PP</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6.残渣收集：抽屉式</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1.光感应自动启停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2.清洁无死角</w:t>
            </w:r>
          </w:p>
        </w:tc>
        <w:tc>
          <w:tcPr>
            <w:tcW w:w="376" w:type="pct"/>
            <w:shd w:val="clear" w:color="auto" w:fill="auto"/>
            <w:noWrap/>
            <w:vAlign w:val="center"/>
          </w:tcPr>
          <w:p w14:paraId="0F7199DA">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8612E2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00D712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3456636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9820</w:t>
            </w:r>
          </w:p>
        </w:tc>
        <w:tc>
          <w:tcPr>
            <w:tcW w:w="231" w:type="pct"/>
            <w:shd w:val="clear" w:color="auto" w:fill="auto"/>
            <w:noWrap/>
            <w:vAlign w:val="center"/>
          </w:tcPr>
          <w:p w14:paraId="6907922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9820</w:t>
            </w:r>
          </w:p>
        </w:tc>
      </w:tr>
      <w:tr w14:paraId="6ED8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270" w:type="pct"/>
            <w:shd w:val="clear" w:color="auto" w:fill="auto"/>
            <w:vAlign w:val="center"/>
          </w:tcPr>
          <w:p w14:paraId="0D3FC1B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93</w:t>
            </w:r>
          </w:p>
        </w:tc>
        <w:tc>
          <w:tcPr>
            <w:tcW w:w="548" w:type="pct"/>
            <w:shd w:val="clear" w:color="auto" w:fill="auto"/>
            <w:vAlign w:val="center"/>
          </w:tcPr>
          <w:p w14:paraId="5303ED1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双门消毒柜</w:t>
            </w:r>
          </w:p>
        </w:tc>
        <w:tc>
          <w:tcPr>
            <w:tcW w:w="502" w:type="pct"/>
            <w:shd w:val="clear" w:color="auto" w:fill="auto"/>
            <w:vAlign w:val="center"/>
          </w:tcPr>
          <w:p w14:paraId="0DF2AD4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drawing>
                <wp:inline distT="0" distB="0" distL="114300" distR="114300">
                  <wp:extent cx="811530" cy="1005205"/>
                  <wp:effectExtent l="0" t="0" r="7620" b="4445"/>
                  <wp:docPr id="139"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5" descr="IMG_260"/>
                          <pic:cNvPicPr>
                            <a:picLocks noChangeAspect="1"/>
                          </pic:cNvPicPr>
                        </pic:nvPicPr>
                        <pic:blipFill>
                          <a:blip r:embed="rId67"/>
                          <a:stretch>
                            <a:fillRect/>
                          </a:stretch>
                        </pic:blipFill>
                        <pic:spPr>
                          <a:xfrm>
                            <a:off x="0" y="0"/>
                            <a:ext cx="811530" cy="1005205"/>
                          </a:xfrm>
                          <a:prstGeom prst="rect">
                            <a:avLst/>
                          </a:prstGeom>
                          <a:noFill/>
                          <a:ln w="9525">
                            <a:noFill/>
                          </a:ln>
                        </pic:spPr>
                      </pic:pic>
                    </a:graphicData>
                  </a:graphic>
                </wp:inline>
              </w:drawing>
            </w:r>
          </w:p>
        </w:tc>
        <w:tc>
          <w:tcPr>
            <w:tcW w:w="832" w:type="pct"/>
            <w:shd w:val="clear" w:color="auto" w:fill="auto"/>
            <w:vAlign w:val="center"/>
          </w:tcPr>
          <w:p w14:paraId="7423008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411EFF4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一、结构：高温+热风循环双重消毒，二星级；电脑智能触屏控制，60~125℃五档调温，30~120分钟五档定时；容量650L。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1.机身材质：无磁201不锈钢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2.内胆材质：加厚304不锈钢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3.层架材质：加厚304不锈钢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4.层架类型：碗碟架4个（500×400×110mm）、餐盘架4个（500×400×245mm）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5.单层承重：10kg±10%</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1.额定电压/频率：220V/50Hz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2.接线方式：10A插头</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3.额定功率：2440W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4.消毒方式：高温+热风循环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▲5.消毒星级：二星级</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6.容量：650L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7.温控范围：60~125℃（五档可调）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8.定时范围：30~120分钟（五档可调）</w:t>
            </w:r>
          </w:p>
        </w:tc>
        <w:tc>
          <w:tcPr>
            <w:tcW w:w="376" w:type="pct"/>
            <w:shd w:val="clear" w:color="auto" w:fill="auto"/>
            <w:vAlign w:val="center"/>
          </w:tcPr>
          <w:p w14:paraId="7D7EA92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德玛仕、康宝、索奇</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00D3979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0AA3AB4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54E51F7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4950</w:t>
            </w:r>
          </w:p>
        </w:tc>
        <w:tc>
          <w:tcPr>
            <w:tcW w:w="231" w:type="pct"/>
            <w:shd w:val="clear" w:color="auto" w:fill="auto"/>
            <w:noWrap/>
            <w:vAlign w:val="center"/>
          </w:tcPr>
          <w:p w14:paraId="72A81BD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4950</w:t>
            </w:r>
          </w:p>
        </w:tc>
      </w:tr>
      <w:tr w14:paraId="08FB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6" w:hRule="atLeast"/>
        </w:trPr>
        <w:tc>
          <w:tcPr>
            <w:tcW w:w="270" w:type="pct"/>
            <w:shd w:val="clear" w:color="auto" w:fill="auto"/>
            <w:vAlign w:val="center"/>
          </w:tcPr>
          <w:p w14:paraId="79BB78B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94</w:t>
            </w:r>
          </w:p>
        </w:tc>
        <w:tc>
          <w:tcPr>
            <w:tcW w:w="548" w:type="pct"/>
            <w:shd w:val="clear" w:color="auto" w:fill="auto"/>
            <w:vAlign w:val="center"/>
          </w:tcPr>
          <w:p w14:paraId="48B8157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shd w:val="clear" w:color="auto" w:fill="auto"/>
            <w:vAlign w:val="center"/>
          </w:tcPr>
          <w:p w14:paraId="2F49CEB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48895</wp:posOffset>
                  </wp:positionH>
                  <wp:positionV relativeFrom="paragraph">
                    <wp:posOffset>27305</wp:posOffset>
                  </wp:positionV>
                  <wp:extent cx="734695" cy="542925"/>
                  <wp:effectExtent l="0" t="0" r="8255" b="9525"/>
                  <wp:wrapNone/>
                  <wp:docPr id="143" name="ID_8E0EB2CF351E421CA71D18191DD10A58"/>
                  <wp:cNvGraphicFramePr/>
                  <a:graphic xmlns:a="http://schemas.openxmlformats.org/drawingml/2006/main">
                    <a:graphicData uri="http://schemas.openxmlformats.org/drawingml/2006/picture">
                      <pic:pic xmlns:pic="http://schemas.openxmlformats.org/drawingml/2006/picture">
                        <pic:nvPicPr>
                          <pic:cNvPr id="143" name="ID_8E0EB2CF351E421CA71D18191DD10A58"/>
                          <pic:cNvPicPr/>
                        </pic:nvPicPr>
                        <pic:blipFill>
                          <a:blip r:embed="rId29"/>
                          <a:stretch>
                            <a:fillRect/>
                          </a:stretch>
                        </pic:blipFill>
                        <pic:spPr>
                          <a:xfrm>
                            <a:off x="0" y="0"/>
                            <a:ext cx="734695" cy="542925"/>
                          </a:xfrm>
                          <a:prstGeom prst="rect">
                            <a:avLst/>
                          </a:prstGeom>
                          <a:noFill/>
                          <a:ln>
                            <a:noFill/>
                          </a:ln>
                        </pic:spPr>
                      </pic:pic>
                    </a:graphicData>
                  </a:graphic>
                </wp:anchor>
              </w:drawing>
            </w:r>
          </w:p>
        </w:tc>
        <w:tc>
          <w:tcPr>
            <w:tcW w:w="832" w:type="pct"/>
            <w:shd w:val="clear" w:color="auto" w:fill="auto"/>
            <w:vAlign w:val="center"/>
          </w:tcPr>
          <w:p w14:paraId="2841CD6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1800*700*800</w:t>
            </w:r>
          </w:p>
        </w:tc>
        <w:tc>
          <w:tcPr>
            <w:tcW w:w="1559" w:type="pct"/>
            <w:shd w:val="clear" w:color="auto" w:fill="auto"/>
            <w:vAlign w:val="center"/>
          </w:tcPr>
          <w:p w14:paraId="7CB412C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shd w:val="clear" w:color="auto" w:fill="auto"/>
            <w:vAlign w:val="center"/>
          </w:tcPr>
          <w:p w14:paraId="7CFE280D">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9D65E2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18C2A7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31267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1480</w:t>
            </w:r>
          </w:p>
        </w:tc>
        <w:tc>
          <w:tcPr>
            <w:tcW w:w="231" w:type="pct"/>
            <w:shd w:val="clear" w:color="auto" w:fill="auto"/>
            <w:noWrap/>
            <w:vAlign w:val="center"/>
          </w:tcPr>
          <w:p w14:paraId="4D20AD3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1480</w:t>
            </w:r>
          </w:p>
        </w:tc>
      </w:tr>
      <w:tr w14:paraId="4AAA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70" w:type="pct"/>
            <w:shd w:val="clear" w:color="auto" w:fill="auto"/>
            <w:vAlign w:val="center"/>
          </w:tcPr>
          <w:p w14:paraId="1D6A8EF4">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95</w:t>
            </w:r>
          </w:p>
        </w:tc>
        <w:tc>
          <w:tcPr>
            <w:tcW w:w="548" w:type="pct"/>
            <w:shd w:val="clear" w:color="auto" w:fill="auto"/>
            <w:vAlign w:val="center"/>
          </w:tcPr>
          <w:p w14:paraId="66D7D71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双层工作台</w:t>
            </w:r>
          </w:p>
        </w:tc>
        <w:tc>
          <w:tcPr>
            <w:tcW w:w="502" w:type="pct"/>
            <w:shd w:val="clear" w:color="auto" w:fill="auto"/>
            <w:vAlign w:val="center"/>
          </w:tcPr>
          <w:p w14:paraId="0FF9801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10795</wp:posOffset>
                  </wp:positionH>
                  <wp:positionV relativeFrom="paragraph">
                    <wp:posOffset>361315</wp:posOffset>
                  </wp:positionV>
                  <wp:extent cx="707390" cy="560705"/>
                  <wp:effectExtent l="0" t="0" r="16510" b="10795"/>
                  <wp:wrapNone/>
                  <wp:docPr id="131" name="ID_90D196CE6F7A4845A4DF1DD33B78F043"/>
                  <wp:cNvGraphicFramePr/>
                  <a:graphic xmlns:a="http://schemas.openxmlformats.org/drawingml/2006/main">
                    <a:graphicData uri="http://schemas.openxmlformats.org/drawingml/2006/picture">
                      <pic:pic xmlns:pic="http://schemas.openxmlformats.org/drawingml/2006/picture">
                        <pic:nvPicPr>
                          <pic:cNvPr id="131" name="ID_90D196CE6F7A4845A4DF1DD33B78F043"/>
                          <pic:cNvPicPr/>
                        </pic:nvPicPr>
                        <pic:blipFill>
                          <a:blip r:embed="rId29"/>
                          <a:stretch>
                            <a:fillRect/>
                          </a:stretch>
                        </pic:blipFill>
                        <pic:spPr>
                          <a:xfrm>
                            <a:off x="0" y="0"/>
                            <a:ext cx="707390" cy="560705"/>
                          </a:xfrm>
                          <a:prstGeom prst="rect">
                            <a:avLst/>
                          </a:prstGeom>
                          <a:noFill/>
                          <a:ln>
                            <a:noFill/>
                          </a:ln>
                        </pic:spPr>
                      </pic:pic>
                    </a:graphicData>
                  </a:graphic>
                </wp:anchor>
              </w:drawing>
            </w:r>
          </w:p>
        </w:tc>
        <w:tc>
          <w:tcPr>
            <w:tcW w:w="832" w:type="pct"/>
            <w:shd w:val="clear" w:color="auto" w:fill="auto"/>
            <w:vAlign w:val="center"/>
          </w:tcPr>
          <w:p w14:paraId="0DF0BFA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1200×700×800mm</w:t>
            </w:r>
          </w:p>
        </w:tc>
        <w:tc>
          <w:tcPr>
            <w:tcW w:w="1559" w:type="pct"/>
            <w:shd w:val="clear" w:color="auto" w:fill="auto"/>
            <w:vAlign w:val="center"/>
          </w:tcPr>
          <w:p w14:paraId="6497B46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一、结构：双层工作台，面板下加垫防水夹板，底部配可调子弹脚。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1.面板：304不锈钢1.2mm厚磨砂板，下垫15mm防水夹板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2.支架、通脚：Φ38×1.0mm304不锈钢管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3.可调子弹脚：Φ38mm304不锈钢子弹脚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4.层板：304不锈钢1.0mm厚磨砂板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5.加强筋:1.0mm304#不锈钢板折弯</w:t>
            </w:r>
          </w:p>
        </w:tc>
        <w:tc>
          <w:tcPr>
            <w:tcW w:w="376" w:type="pct"/>
            <w:shd w:val="clear" w:color="auto" w:fill="auto"/>
            <w:vAlign w:val="center"/>
          </w:tcPr>
          <w:p w14:paraId="0BD40B8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211FA5C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73BB0F2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5AD1130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c>
          <w:tcPr>
            <w:tcW w:w="231" w:type="pct"/>
            <w:shd w:val="clear" w:color="auto" w:fill="auto"/>
            <w:noWrap/>
            <w:vAlign w:val="center"/>
          </w:tcPr>
          <w:p w14:paraId="66C988D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r>
      <w:tr w14:paraId="6C02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70" w:type="pct"/>
            <w:shd w:val="clear" w:color="auto" w:fill="auto"/>
            <w:vAlign w:val="center"/>
          </w:tcPr>
          <w:p w14:paraId="4F85A748">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96</w:t>
            </w:r>
          </w:p>
        </w:tc>
        <w:tc>
          <w:tcPr>
            <w:tcW w:w="548" w:type="pct"/>
            <w:shd w:val="clear" w:color="auto" w:fill="auto"/>
            <w:vAlign w:val="center"/>
          </w:tcPr>
          <w:p w14:paraId="158575C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大单星盆台</w:t>
            </w:r>
          </w:p>
        </w:tc>
        <w:tc>
          <w:tcPr>
            <w:tcW w:w="502" w:type="pct"/>
            <w:shd w:val="clear" w:color="auto" w:fill="auto"/>
            <w:vAlign w:val="center"/>
          </w:tcPr>
          <w:p w14:paraId="3B07E82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27940</wp:posOffset>
                  </wp:positionH>
                  <wp:positionV relativeFrom="paragraph">
                    <wp:posOffset>-224155</wp:posOffset>
                  </wp:positionV>
                  <wp:extent cx="778510" cy="734695"/>
                  <wp:effectExtent l="0" t="0" r="2540" b="8255"/>
                  <wp:wrapNone/>
                  <wp:docPr id="126" name="ID_14211A7CB7AE455AAEFC1CA3E73A766E"/>
                  <wp:cNvGraphicFramePr/>
                  <a:graphic xmlns:a="http://schemas.openxmlformats.org/drawingml/2006/main">
                    <a:graphicData uri="http://schemas.openxmlformats.org/drawingml/2006/picture">
                      <pic:pic xmlns:pic="http://schemas.openxmlformats.org/drawingml/2006/picture">
                        <pic:nvPicPr>
                          <pic:cNvPr id="126" name="ID_14211A7CB7AE455AAEFC1CA3E73A766E"/>
                          <pic:cNvPicPr/>
                        </pic:nvPicPr>
                        <pic:blipFill>
                          <a:blip r:embed="rId10"/>
                          <a:stretch>
                            <a:fillRect/>
                          </a:stretch>
                        </pic:blipFill>
                        <pic:spPr>
                          <a:xfrm>
                            <a:off x="0" y="0"/>
                            <a:ext cx="778510" cy="734695"/>
                          </a:xfrm>
                          <a:prstGeom prst="rect">
                            <a:avLst/>
                          </a:prstGeom>
                          <a:noFill/>
                          <a:ln>
                            <a:noFill/>
                          </a:ln>
                        </pic:spPr>
                      </pic:pic>
                    </a:graphicData>
                  </a:graphic>
                </wp:anchor>
              </w:drawing>
            </w:r>
          </w:p>
        </w:tc>
        <w:tc>
          <w:tcPr>
            <w:tcW w:w="832" w:type="pct"/>
            <w:shd w:val="clear" w:color="auto" w:fill="auto"/>
            <w:vAlign w:val="center"/>
          </w:tcPr>
          <w:p w14:paraId="63D902A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1200×800×800mm，背挡水高150mm</w:t>
            </w:r>
          </w:p>
        </w:tc>
        <w:tc>
          <w:tcPr>
            <w:tcW w:w="1559" w:type="pct"/>
            <w:shd w:val="clear" w:color="auto" w:fill="auto"/>
            <w:vAlign w:val="center"/>
          </w:tcPr>
          <w:p w14:paraId="0F45C60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一、结构：单星盆带背挡水及前滴水沿，盆斗与台面一体拉伸或无缝焊接，台面四周向下双曲压弯40mm，支架满焊牢固并配可调节防滑地脚。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vAlign w:val="center"/>
          </w:tcPr>
          <w:p w14:paraId="3B3F29EF">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381E94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5A88C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1FA350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1430</w:t>
            </w:r>
          </w:p>
        </w:tc>
        <w:tc>
          <w:tcPr>
            <w:tcW w:w="231" w:type="pct"/>
            <w:shd w:val="clear" w:color="auto" w:fill="auto"/>
            <w:noWrap/>
            <w:vAlign w:val="center"/>
          </w:tcPr>
          <w:p w14:paraId="34E14B0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1430</w:t>
            </w:r>
          </w:p>
        </w:tc>
      </w:tr>
      <w:tr w14:paraId="11FD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2" w:hRule="atLeast"/>
        </w:trPr>
        <w:tc>
          <w:tcPr>
            <w:tcW w:w="270" w:type="pct"/>
            <w:shd w:val="clear" w:color="auto" w:fill="auto"/>
            <w:vAlign w:val="center"/>
          </w:tcPr>
          <w:p w14:paraId="1EA41AA6">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97</w:t>
            </w:r>
          </w:p>
        </w:tc>
        <w:tc>
          <w:tcPr>
            <w:tcW w:w="548" w:type="pct"/>
            <w:shd w:val="clear" w:color="auto" w:fill="auto"/>
            <w:vAlign w:val="center"/>
          </w:tcPr>
          <w:p w14:paraId="4874A5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三星盆台</w:t>
            </w:r>
          </w:p>
        </w:tc>
        <w:tc>
          <w:tcPr>
            <w:tcW w:w="502" w:type="pct"/>
            <w:shd w:val="clear" w:color="auto" w:fill="auto"/>
            <w:vAlign w:val="center"/>
          </w:tcPr>
          <w:p w14:paraId="0D5B5E2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60960</wp:posOffset>
                  </wp:positionH>
                  <wp:positionV relativeFrom="paragraph">
                    <wp:posOffset>1905</wp:posOffset>
                  </wp:positionV>
                  <wp:extent cx="748665" cy="688975"/>
                  <wp:effectExtent l="0" t="0" r="13335" b="15875"/>
                  <wp:wrapNone/>
                  <wp:docPr id="142" name="ID_AEE299AE469841D78F85FEDEFB255021"/>
                  <wp:cNvGraphicFramePr/>
                  <a:graphic xmlns:a="http://schemas.openxmlformats.org/drawingml/2006/main">
                    <a:graphicData uri="http://schemas.openxmlformats.org/drawingml/2006/picture">
                      <pic:pic xmlns:pic="http://schemas.openxmlformats.org/drawingml/2006/picture">
                        <pic:nvPicPr>
                          <pic:cNvPr id="142" name="ID_AEE299AE469841D78F85FEDEFB255021"/>
                          <pic:cNvPicPr/>
                        </pic:nvPicPr>
                        <pic:blipFill>
                          <a:blip r:embed="rId58"/>
                          <a:stretch>
                            <a:fillRect/>
                          </a:stretch>
                        </pic:blipFill>
                        <pic:spPr>
                          <a:xfrm>
                            <a:off x="0" y="0"/>
                            <a:ext cx="748665" cy="688975"/>
                          </a:xfrm>
                          <a:prstGeom prst="rect">
                            <a:avLst/>
                          </a:prstGeom>
                          <a:noFill/>
                          <a:ln>
                            <a:noFill/>
                          </a:ln>
                        </pic:spPr>
                      </pic:pic>
                    </a:graphicData>
                  </a:graphic>
                </wp:anchor>
              </w:drawing>
            </w:r>
          </w:p>
        </w:tc>
        <w:tc>
          <w:tcPr>
            <w:tcW w:w="832" w:type="pct"/>
            <w:shd w:val="clear" w:color="auto" w:fill="auto"/>
            <w:vAlign w:val="center"/>
          </w:tcPr>
          <w:p w14:paraId="2BE60C7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1800×700×800mm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，背挡水高150mm</w:t>
            </w:r>
          </w:p>
        </w:tc>
        <w:tc>
          <w:tcPr>
            <w:tcW w:w="1559" w:type="pct"/>
            <w:shd w:val="clear" w:color="auto" w:fill="auto"/>
            <w:vAlign w:val="center"/>
          </w:tcPr>
          <w:p w14:paraId="7F24716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星盆设计（三个独立星盆），带背挡水及前滴水沿。星盆斗与工作台面板一体拉伸或无缝焊接，过渡圆润，排水顺畅。台面四周向下双曲压弯40mm，便于与周边设备对接。星盆内侧采用R20mm圆角压弯工艺，便于清洁。支架满焊牢固，底部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工作台面板及星盆斗均采用1.2mm厚304不锈钢拉丝板；加强筋采用1.0mm不锈钢板；支架、通脚采用Φ38×1.0mm304不锈钢管；可调子弹脚采用Φ38mm不锈钢。表面拉丝处理，满焊打磨，外露边缘卷边防割手。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三、配件（每个星盆配）：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2.304提笼式去水器（带防臭存水弯）</w:t>
            </w:r>
          </w:p>
        </w:tc>
        <w:tc>
          <w:tcPr>
            <w:tcW w:w="376" w:type="pct"/>
            <w:shd w:val="clear" w:color="auto" w:fill="auto"/>
            <w:vAlign w:val="center"/>
          </w:tcPr>
          <w:p w14:paraId="767E63A3">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677CD2E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26B5FFF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69475CB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1980</w:t>
            </w:r>
          </w:p>
        </w:tc>
        <w:tc>
          <w:tcPr>
            <w:tcW w:w="231" w:type="pct"/>
            <w:shd w:val="clear" w:color="auto" w:fill="auto"/>
            <w:noWrap/>
            <w:vAlign w:val="center"/>
          </w:tcPr>
          <w:p w14:paraId="7C2424C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1980</w:t>
            </w:r>
          </w:p>
        </w:tc>
      </w:tr>
      <w:tr w14:paraId="5746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vAlign w:val="center"/>
          </w:tcPr>
          <w:p w14:paraId="79CCB7B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Q</w:t>
            </w:r>
          </w:p>
        </w:tc>
        <w:tc>
          <w:tcPr>
            <w:tcW w:w="548" w:type="pct"/>
            <w:shd w:val="clear" w:color="auto" w:fill="auto"/>
            <w:vAlign w:val="center"/>
          </w:tcPr>
          <w:p w14:paraId="3C30897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预进间/售卖间</w:t>
            </w:r>
          </w:p>
        </w:tc>
        <w:tc>
          <w:tcPr>
            <w:tcW w:w="502" w:type="pct"/>
            <w:shd w:val="clear" w:color="auto" w:fill="auto"/>
            <w:vAlign w:val="center"/>
          </w:tcPr>
          <w:p w14:paraId="23757F10">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6D10626F">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543327A7">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70C1EB5E">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2AC90B6F">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42CE8FE3">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7993E3F7">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1DEE8CC5">
            <w:pPr>
              <w:jc w:val="center"/>
              <w:rPr>
                <w:rFonts w:hint="eastAsia" w:ascii="仿宋" w:hAnsi="仿宋" w:eastAsia="仿宋" w:cs="仿宋"/>
                <w:i w:val="0"/>
                <w:iCs w:val="0"/>
                <w:color w:val="000000"/>
                <w:sz w:val="18"/>
                <w:szCs w:val="18"/>
                <w:highlight w:val="none"/>
                <w:u w:val="none"/>
              </w:rPr>
            </w:pPr>
          </w:p>
        </w:tc>
      </w:tr>
      <w:tr w14:paraId="1CEC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270" w:type="pct"/>
            <w:shd w:val="clear" w:color="auto" w:fill="auto"/>
            <w:vAlign w:val="center"/>
          </w:tcPr>
          <w:p w14:paraId="28958708">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98</w:t>
            </w:r>
          </w:p>
        </w:tc>
        <w:tc>
          <w:tcPr>
            <w:tcW w:w="548" w:type="pct"/>
            <w:shd w:val="clear" w:color="auto" w:fill="auto"/>
            <w:vAlign w:val="center"/>
          </w:tcPr>
          <w:p w14:paraId="0229479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灭蝇灯</w:t>
            </w:r>
          </w:p>
        </w:tc>
        <w:tc>
          <w:tcPr>
            <w:tcW w:w="502" w:type="pct"/>
            <w:shd w:val="clear" w:color="auto" w:fill="auto"/>
            <w:vAlign w:val="center"/>
          </w:tcPr>
          <w:p w14:paraId="5F613A0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-12700</wp:posOffset>
                  </wp:positionH>
                  <wp:positionV relativeFrom="paragraph">
                    <wp:posOffset>7620</wp:posOffset>
                  </wp:positionV>
                  <wp:extent cx="752475" cy="588645"/>
                  <wp:effectExtent l="0" t="0" r="9525" b="1905"/>
                  <wp:wrapNone/>
                  <wp:docPr id="141" name="ID_E0628300537249688E106B2B806D97DE_SpCnt_2"/>
                  <wp:cNvGraphicFramePr/>
                  <a:graphic xmlns:a="http://schemas.openxmlformats.org/drawingml/2006/main">
                    <a:graphicData uri="http://schemas.openxmlformats.org/drawingml/2006/picture">
                      <pic:pic xmlns:pic="http://schemas.openxmlformats.org/drawingml/2006/picture">
                        <pic:nvPicPr>
                          <pic:cNvPr id="141" name="ID_E0628300537249688E106B2B806D97DE_SpCnt_2"/>
                          <pic:cNvPicPr/>
                        </pic:nvPicPr>
                        <pic:blipFill>
                          <a:blip r:embed="rId8"/>
                          <a:stretch>
                            <a:fillRect/>
                          </a:stretch>
                        </pic:blipFill>
                        <pic:spPr>
                          <a:xfrm>
                            <a:off x="0" y="0"/>
                            <a:ext cx="752475" cy="588645"/>
                          </a:xfrm>
                          <a:prstGeom prst="rect">
                            <a:avLst/>
                          </a:prstGeom>
                          <a:noFill/>
                          <a:ln>
                            <a:noFill/>
                          </a:ln>
                        </pic:spPr>
                      </pic:pic>
                    </a:graphicData>
                  </a:graphic>
                </wp:anchor>
              </w:drawing>
            </w:r>
          </w:p>
        </w:tc>
        <w:tc>
          <w:tcPr>
            <w:tcW w:w="832" w:type="pct"/>
            <w:shd w:val="clear" w:color="auto" w:fill="auto"/>
            <w:vAlign w:val="center"/>
          </w:tcPr>
          <w:p w14:paraId="35AA74A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约390×165×200mm</w:t>
            </w:r>
          </w:p>
        </w:tc>
        <w:tc>
          <w:tcPr>
            <w:tcW w:w="1559" w:type="pct"/>
            <w:shd w:val="clear" w:color="auto" w:fill="auto"/>
            <w:vAlign w:val="center"/>
          </w:tcPr>
          <w:p w14:paraId="439FE0A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一、结构：悬挂式粘捕型，白色双管，内置防爆诱蚊蝇灯管，UVA紫光引诱，覆盖面积≥40㎡，灯管便捷更换。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二、外壳：ABS防阻燃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三、电气性能：</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1.电压/频率：220V/50Hz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2.功率：16W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3.配件：含粘捕纸</w:t>
            </w:r>
          </w:p>
        </w:tc>
        <w:tc>
          <w:tcPr>
            <w:tcW w:w="376" w:type="pct"/>
            <w:shd w:val="clear" w:color="auto" w:fill="auto"/>
            <w:vAlign w:val="center"/>
          </w:tcPr>
          <w:p w14:paraId="26778A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飞利浦、亨得利、灯下科技</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581718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1A61F3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1573CEE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c>
          <w:tcPr>
            <w:tcW w:w="231" w:type="pct"/>
            <w:shd w:val="clear" w:color="auto" w:fill="auto"/>
            <w:noWrap/>
            <w:vAlign w:val="center"/>
          </w:tcPr>
          <w:p w14:paraId="44C25C2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350</w:t>
            </w:r>
          </w:p>
        </w:tc>
      </w:tr>
      <w:tr w14:paraId="015E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70" w:type="pct"/>
            <w:shd w:val="clear" w:color="auto" w:fill="auto"/>
            <w:vAlign w:val="center"/>
          </w:tcPr>
          <w:p w14:paraId="70287B80">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99</w:t>
            </w:r>
          </w:p>
        </w:tc>
        <w:tc>
          <w:tcPr>
            <w:tcW w:w="548" w:type="pct"/>
            <w:shd w:val="clear" w:color="auto" w:fill="auto"/>
            <w:vAlign w:val="center"/>
          </w:tcPr>
          <w:p w14:paraId="2A5B3B5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五格保温售饭台</w:t>
            </w:r>
          </w:p>
        </w:tc>
        <w:tc>
          <w:tcPr>
            <w:tcW w:w="502" w:type="pct"/>
            <w:shd w:val="clear" w:color="auto" w:fill="auto"/>
            <w:vAlign w:val="top"/>
          </w:tcPr>
          <w:p w14:paraId="144612AF">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90805</wp:posOffset>
                  </wp:positionH>
                  <wp:positionV relativeFrom="paragraph">
                    <wp:posOffset>795655</wp:posOffset>
                  </wp:positionV>
                  <wp:extent cx="597535" cy="468630"/>
                  <wp:effectExtent l="0" t="0" r="12065" b="7620"/>
                  <wp:wrapNone/>
                  <wp:docPr id="134" name="ID_3F7E0E651FD74F019687566B1B062D35"/>
                  <wp:cNvGraphicFramePr/>
                  <a:graphic xmlns:a="http://schemas.openxmlformats.org/drawingml/2006/main">
                    <a:graphicData uri="http://schemas.openxmlformats.org/drawingml/2006/picture">
                      <pic:pic xmlns:pic="http://schemas.openxmlformats.org/drawingml/2006/picture">
                        <pic:nvPicPr>
                          <pic:cNvPr id="134" name="ID_3F7E0E651FD74F019687566B1B062D35"/>
                          <pic:cNvPicPr/>
                        </pic:nvPicPr>
                        <pic:blipFill>
                          <a:blip r:embed="rId68"/>
                          <a:stretch>
                            <a:fillRect/>
                          </a:stretch>
                        </pic:blipFill>
                        <pic:spPr>
                          <a:xfrm>
                            <a:off x="0" y="0"/>
                            <a:ext cx="597535" cy="468630"/>
                          </a:xfrm>
                          <a:prstGeom prst="rect">
                            <a:avLst/>
                          </a:prstGeom>
                          <a:noFill/>
                          <a:ln>
                            <a:noFill/>
                          </a:ln>
                        </pic:spPr>
                      </pic:pic>
                    </a:graphicData>
                  </a:graphic>
                </wp:anchor>
              </w:drawing>
            </w:r>
          </w:p>
        </w:tc>
        <w:tc>
          <w:tcPr>
            <w:tcW w:w="832" w:type="pct"/>
            <w:shd w:val="clear" w:color="auto" w:fill="auto"/>
            <w:vAlign w:val="center"/>
          </w:tcPr>
          <w:p w14:paraId="0AB1402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1800×700×810mm</w:t>
            </w:r>
          </w:p>
        </w:tc>
        <w:tc>
          <w:tcPr>
            <w:tcW w:w="1559" w:type="pct"/>
            <w:shd w:val="clear" w:color="auto" w:fill="auto"/>
            <w:vAlign w:val="center"/>
          </w:tcPr>
          <w:p w14:paraId="4B8DC4A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五格保温设计，台面设5个独立保温格位（适配5个1/1份数盆），采用电加热水浴保温方式，通过加热水槽中的水间接保温食物，温控系统可调节，用户可根据不同菜品需求设定保温温度。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1.台面板：304不锈钢磨砂贴塑板，厚度1.2mm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2.星盆（份数盆槽）：304不锈钢磨砂贴塑板，厚度1.0mm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3.脚管：Φ51mm×1.0mm304不锈钢管，配可调式子弹脚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4.加热元件：不锈钢无缝发热管，导热均匀</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5.表面拉丝处理，焊缝打磨平整光滑，外露边缘卷边防割手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1.电源：220V/50Hz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2.功率：3kW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3.控温方式：微电脑温控</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4.保温温度范围：50℃～90℃可调</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5.配5套1/1×150mm份数盆（带盖）</w:t>
            </w:r>
          </w:p>
        </w:tc>
        <w:tc>
          <w:tcPr>
            <w:tcW w:w="376" w:type="pct"/>
            <w:shd w:val="clear" w:color="auto" w:fill="auto"/>
            <w:vAlign w:val="center"/>
          </w:tcPr>
          <w:p w14:paraId="454017AC">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C66A24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w:t>
            </w:r>
          </w:p>
        </w:tc>
        <w:tc>
          <w:tcPr>
            <w:tcW w:w="235" w:type="pct"/>
            <w:shd w:val="clear" w:color="auto" w:fill="auto"/>
            <w:vAlign w:val="center"/>
          </w:tcPr>
          <w:p w14:paraId="0FA1210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E97BB0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3980</w:t>
            </w:r>
          </w:p>
        </w:tc>
        <w:tc>
          <w:tcPr>
            <w:tcW w:w="231" w:type="pct"/>
            <w:shd w:val="clear" w:color="auto" w:fill="auto"/>
            <w:noWrap/>
            <w:vAlign w:val="center"/>
          </w:tcPr>
          <w:p w14:paraId="109922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15920</w:t>
            </w:r>
          </w:p>
        </w:tc>
      </w:tr>
      <w:tr w14:paraId="521C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4" w:hRule="atLeast"/>
        </w:trPr>
        <w:tc>
          <w:tcPr>
            <w:tcW w:w="270" w:type="pct"/>
            <w:shd w:val="clear" w:color="auto" w:fill="auto"/>
            <w:vAlign w:val="center"/>
          </w:tcPr>
          <w:p w14:paraId="474F336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100</w:t>
            </w:r>
          </w:p>
        </w:tc>
        <w:tc>
          <w:tcPr>
            <w:tcW w:w="548" w:type="pct"/>
            <w:shd w:val="clear" w:color="auto" w:fill="auto"/>
            <w:vAlign w:val="center"/>
          </w:tcPr>
          <w:p w14:paraId="01A7A53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双通移门打荷台</w:t>
            </w:r>
          </w:p>
        </w:tc>
        <w:tc>
          <w:tcPr>
            <w:tcW w:w="502" w:type="pct"/>
            <w:shd w:val="clear" w:color="auto" w:fill="auto"/>
            <w:vAlign w:val="center"/>
          </w:tcPr>
          <w:p w14:paraId="0CD585A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110490</wp:posOffset>
                  </wp:positionH>
                  <wp:positionV relativeFrom="paragraph">
                    <wp:posOffset>-1270</wp:posOffset>
                  </wp:positionV>
                  <wp:extent cx="580390" cy="337185"/>
                  <wp:effectExtent l="0" t="0" r="10160" b="5715"/>
                  <wp:wrapNone/>
                  <wp:docPr id="42" name="ID_66476D7292D74BEBB77982923C55375D"/>
                  <wp:cNvGraphicFramePr/>
                  <a:graphic xmlns:a="http://schemas.openxmlformats.org/drawingml/2006/main">
                    <a:graphicData uri="http://schemas.openxmlformats.org/drawingml/2006/picture">
                      <pic:pic xmlns:pic="http://schemas.openxmlformats.org/drawingml/2006/picture">
                        <pic:nvPicPr>
                          <pic:cNvPr id="42" name="ID_66476D7292D74BEBB77982923C55375D"/>
                          <pic:cNvPicPr/>
                        </pic:nvPicPr>
                        <pic:blipFill>
                          <a:blip r:embed="rId69"/>
                          <a:stretch>
                            <a:fillRect/>
                          </a:stretch>
                        </pic:blipFill>
                        <pic:spPr>
                          <a:xfrm>
                            <a:off x="0" y="0"/>
                            <a:ext cx="580390" cy="337185"/>
                          </a:xfrm>
                          <a:prstGeom prst="rect">
                            <a:avLst/>
                          </a:prstGeom>
                          <a:noFill/>
                          <a:ln>
                            <a:noFill/>
                          </a:ln>
                        </pic:spPr>
                      </pic:pic>
                    </a:graphicData>
                  </a:graphic>
                </wp:anchor>
              </w:drawing>
            </w:r>
          </w:p>
        </w:tc>
        <w:tc>
          <w:tcPr>
            <w:tcW w:w="832" w:type="pct"/>
            <w:shd w:val="clear" w:color="auto" w:fill="auto"/>
            <w:vAlign w:val="center"/>
          </w:tcPr>
          <w:p w14:paraId="6995A63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1500×800×800mm</w:t>
            </w:r>
          </w:p>
        </w:tc>
        <w:tc>
          <w:tcPr>
            <w:tcW w:w="1559" w:type="pct"/>
            <w:shd w:val="clear" w:color="auto" w:fill="auto"/>
            <w:vAlign w:val="center"/>
          </w:tcPr>
          <w:p w14:paraId="638DFCD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一、结构：双通移门设计（前后均有移门，便于两侧操作），台面四周向下双曲压弯40mm，便于与外购设备无缝对接。</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1.台面：1.2mm厚304不锈钢板，下衬15mm防潮夹木板及双工字型1.0mm不锈钢方通加强筋，种钉加固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2.层板、底板、侧板：1.2mm厚304不锈钢板，内部各衬2条1.0mm不锈钢方通加强筋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3.趟门：1.0mm厚304不锈钢板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4.脚：4个Ф51mm304不锈钢可调脚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5.焊接与表面处理：满焊及内角鱼鳞焊，焊口羊毛轮抛光打蜡，拉丝纹路一致，光滑无毛刺</w:t>
            </w:r>
          </w:p>
        </w:tc>
        <w:tc>
          <w:tcPr>
            <w:tcW w:w="376" w:type="pct"/>
            <w:shd w:val="clear" w:color="auto" w:fill="auto"/>
            <w:vAlign w:val="center"/>
          </w:tcPr>
          <w:p w14:paraId="4088681B">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871B5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115F4E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B803D8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2850</w:t>
            </w:r>
          </w:p>
        </w:tc>
        <w:tc>
          <w:tcPr>
            <w:tcW w:w="231" w:type="pct"/>
            <w:shd w:val="clear" w:color="auto" w:fill="auto"/>
            <w:noWrap/>
            <w:vAlign w:val="center"/>
          </w:tcPr>
          <w:p w14:paraId="3AE0B95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2850</w:t>
            </w:r>
          </w:p>
        </w:tc>
      </w:tr>
      <w:tr w14:paraId="0635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270" w:type="pct"/>
            <w:shd w:val="clear" w:color="auto" w:fill="auto"/>
            <w:vAlign w:val="center"/>
          </w:tcPr>
          <w:p w14:paraId="3BC01ABB">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101</w:t>
            </w:r>
          </w:p>
        </w:tc>
        <w:tc>
          <w:tcPr>
            <w:tcW w:w="548" w:type="pct"/>
            <w:shd w:val="clear" w:color="auto" w:fill="auto"/>
            <w:vAlign w:val="center"/>
          </w:tcPr>
          <w:p w14:paraId="2A72DD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双通移门打荷台</w:t>
            </w:r>
          </w:p>
        </w:tc>
        <w:tc>
          <w:tcPr>
            <w:tcW w:w="502" w:type="pct"/>
            <w:shd w:val="clear" w:color="auto" w:fill="auto"/>
            <w:vAlign w:val="center"/>
          </w:tcPr>
          <w:p w14:paraId="7C12630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121285</wp:posOffset>
                  </wp:positionH>
                  <wp:positionV relativeFrom="paragraph">
                    <wp:posOffset>17145</wp:posOffset>
                  </wp:positionV>
                  <wp:extent cx="580390" cy="337185"/>
                  <wp:effectExtent l="0" t="0" r="10160" b="5715"/>
                  <wp:wrapNone/>
                  <wp:docPr id="55" name="ID_4C734F0FC61F4032877A8C281D00B594"/>
                  <wp:cNvGraphicFramePr/>
                  <a:graphic xmlns:a="http://schemas.openxmlformats.org/drawingml/2006/main">
                    <a:graphicData uri="http://schemas.openxmlformats.org/drawingml/2006/picture">
                      <pic:pic xmlns:pic="http://schemas.openxmlformats.org/drawingml/2006/picture">
                        <pic:nvPicPr>
                          <pic:cNvPr id="55" name="ID_4C734F0FC61F4032877A8C281D00B594"/>
                          <pic:cNvPicPr/>
                        </pic:nvPicPr>
                        <pic:blipFill>
                          <a:blip r:embed="rId69"/>
                          <a:stretch>
                            <a:fillRect/>
                          </a:stretch>
                        </pic:blipFill>
                        <pic:spPr>
                          <a:xfrm>
                            <a:off x="0" y="0"/>
                            <a:ext cx="580390" cy="337185"/>
                          </a:xfrm>
                          <a:prstGeom prst="rect">
                            <a:avLst/>
                          </a:prstGeom>
                          <a:noFill/>
                          <a:ln>
                            <a:noFill/>
                          </a:ln>
                        </pic:spPr>
                      </pic:pic>
                    </a:graphicData>
                  </a:graphic>
                </wp:anchor>
              </w:drawing>
            </w:r>
          </w:p>
        </w:tc>
        <w:tc>
          <w:tcPr>
            <w:tcW w:w="832" w:type="pct"/>
            <w:shd w:val="clear" w:color="auto" w:fill="auto"/>
            <w:vAlign w:val="center"/>
          </w:tcPr>
          <w:p w14:paraId="7BDCE20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1800×800×800mm</w:t>
            </w:r>
          </w:p>
        </w:tc>
        <w:tc>
          <w:tcPr>
            <w:tcW w:w="1559" w:type="pct"/>
            <w:shd w:val="clear" w:color="auto" w:fill="auto"/>
            <w:vAlign w:val="center"/>
          </w:tcPr>
          <w:p w14:paraId="37C722A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一、结构：双通移门设计（前后均有移门，便于两侧操作），台面四周向下双曲压弯40mm，便于与外购设备无缝对接。</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1.台面：1.2mm厚304不锈钢板，下衬15mm防潮夹木板及双工字型1.0mm不锈钢方通加强筋，种钉加固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2.层板、底板、侧板：1.2mm厚304不锈钢板，内部各衬2条1.0mm不锈钢方通加强筋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3.趟门：1.0mm厚304不锈钢板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4.脚：4个Ф51mm304不锈钢可调脚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5.焊接与表面处理：满焊及内角鱼鳞焊，焊口羊毛轮抛光打蜡，拉丝纹路一致，光滑无毛刺</w:t>
            </w:r>
          </w:p>
        </w:tc>
        <w:tc>
          <w:tcPr>
            <w:tcW w:w="376" w:type="pct"/>
            <w:shd w:val="clear" w:color="auto" w:fill="auto"/>
            <w:vAlign w:val="center"/>
          </w:tcPr>
          <w:p w14:paraId="6A1BB62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8DAC1A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vAlign w:val="center"/>
          </w:tcPr>
          <w:p w14:paraId="7993D6B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A00C2C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3050</w:t>
            </w:r>
          </w:p>
        </w:tc>
        <w:tc>
          <w:tcPr>
            <w:tcW w:w="231" w:type="pct"/>
            <w:shd w:val="clear" w:color="auto" w:fill="auto"/>
            <w:noWrap/>
            <w:vAlign w:val="center"/>
          </w:tcPr>
          <w:p w14:paraId="66D00AB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9150</w:t>
            </w:r>
          </w:p>
        </w:tc>
      </w:tr>
      <w:tr w14:paraId="2119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7" w:hRule="atLeast"/>
        </w:trPr>
        <w:tc>
          <w:tcPr>
            <w:tcW w:w="270" w:type="pct"/>
            <w:shd w:val="clear" w:color="auto" w:fill="auto"/>
            <w:vAlign w:val="center"/>
          </w:tcPr>
          <w:p w14:paraId="755E19D5">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102</w:t>
            </w:r>
          </w:p>
        </w:tc>
        <w:tc>
          <w:tcPr>
            <w:tcW w:w="548" w:type="pct"/>
            <w:shd w:val="clear" w:color="auto" w:fill="auto"/>
            <w:vAlign w:val="center"/>
          </w:tcPr>
          <w:p w14:paraId="0EB8953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电热暖汤车</w:t>
            </w:r>
          </w:p>
        </w:tc>
        <w:tc>
          <w:tcPr>
            <w:tcW w:w="502" w:type="pct"/>
            <w:shd w:val="clear" w:color="auto" w:fill="auto"/>
            <w:vAlign w:val="center"/>
          </w:tcPr>
          <w:p w14:paraId="6B815BA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52070</wp:posOffset>
                  </wp:positionH>
                  <wp:positionV relativeFrom="paragraph">
                    <wp:posOffset>10795</wp:posOffset>
                  </wp:positionV>
                  <wp:extent cx="637540" cy="449580"/>
                  <wp:effectExtent l="0" t="0" r="10160" b="7620"/>
                  <wp:wrapNone/>
                  <wp:docPr id="7" name="ID_96EF2CC4AC0A465F8A579808E69FA140"/>
                  <wp:cNvGraphicFramePr/>
                  <a:graphic xmlns:a="http://schemas.openxmlformats.org/drawingml/2006/main">
                    <a:graphicData uri="http://schemas.openxmlformats.org/drawingml/2006/picture">
                      <pic:pic xmlns:pic="http://schemas.openxmlformats.org/drawingml/2006/picture">
                        <pic:nvPicPr>
                          <pic:cNvPr id="7" name="ID_96EF2CC4AC0A465F8A579808E69FA140"/>
                          <pic:cNvPicPr/>
                        </pic:nvPicPr>
                        <pic:blipFill>
                          <a:blip r:embed="rId70"/>
                          <a:stretch>
                            <a:fillRect/>
                          </a:stretch>
                        </pic:blipFill>
                        <pic:spPr>
                          <a:xfrm>
                            <a:off x="0" y="0"/>
                            <a:ext cx="637540" cy="449580"/>
                          </a:xfrm>
                          <a:prstGeom prst="rect">
                            <a:avLst/>
                          </a:prstGeom>
                          <a:noFill/>
                          <a:ln>
                            <a:noFill/>
                          </a:ln>
                        </pic:spPr>
                      </pic:pic>
                    </a:graphicData>
                  </a:graphic>
                </wp:anchor>
              </w:drawing>
            </w:r>
          </w:p>
        </w:tc>
        <w:tc>
          <w:tcPr>
            <w:tcW w:w="832" w:type="pct"/>
            <w:shd w:val="clear" w:color="auto" w:fill="auto"/>
            <w:vAlign w:val="center"/>
          </w:tcPr>
          <w:p w14:paraId="7DB54B0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CB8125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电热暖汤车移动保温设计，侧面预留电源插口及开关面板。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1.柜身及面板：采用雪花砂贴塑304不锈钢板，台面板厚度≥1.2mm，柜身板厚度≥1.0mm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2.加热元件：不锈钢无缝发热管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3.保温层：双层中空保温结构或聚氨酯发泡填充</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4.配Φ500mm304不锈钢汤桶</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5.底部配万向脚轮（带刹车）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1.电源：220V/50Hz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2.功率：2kW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3.控温方式：微电脑控制，数字显示温度</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4.安全保护：缺水保护（防干烧）</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5.温度范围：常温～95℃可调（恒温控制精度温差±3℃）</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6.保温温度范围：78～82℃恒温控制</w:t>
            </w:r>
          </w:p>
        </w:tc>
        <w:tc>
          <w:tcPr>
            <w:tcW w:w="376" w:type="pct"/>
            <w:shd w:val="clear" w:color="auto" w:fill="auto"/>
            <w:vAlign w:val="center"/>
          </w:tcPr>
          <w:p w14:paraId="1A659CF5">
            <w:pPr>
              <w:jc w:val="center"/>
              <w:rPr>
                <w:rFonts w:hint="eastAsia" w:ascii="仿宋" w:hAnsi="仿宋" w:eastAsia="仿宋" w:cs="仿宋"/>
                <w:i w:val="0"/>
                <w:iCs w:val="0"/>
                <w:color w:val="000000"/>
                <w:sz w:val="18"/>
                <w:szCs w:val="18"/>
                <w:highlight w:val="none"/>
                <w:u w:val="none"/>
                <w:lang w:eastAsia="zh-CN"/>
              </w:rPr>
            </w:pPr>
            <w:r>
              <w:rPr>
                <w:rFonts w:hint="eastAsia" w:ascii="仿宋" w:hAnsi="仿宋" w:eastAsia="仿宋" w:cs="仿宋"/>
                <w:i w:val="0"/>
                <w:iCs w:val="0"/>
                <w:color w:val="000000"/>
                <w:sz w:val="18"/>
                <w:szCs w:val="18"/>
                <w:highlight w:val="none"/>
                <w:u w:val="none"/>
                <w:lang w:eastAsia="zh-CN"/>
              </w:rPr>
              <w:t>定制品</w:t>
            </w:r>
          </w:p>
        </w:tc>
        <w:tc>
          <w:tcPr>
            <w:tcW w:w="216" w:type="pct"/>
            <w:shd w:val="clear" w:color="auto" w:fill="auto"/>
            <w:vAlign w:val="center"/>
          </w:tcPr>
          <w:p w14:paraId="26CFF31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6F7052A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9C2FB4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2880</w:t>
            </w:r>
          </w:p>
        </w:tc>
        <w:tc>
          <w:tcPr>
            <w:tcW w:w="231" w:type="pct"/>
            <w:shd w:val="clear" w:color="auto" w:fill="auto"/>
            <w:noWrap/>
            <w:vAlign w:val="center"/>
          </w:tcPr>
          <w:p w14:paraId="729A5E2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5760</w:t>
            </w:r>
          </w:p>
        </w:tc>
      </w:tr>
      <w:tr w14:paraId="7C8E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51" w:hRule="atLeast"/>
        </w:trPr>
        <w:tc>
          <w:tcPr>
            <w:tcW w:w="270" w:type="pct"/>
            <w:shd w:val="clear" w:color="auto" w:fill="auto"/>
            <w:vAlign w:val="center"/>
          </w:tcPr>
          <w:p w14:paraId="73704B9A">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103</w:t>
            </w:r>
          </w:p>
        </w:tc>
        <w:tc>
          <w:tcPr>
            <w:tcW w:w="548" w:type="pct"/>
            <w:shd w:val="clear" w:color="auto" w:fill="auto"/>
            <w:vAlign w:val="center"/>
          </w:tcPr>
          <w:p w14:paraId="62D1542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四移门碗碟柜</w:t>
            </w:r>
          </w:p>
        </w:tc>
        <w:tc>
          <w:tcPr>
            <w:tcW w:w="502" w:type="pct"/>
            <w:shd w:val="clear" w:color="auto" w:fill="auto"/>
            <w:vAlign w:val="center"/>
          </w:tcPr>
          <w:p w14:paraId="765E78D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102235</wp:posOffset>
                  </wp:positionH>
                  <wp:positionV relativeFrom="paragraph">
                    <wp:posOffset>-59055</wp:posOffset>
                  </wp:positionV>
                  <wp:extent cx="627380" cy="514985"/>
                  <wp:effectExtent l="0" t="0" r="1270" b="18415"/>
                  <wp:wrapNone/>
                  <wp:docPr id="40" name="ID_D9D1F6D9C72E47DE82D28F238D5BEC18"/>
                  <wp:cNvGraphicFramePr/>
                  <a:graphic xmlns:a="http://schemas.openxmlformats.org/drawingml/2006/main">
                    <a:graphicData uri="http://schemas.openxmlformats.org/drawingml/2006/picture">
                      <pic:pic xmlns:pic="http://schemas.openxmlformats.org/drawingml/2006/picture">
                        <pic:nvPicPr>
                          <pic:cNvPr id="40" name="ID_D9D1F6D9C72E47DE82D28F238D5BEC18"/>
                          <pic:cNvPicPr/>
                        </pic:nvPicPr>
                        <pic:blipFill>
                          <a:blip r:embed="rId55"/>
                          <a:stretch>
                            <a:fillRect/>
                          </a:stretch>
                        </pic:blipFill>
                        <pic:spPr>
                          <a:xfrm>
                            <a:off x="0" y="0"/>
                            <a:ext cx="627380" cy="514985"/>
                          </a:xfrm>
                          <a:prstGeom prst="rect">
                            <a:avLst/>
                          </a:prstGeom>
                          <a:noFill/>
                          <a:ln>
                            <a:noFill/>
                          </a:ln>
                        </pic:spPr>
                      </pic:pic>
                    </a:graphicData>
                  </a:graphic>
                </wp:anchor>
              </w:drawing>
            </w:r>
          </w:p>
        </w:tc>
        <w:tc>
          <w:tcPr>
            <w:tcW w:w="832" w:type="pct"/>
            <w:shd w:val="clear" w:color="auto" w:fill="auto"/>
            <w:vAlign w:val="center"/>
          </w:tcPr>
          <w:p w14:paraId="13B7F70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1200×500×1800mm</w:t>
            </w:r>
          </w:p>
        </w:tc>
        <w:tc>
          <w:tcPr>
            <w:tcW w:w="1559" w:type="pct"/>
            <w:shd w:val="clear" w:color="auto" w:fill="auto"/>
            <w:vAlign w:val="center"/>
          </w:tcPr>
          <w:p w14:paraId="1211991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一、结构：四移门碗碟柜，趟门设计。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1.柜身：304不锈钢，厚度1.2mm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2.层板：304不锈钢，厚度1.0mm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3.趟门板：304不锈钢，厚度1.0mm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4.加强筋：1.0mm不锈钢方通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5.地脚：Φ48mm全钢可调子弹脚</w:t>
            </w:r>
          </w:p>
        </w:tc>
        <w:tc>
          <w:tcPr>
            <w:tcW w:w="376" w:type="pct"/>
            <w:shd w:val="clear" w:color="auto" w:fill="auto"/>
            <w:vAlign w:val="center"/>
          </w:tcPr>
          <w:p w14:paraId="068A94E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C3B681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6249B73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2F9B9DE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3250</w:t>
            </w:r>
          </w:p>
        </w:tc>
        <w:tc>
          <w:tcPr>
            <w:tcW w:w="231" w:type="pct"/>
            <w:shd w:val="clear" w:color="auto" w:fill="auto"/>
            <w:noWrap/>
            <w:vAlign w:val="center"/>
          </w:tcPr>
          <w:p w14:paraId="51B1A47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6500</w:t>
            </w:r>
          </w:p>
        </w:tc>
      </w:tr>
      <w:tr w14:paraId="53C7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270" w:type="pct"/>
            <w:shd w:val="clear" w:color="auto" w:fill="auto"/>
            <w:vAlign w:val="center"/>
          </w:tcPr>
          <w:p w14:paraId="24AC67F2">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104</w:t>
            </w:r>
          </w:p>
        </w:tc>
        <w:tc>
          <w:tcPr>
            <w:tcW w:w="548" w:type="pct"/>
            <w:shd w:val="clear" w:color="auto" w:fill="auto"/>
            <w:vAlign w:val="center"/>
          </w:tcPr>
          <w:p w14:paraId="0ECDAD3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四层平板货架</w:t>
            </w:r>
          </w:p>
        </w:tc>
        <w:tc>
          <w:tcPr>
            <w:tcW w:w="502" w:type="pct"/>
            <w:shd w:val="clear" w:color="auto" w:fill="auto"/>
            <w:vAlign w:val="top"/>
          </w:tcPr>
          <w:p w14:paraId="5A358026">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111125</wp:posOffset>
                  </wp:positionH>
                  <wp:positionV relativeFrom="paragraph">
                    <wp:posOffset>563245</wp:posOffset>
                  </wp:positionV>
                  <wp:extent cx="534670" cy="477520"/>
                  <wp:effectExtent l="0" t="0" r="17780" b="17780"/>
                  <wp:wrapNone/>
                  <wp:docPr id="4" name="ID_042A3E69B04D4DA0B4135C5A55276D34"/>
                  <wp:cNvGraphicFramePr/>
                  <a:graphic xmlns:a="http://schemas.openxmlformats.org/drawingml/2006/main">
                    <a:graphicData uri="http://schemas.openxmlformats.org/drawingml/2006/picture">
                      <pic:pic xmlns:pic="http://schemas.openxmlformats.org/drawingml/2006/picture">
                        <pic:nvPicPr>
                          <pic:cNvPr id="4" name="ID_042A3E69B04D4DA0B4135C5A55276D34"/>
                          <pic:cNvPicPr/>
                        </pic:nvPicPr>
                        <pic:blipFill>
                          <a:blip r:embed="rId71"/>
                          <a:stretch>
                            <a:fillRect/>
                          </a:stretch>
                        </pic:blipFill>
                        <pic:spPr>
                          <a:xfrm>
                            <a:off x="0" y="0"/>
                            <a:ext cx="534670" cy="477520"/>
                          </a:xfrm>
                          <a:prstGeom prst="rect">
                            <a:avLst/>
                          </a:prstGeom>
                          <a:noFill/>
                          <a:ln>
                            <a:noFill/>
                          </a:ln>
                        </pic:spPr>
                      </pic:pic>
                    </a:graphicData>
                  </a:graphic>
                </wp:anchor>
              </w:drawing>
            </w:r>
          </w:p>
        </w:tc>
        <w:tc>
          <w:tcPr>
            <w:tcW w:w="832" w:type="pct"/>
            <w:shd w:val="clear" w:color="auto" w:fill="auto"/>
            <w:vAlign w:val="center"/>
          </w:tcPr>
          <w:p w14:paraId="0E6426C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1500×500×1550mm</w:t>
            </w:r>
          </w:p>
        </w:tc>
        <w:tc>
          <w:tcPr>
            <w:tcW w:w="1559" w:type="pct"/>
            <w:shd w:val="clear" w:color="auto" w:fill="auto"/>
            <w:vAlign w:val="center"/>
          </w:tcPr>
          <w:p w14:paraId="7EAE923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一、结构：四层平板货架，层板采用满焊工艺，结实稳固，层板下设加强筋，承重性强，满载不变形。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1.立柱：38×38×1.0mm304不锈钢方管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2.层板、层码：1.2mm304不锈钢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3.地脚：Φ48不锈钢可调节子弹脚</w:t>
            </w:r>
          </w:p>
        </w:tc>
        <w:tc>
          <w:tcPr>
            <w:tcW w:w="376" w:type="pct"/>
            <w:shd w:val="clear" w:color="auto" w:fill="auto"/>
            <w:vAlign w:val="center"/>
          </w:tcPr>
          <w:p w14:paraId="4CA83E67">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C2BD8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18C615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571EAB7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1480</w:t>
            </w:r>
          </w:p>
        </w:tc>
        <w:tc>
          <w:tcPr>
            <w:tcW w:w="231" w:type="pct"/>
            <w:shd w:val="clear" w:color="auto" w:fill="auto"/>
            <w:noWrap/>
            <w:vAlign w:val="center"/>
          </w:tcPr>
          <w:p w14:paraId="1488652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2960</w:t>
            </w:r>
          </w:p>
        </w:tc>
      </w:tr>
      <w:tr w14:paraId="03FF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0" w:hRule="atLeast"/>
        </w:trPr>
        <w:tc>
          <w:tcPr>
            <w:tcW w:w="270" w:type="pct"/>
            <w:shd w:val="clear" w:color="auto" w:fill="auto"/>
            <w:vAlign w:val="center"/>
          </w:tcPr>
          <w:p w14:paraId="5953481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105</w:t>
            </w:r>
          </w:p>
        </w:tc>
        <w:tc>
          <w:tcPr>
            <w:tcW w:w="548" w:type="pct"/>
            <w:shd w:val="clear" w:color="auto" w:fill="auto"/>
            <w:vAlign w:val="center"/>
          </w:tcPr>
          <w:p w14:paraId="2899CBF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电热双桶煮面炉</w:t>
            </w:r>
          </w:p>
        </w:tc>
        <w:tc>
          <w:tcPr>
            <w:tcW w:w="502" w:type="pct"/>
            <w:shd w:val="clear" w:color="auto" w:fill="auto"/>
            <w:vAlign w:val="center"/>
          </w:tcPr>
          <w:p w14:paraId="37351B66">
            <w:pPr>
              <w:keepNext w:val="0"/>
              <w:keepLines w:val="0"/>
              <w:widowControl/>
              <w:suppressLineNumbers w:val="0"/>
              <w:jc w:val="left"/>
              <w:textAlignment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bCs/>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wp:posOffset>
                  </wp:positionH>
                  <wp:positionV relativeFrom="paragraph">
                    <wp:posOffset>140335</wp:posOffset>
                  </wp:positionV>
                  <wp:extent cx="826135" cy="715010"/>
                  <wp:effectExtent l="0" t="0" r="12065" b="8890"/>
                  <wp:wrapNone/>
                  <wp:docPr id="41" name="图片_65"/>
                  <wp:cNvGraphicFramePr/>
                  <a:graphic xmlns:a="http://schemas.openxmlformats.org/drawingml/2006/main">
                    <a:graphicData uri="http://schemas.openxmlformats.org/drawingml/2006/picture">
                      <pic:pic xmlns:pic="http://schemas.openxmlformats.org/drawingml/2006/picture">
                        <pic:nvPicPr>
                          <pic:cNvPr id="41" name="图片_65"/>
                          <pic:cNvPicPr/>
                        </pic:nvPicPr>
                        <pic:blipFill>
                          <a:blip r:embed="rId72"/>
                          <a:stretch>
                            <a:fillRect/>
                          </a:stretch>
                        </pic:blipFill>
                        <pic:spPr>
                          <a:xfrm>
                            <a:off x="0" y="0"/>
                            <a:ext cx="826135" cy="715010"/>
                          </a:xfrm>
                          <a:prstGeom prst="rect">
                            <a:avLst/>
                          </a:prstGeom>
                          <a:noFill/>
                          <a:ln>
                            <a:noFill/>
                          </a:ln>
                        </pic:spPr>
                      </pic:pic>
                    </a:graphicData>
                  </a:graphic>
                </wp:anchor>
              </w:drawing>
            </w:r>
          </w:p>
        </w:tc>
        <w:tc>
          <w:tcPr>
            <w:tcW w:w="832" w:type="pct"/>
            <w:shd w:val="clear" w:color="auto" w:fill="auto"/>
            <w:vAlign w:val="center"/>
          </w:tcPr>
          <w:p w14:paraId="66EFFD0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≥后挡水高度170mm</w:t>
            </w:r>
          </w:p>
        </w:tc>
        <w:tc>
          <w:tcPr>
            <w:tcW w:w="1559" w:type="pct"/>
            <w:shd w:val="clear" w:color="auto" w:fill="auto"/>
            <w:vAlign w:val="center"/>
          </w:tcPr>
          <w:p w14:paraId="049DF123">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p>
          <w:p w14:paraId="3F3508C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双头双桶独立，每桶100L深50cm，电热U管，每头配龙头，含隔渣篮+粉篱6个。</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1.桶体304不锈钢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2.外壳201不锈钢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3.U型电热管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1.220V/380V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2.总功率：18kW（双头各9kW）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3.每桶100L</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4.配防干烧装置</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四、电气要求：</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1.需2个独立三相空开，每路9kW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2.两路独立供电，禁止内部并联</w:t>
            </w:r>
          </w:p>
        </w:tc>
        <w:tc>
          <w:tcPr>
            <w:tcW w:w="376" w:type="pct"/>
            <w:shd w:val="clear" w:color="auto" w:fill="auto"/>
            <w:vAlign w:val="center"/>
          </w:tcPr>
          <w:p w14:paraId="715E13D1">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荣事达、九鼎王、志高</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741F211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5E974E4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0FFCB80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4000</w:t>
            </w:r>
          </w:p>
        </w:tc>
        <w:tc>
          <w:tcPr>
            <w:tcW w:w="231" w:type="pct"/>
            <w:shd w:val="clear" w:color="auto" w:fill="auto"/>
            <w:noWrap/>
            <w:vAlign w:val="center"/>
          </w:tcPr>
          <w:p w14:paraId="16C8283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8000</w:t>
            </w:r>
          </w:p>
        </w:tc>
      </w:tr>
      <w:tr w14:paraId="7670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2" w:hRule="atLeast"/>
        </w:trPr>
        <w:tc>
          <w:tcPr>
            <w:tcW w:w="270" w:type="pct"/>
            <w:shd w:val="clear" w:color="auto" w:fill="auto"/>
            <w:vAlign w:val="center"/>
          </w:tcPr>
          <w:p w14:paraId="745A044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106</w:t>
            </w:r>
          </w:p>
        </w:tc>
        <w:tc>
          <w:tcPr>
            <w:tcW w:w="548" w:type="pct"/>
            <w:shd w:val="clear" w:color="auto" w:fill="auto"/>
            <w:vAlign w:val="center"/>
          </w:tcPr>
          <w:p w14:paraId="511D9E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双星洗手池</w:t>
            </w:r>
          </w:p>
        </w:tc>
        <w:tc>
          <w:tcPr>
            <w:tcW w:w="502" w:type="pct"/>
            <w:shd w:val="clear" w:color="auto" w:fill="auto"/>
            <w:vAlign w:val="center"/>
          </w:tcPr>
          <w:p w14:paraId="15AFACE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-25400</wp:posOffset>
                  </wp:positionH>
                  <wp:positionV relativeFrom="paragraph">
                    <wp:posOffset>105410</wp:posOffset>
                  </wp:positionV>
                  <wp:extent cx="842010" cy="635000"/>
                  <wp:effectExtent l="0" t="0" r="0" b="0"/>
                  <wp:wrapNone/>
                  <wp:docPr id="6" name="Picture_130_SpCnt_2"/>
                  <wp:cNvGraphicFramePr/>
                  <a:graphic xmlns:a="http://schemas.openxmlformats.org/drawingml/2006/main">
                    <a:graphicData uri="http://schemas.openxmlformats.org/drawingml/2006/picture">
                      <pic:pic xmlns:pic="http://schemas.openxmlformats.org/drawingml/2006/picture">
                        <pic:nvPicPr>
                          <pic:cNvPr id="6" name="Picture_130_SpCnt_2"/>
                          <pic:cNvPicPr/>
                        </pic:nvPicPr>
                        <pic:blipFill>
                          <a:blip r:embed="rId45"/>
                          <a:stretch>
                            <a:fillRect/>
                          </a:stretch>
                        </pic:blipFill>
                        <pic:spPr>
                          <a:xfrm>
                            <a:off x="0" y="0"/>
                            <a:ext cx="842010" cy="635000"/>
                          </a:xfrm>
                          <a:prstGeom prst="rect">
                            <a:avLst/>
                          </a:prstGeom>
                          <a:noFill/>
                          <a:ln>
                            <a:noFill/>
                          </a:ln>
                        </pic:spPr>
                      </pic:pic>
                    </a:graphicData>
                  </a:graphic>
                </wp:anchor>
              </w:drawing>
            </w:r>
          </w:p>
        </w:tc>
        <w:tc>
          <w:tcPr>
            <w:tcW w:w="832" w:type="pct"/>
            <w:shd w:val="clear" w:color="auto" w:fill="auto"/>
            <w:vAlign w:val="center"/>
          </w:tcPr>
          <w:p w14:paraId="0F6E784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800×300×400mm，后挡水高度150mm</w:t>
            </w:r>
          </w:p>
        </w:tc>
        <w:tc>
          <w:tcPr>
            <w:tcW w:w="1559" w:type="pct"/>
            <w:shd w:val="clear" w:color="auto" w:fill="auto"/>
            <w:vAlign w:val="center"/>
          </w:tcPr>
          <w:p w14:paraId="1BF5D81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一、结构：双星洗手池，挂墙式（悬挂式）。</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1.面板、星盆：1.0mm厚304不锈钢磨砂板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vAlign w:val="center"/>
          </w:tcPr>
          <w:p w14:paraId="6890697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2B65E9A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1CC1C8E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684C17B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c>
          <w:tcPr>
            <w:tcW w:w="231" w:type="pct"/>
            <w:shd w:val="clear" w:color="auto" w:fill="auto"/>
            <w:noWrap/>
            <w:vAlign w:val="center"/>
          </w:tcPr>
          <w:p w14:paraId="2BAC54E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1250</w:t>
            </w:r>
          </w:p>
        </w:tc>
      </w:tr>
      <w:tr w14:paraId="0E36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 w:type="pct"/>
            <w:shd w:val="clear" w:color="auto" w:fill="auto"/>
            <w:vAlign w:val="center"/>
          </w:tcPr>
          <w:p w14:paraId="467B3DB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R</w:t>
            </w:r>
          </w:p>
        </w:tc>
        <w:tc>
          <w:tcPr>
            <w:tcW w:w="548" w:type="pct"/>
            <w:shd w:val="clear" w:color="auto" w:fill="auto"/>
            <w:vAlign w:val="center"/>
          </w:tcPr>
          <w:p w14:paraId="7EAB883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包厢备餐间</w:t>
            </w:r>
          </w:p>
        </w:tc>
        <w:tc>
          <w:tcPr>
            <w:tcW w:w="502" w:type="pct"/>
            <w:shd w:val="clear" w:color="auto" w:fill="auto"/>
            <w:vAlign w:val="center"/>
          </w:tcPr>
          <w:p w14:paraId="5A28A2F2">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7DEBFDAE">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884D2B0">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549AF330">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7AC71801">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4135E563">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303F3379">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305736C3">
            <w:pPr>
              <w:jc w:val="center"/>
              <w:rPr>
                <w:rFonts w:hint="eastAsia" w:ascii="仿宋" w:hAnsi="仿宋" w:eastAsia="仿宋" w:cs="仿宋"/>
                <w:i w:val="0"/>
                <w:iCs w:val="0"/>
                <w:color w:val="000000"/>
                <w:sz w:val="18"/>
                <w:szCs w:val="18"/>
                <w:highlight w:val="none"/>
                <w:u w:val="none"/>
              </w:rPr>
            </w:pPr>
          </w:p>
        </w:tc>
      </w:tr>
      <w:tr w14:paraId="07CA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270" w:type="pct"/>
            <w:shd w:val="clear" w:color="auto" w:fill="auto"/>
            <w:vAlign w:val="center"/>
          </w:tcPr>
          <w:p w14:paraId="4EA65E6E">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107</w:t>
            </w:r>
          </w:p>
        </w:tc>
        <w:tc>
          <w:tcPr>
            <w:tcW w:w="548" w:type="pct"/>
            <w:shd w:val="clear" w:color="auto" w:fill="auto"/>
            <w:vAlign w:val="center"/>
          </w:tcPr>
          <w:p w14:paraId="79D4B3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单星盆台</w:t>
            </w:r>
          </w:p>
        </w:tc>
        <w:tc>
          <w:tcPr>
            <w:tcW w:w="502" w:type="pct"/>
            <w:shd w:val="clear" w:color="auto" w:fill="auto"/>
            <w:vAlign w:val="center"/>
          </w:tcPr>
          <w:p w14:paraId="223765E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8890</wp:posOffset>
                  </wp:positionH>
                  <wp:positionV relativeFrom="paragraph">
                    <wp:posOffset>295275</wp:posOffset>
                  </wp:positionV>
                  <wp:extent cx="802640" cy="650240"/>
                  <wp:effectExtent l="0" t="0" r="16510" b="16510"/>
                  <wp:wrapNone/>
                  <wp:docPr id="51" name="ID_BBD67991757D4575B9B52F39E0349241"/>
                  <wp:cNvGraphicFramePr/>
                  <a:graphic xmlns:a="http://schemas.openxmlformats.org/drawingml/2006/main">
                    <a:graphicData uri="http://schemas.openxmlformats.org/drawingml/2006/picture">
                      <pic:pic xmlns:pic="http://schemas.openxmlformats.org/drawingml/2006/picture">
                        <pic:nvPicPr>
                          <pic:cNvPr id="51" name="ID_BBD67991757D4575B9B52F39E0349241"/>
                          <pic:cNvPicPr/>
                        </pic:nvPicPr>
                        <pic:blipFill>
                          <a:blip r:embed="rId37"/>
                          <a:stretch>
                            <a:fillRect/>
                          </a:stretch>
                        </pic:blipFill>
                        <pic:spPr>
                          <a:xfrm>
                            <a:off x="0" y="0"/>
                            <a:ext cx="802640" cy="650240"/>
                          </a:xfrm>
                          <a:prstGeom prst="rect">
                            <a:avLst/>
                          </a:prstGeom>
                          <a:noFill/>
                          <a:ln>
                            <a:noFill/>
                          </a:ln>
                        </pic:spPr>
                      </pic:pic>
                    </a:graphicData>
                  </a:graphic>
                </wp:anchor>
              </w:drawing>
            </w:r>
          </w:p>
        </w:tc>
        <w:tc>
          <w:tcPr>
            <w:tcW w:w="832" w:type="pct"/>
            <w:shd w:val="clear" w:color="auto" w:fill="auto"/>
            <w:vAlign w:val="center"/>
          </w:tcPr>
          <w:p w14:paraId="0012517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700×700×800mm，后挡水高度150mm</w:t>
            </w:r>
          </w:p>
        </w:tc>
        <w:tc>
          <w:tcPr>
            <w:tcW w:w="1559" w:type="pct"/>
            <w:shd w:val="clear" w:color="auto" w:fill="auto"/>
            <w:vAlign w:val="center"/>
          </w:tcPr>
          <w:p w14:paraId="040DD146">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一、结构：</w:t>
            </w:r>
          </w:p>
          <w:p w14:paraId="34FBC8C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单星盆带背挡水及前滴水沿，盆斗与台面一体拉伸或无缝焊接，台面四周向下双曲压弯40mm，支架满焊牢固并配可调节防滑地脚。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1.台面：304不锈钢1.2mm厚磨砂板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2.加强筋、星盆斗：304不锈钢1.0mm厚板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3.支架、通脚：304不锈钢Φ38×1.0mm管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4.可调子弹脚：304不锈钢Φ38mm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5.表面拉丝处理，满焊打磨，外露边缘卷边防割手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三、配件（每星配）：</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1.304不锈钢高身摇摆式水龙头（DN15，4分口，360°旋转），全铜陶瓷阀芯</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2.304不锈钢提笼式去水器（带防臭存水弯）</w:t>
            </w:r>
          </w:p>
        </w:tc>
        <w:tc>
          <w:tcPr>
            <w:tcW w:w="376" w:type="pct"/>
            <w:shd w:val="clear" w:color="auto" w:fill="auto"/>
            <w:vAlign w:val="center"/>
          </w:tcPr>
          <w:p w14:paraId="1D38C573">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3B9671F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50DAEA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4909DDF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c>
          <w:tcPr>
            <w:tcW w:w="231" w:type="pct"/>
            <w:shd w:val="clear" w:color="auto" w:fill="auto"/>
            <w:noWrap/>
            <w:vAlign w:val="center"/>
          </w:tcPr>
          <w:p w14:paraId="7641855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920</w:t>
            </w:r>
          </w:p>
        </w:tc>
      </w:tr>
      <w:tr w14:paraId="3C74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8" w:hRule="atLeast"/>
        </w:trPr>
        <w:tc>
          <w:tcPr>
            <w:tcW w:w="270" w:type="pct"/>
            <w:shd w:val="clear" w:color="auto" w:fill="auto"/>
            <w:vAlign w:val="center"/>
          </w:tcPr>
          <w:p w14:paraId="5506F71C">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108</w:t>
            </w:r>
          </w:p>
        </w:tc>
        <w:tc>
          <w:tcPr>
            <w:tcW w:w="548" w:type="pct"/>
            <w:shd w:val="clear" w:color="auto" w:fill="auto"/>
            <w:vAlign w:val="center"/>
          </w:tcPr>
          <w:p w14:paraId="31EED14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单通移门荷台柜</w:t>
            </w:r>
          </w:p>
        </w:tc>
        <w:tc>
          <w:tcPr>
            <w:tcW w:w="502" w:type="pct"/>
            <w:shd w:val="clear" w:color="auto" w:fill="auto"/>
            <w:vAlign w:val="center"/>
          </w:tcPr>
          <w:p w14:paraId="1A8D8F4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wp:posOffset>
                  </wp:positionH>
                  <wp:positionV relativeFrom="paragraph">
                    <wp:posOffset>155575</wp:posOffset>
                  </wp:positionV>
                  <wp:extent cx="803275" cy="588010"/>
                  <wp:effectExtent l="0" t="0" r="15875" b="2540"/>
                  <wp:wrapNone/>
                  <wp:docPr id="15" name="ID_9548C0D174974D98AB34569E7CDE8257_SpCnt_2"/>
                  <wp:cNvGraphicFramePr/>
                  <a:graphic xmlns:a="http://schemas.openxmlformats.org/drawingml/2006/main">
                    <a:graphicData uri="http://schemas.openxmlformats.org/drawingml/2006/picture">
                      <pic:pic xmlns:pic="http://schemas.openxmlformats.org/drawingml/2006/picture">
                        <pic:nvPicPr>
                          <pic:cNvPr id="15" name="ID_9548C0D174974D98AB34569E7CDE8257_SpCnt_2"/>
                          <pic:cNvPicPr/>
                        </pic:nvPicPr>
                        <pic:blipFill>
                          <a:blip r:embed="rId32"/>
                          <a:stretch>
                            <a:fillRect/>
                          </a:stretch>
                        </pic:blipFill>
                        <pic:spPr>
                          <a:xfrm>
                            <a:off x="0" y="0"/>
                            <a:ext cx="803275" cy="588010"/>
                          </a:xfrm>
                          <a:prstGeom prst="rect">
                            <a:avLst/>
                          </a:prstGeom>
                          <a:noFill/>
                          <a:ln>
                            <a:noFill/>
                          </a:ln>
                        </pic:spPr>
                      </pic:pic>
                    </a:graphicData>
                  </a:graphic>
                </wp:anchor>
              </w:drawing>
            </w:r>
          </w:p>
        </w:tc>
        <w:tc>
          <w:tcPr>
            <w:tcW w:w="832" w:type="pct"/>
            <w:shd w:val="clear" w:color="auto" w:fill="auto"/>
            <w:vAlign w:val="center"/>
          </w:tcPr>
          <w:p w14:paraId="05DFDC5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1200×700×800mm</w:t>
            </w:r>
          </w:p>
        </w:tc>
        <w:tc>
          <w:tcPr>
            <w:tcW w:w="1559" w:type="pct"/>
            <w:shd w:val="clear" w:color="auto" w:fill="auto"/>
            <w:vAlign w:val="center"/>
          </w:tcPr>
          <w:p w14:paraId="0B234A7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一、结构：单通移门荷台柜，趟门设计。</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1.台面：1.2mm厚304不锈钢板，下衬15mm防潮夹木板及双工字型1.0mm不锈钢方通加强筋，种钉加固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2.层板、底板、侧板：1.2mm厚304不锈钢板，内部各衬2条1.0mm不锈钢方通加强筋</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3.趟门：1.0mm厚304不锈钢板</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4.脚：4个Ф51mm304不锈钢可调脚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5.焊接与表面处理：满焊及内角鱼鳞焊，焊口羊毛轮抛光打蜡，拉丝纹路一致，光滑无毛刺</w:t>
            </w:r>
          </w:p>
        </w:tc>
        <w:tc>
          <w:tcPr>
            <w:tcW w:w="376" w:type="pct"/>
            <w:shd w:val="clear" w:color="auto" w:fill="auto"/>
            <w:vAlign w:val="center"/>
          </w:tcPr>
          <w:p w14:paraId="4347BC1C">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3D54215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615BBF3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45941F4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2550</w:t>
            </w:r>
          </w:p>
        </w:tc>
        <w:tc>
          <w:tcPr>
            <w:tcW w:w="231" w:type="pct"/>
            <w:shd w:val="clear" w:color="auto" w:fill="auto"/>
            <w:noWrap/>
            <w:vAlign w:val="center"/>
          </w:tcPr>
          <w:p w14:paraId="2C4CF30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2550</w:t>
            </w:r>
          </w:p>
        </w:tc>
      </w:tr>
      <w:tr w14:paraId="6F02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70" w:type="pct"/>
            <w:shd w:val="clear" w:color="auto" w:fill="auto"/>
            <w:vAlign w:val="center"/>
          </w:tcPr>
          <w:p w14:paraId="6E498AC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 xml:space="preserve"> S</w:t>
            </w:r>
          </w:p>
        </w:tc>
        <w:tc>
          <w:tcPr>
            <w:tcW w:w="548" w:type="pct"/>
            <w:shd w:val="clear" w:color="auto" w:fill="auto"/>
            <w:vAlign w:val="center"/>
          </w:tcPr>
          <w:p w14:paraId="0F89C20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大小包间</w:t>
            </w:r>
          </w:p>
        </w:tc>
        <w:tc>
          <w:tcPr>
            <w:tcW w:w="502" w:type="pct"/>
            <w:shd w:val="clear" w:color="auto" w:fill="auto"/>
            <w:vAlign w:val="center"/>
          </w:tcPr>
          <w:p w14:paraId="734E5ED8">
            <w:pP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1FE516B5">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9FB1FB1">
            <w:pPr>
              <w:rPr>
                <w:rFonts w:hint="eastAsia" w:ascii="仿宋" w:hAnsi="仿宋" w:eastAsia="仿宋" w:cs="仿宋"/>
                <w:i w:val="0"/>
                <w:iCs w:val="0"/>
                <w:color w:val="000000"/>
                <w:sz w:val="18"/>
                <w:szCs w:val="18"/>
                <w:highlight w:val="none"/>
                <w:u w:val="none"/>
              </w:rPr>
            </w:pPr>
          </w:p>
        </w:tc>
        <w:tc>
          <w:tcPr>
            <w:tcW w:w="376" w:type="pct"/>
            <w:shd w:val="clear" w:color="auto" w:fill="auto"/>
            <w:vAlign w:val="center"/>
          </w:tcPr>
          <w:p w14:paraId="6C21F7D9">
            <w:pPr>
              <w:jc w:val="center"/>
              <w:rPr>
                <w:rFonts w:hint="eastAsia" w:ascii="仿宋" w:hAnsi="仿宋" w:eastAsia="仿宋" w:cs="仿宋"/>
                <w:i w:val="0"/>
                <w:iCs w:val="0"/>
                <w:color w:val="000000"/>
                <w:sz w:val="18"/>
                <w:szCs w:val="18"/>
                <w:highlight w:val="none"/>
                <w:u w:val="none"/>
              </w:rPr>
            </w:pPr>
          </w:p>
        </w:tc>
        <w:tc>
          <w:tcPr>
            <w:tcW w:w="216" w:type="pct"/>
            <w:shd w:val="clear" w:color="auto" w:fill="auto"/>
            <w:vAlign w:val="center"/>
          </w:tcPr>
          <w:p w14:paraId="61CCC07F">
            <w:pPr>
              <w:jc w:val="center"/>
              <w:rPr>
                <w:rFonts w:hint="eastAsia" w:ascii="仿宋" w:hAnsi="仿宋" w:eastAsia="仿宋" w:cs="仿宋"/>
                <w:i w:val="0"/>
                <w:iCs w:val="0"/>
                <w:color w:val="000000"/>
                <w:sz w:val="18"/>
                <w:szCs w:val="18"/>
                <w:highlight w:val="none"/>
                <w:u w:val="none"/>
              </w:rPr>
            </w:pPr>
          </w:p>
        </w:tc>
        <w:tc>
          <w:tcPr>
            <w:tcW w:w="235" w:type="pct"/>
            <w:shd w:val="clear" w:color="auto" w:fill="auto"/>
            <w:vAlign w:val="center"/>
          </w:tcPr>
          <w:p w14:paraId="038EBA96">
            <w:pPr>
              <w:jc w:val="center"/>
              <w:rPr>
                <w:rFonts w:hint="eastAsia" w:ascii="仿宋" w:hAnsi="仿宋" w:eastAsia="仿宋" w:cs="仿宋"/>
                <w:i w:val="0"/>
                <w:iCs w:val="0"/>
                <w:color w:val="000000"/>
                <w:sz w:val="18"/>
                <w:szCs w:val="18"/>
                <w:highlight w:val="none"/>
                <w:u w:val="none"/>
              </w:rPr>
            </w:pPr>
          </w:p>
        </w:tc>
        <w:tc>
          <w:tcPr>
            <w:tcW w:w="226" w:type="pct"/>
            <w:shd w:val="clear" w:color="auto" w:fill="auto"/>
            <w:vAlign w:val="center"/>
          </w:tcPr>
          <w:p w14:paraId="002BF873">
            <w:pPr>
              <w:jc w:val="center"/>
              <w:rPr>
                <w:rFonts w:hint="eastAsia" w:ascii="仿宋" w:hAnsi="仿宋" w:eastAsia="仿宋" w:cs="仿宋"/>
                <w:i w:val="0"/>
                <w:iCs w:val="0"/>
                <w:color w:val="000000"/>
                <w:sz w:val="18"/>
                <w:szCs w:val="18"/>
                <w:highlight w:val="none"/>
                <w:u w:val="none"/>
              </w:rPr>
            </w:pPr>
          </w:p>
        </w:tc>
        <w:tc>
          <w:tcPr>
            <w:tcW w:w="231" w:type="pct"/>
            <w:shd w:val="clear" w:color="auto" w:fill="auto"/>
            <w:noWrap/>
            <w:vAlign w:val="center"/>
          </w:tcPr>
          <w:p w14:paraId="7D234167">
            <w:pPr>
              <w:jc w:val="center"/>
              <w:rPr>
                <w:rFonts w:hint="eastAsia" w:ascii="仿宋" w:hAnsi="仿宋" w:eastAsia="仿宋" w:cs="仿宋"/>
                <w:i w:val="0"/>
                <w:iCs w:val="0"/>
                <w:color w:val="000000"/>
                <w:sz w:val="18"/>
                <w:szCs w:val="18"/>
                <w:highlight w:val="none"/>
                <w:u w:val="none"/>
              </w:rPr>
            </w:pPr>
          </w:p>
        </w:tc>
      </w:tr>
      <w:tr w14:paraId="46B0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8" w:hRule="atLeast"/>
        </w:trPr>
        <w:tc>
          <w:tcPr>
            <w:tcW w:w="270" w:type="pct"/>
            <w:shd w:val="clear" w:color="auto" w:fill="auto"/>
            <w:vAlign w:val="center"/>
          </w:tcPr>
          <w:p w14:paraId="39EE0DB7">
            <w:pPr>
              <w:keepNext w:val="0"/>
              <w:keepLines w:val="0"/>
              <w:widowControl/>
              <w:suppressLineNumbers w:val="0"/>
              <w:jc w:val="center"/>
              <w:textAlignment w:val="center"/>
              <w:rPr>
                <w:rFonts w:hint="default" w:ascii="仿宋" w:hAnsi="仿宋" w:eastAsia="仿宋" w:cs="仿宋"/>
                <w:i w:val="0"/>
                <w:iCs w:val="0"/>
                <w:color w:val="000000"/>
                <w:sz w:val="18"/>
                <w:szCs w:val="18"/>
                <w:highlight w:val="none"/>
                <w:u w:val="none"/>
                <w:lang w:val="en-US"/>
              </w:rPr>
            </w:pPr>
            <w:r>
              <w:rPr>
                <w:rFonts w:hint="eastAsia" w:ascii="仿宋" w:hAnsi="仿宋" w:eastAsia="仿宋" w:cs="仿宋"/>
                <w:i w:val="0"/>
                <w:iCs w:val="0"/>
                <w:color w:val="000000"/>
                <w:kern w:val="0"/>
                <w:sz w:val="18"/>
                <w:szCs w:val="18"/>
                <w:highlight w:val="none"/>
                <w:u w:val="none"/>
                <w:lang w:val="en-US" w:eastAsia="zh-CN" w:bidi="ar"/>
              </w:rPr>
              <w:t>109</w:t>
            </w:r>
          </w:p>
        </w:tc>
        <w:tc>
          <w:tcPr>
            <w:tcW w:w="548" w:type="pct"/>
            <w:shd w:val="clear" w:color="auto" w:fill="auto"/>
            <w:vAlign w:val="center"/>
          </w:tcPr>
          <w:p w14:paraId="14440E1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备餐消毒柜</w:t>
            </w:r>
          </w:p>
        </w:tc>
        <w:tc>
          <w:tcPr>
            <w:tcW w:w="502" w:type="pct"/>
            <w:shd w:val="clear" w:color="auto" w:fill="auto"/>
            <w:vAlign w:val="top"/>
          </w:tcPr>
          <w:p w14:paraId="13970073">
            <w:pPr>
              <w:keepNext w:val="0"/>
              <w:keepLines w:val="0"/>
              <w:widowControl/>
              <w:suppressLineNumbers w:val="0"/>
              <w:jc w:val="center"/>
              <w:textAlignment w:val="top"/>
              <w:rPr>
                <w:rFonts w:hint="eastAsia" w:ascii="仿宋" w:hAnsi="仿宋" w:eastAsia="仿宋" w:cs="仿宋"/>
                <w:i w:val="0"/>
                <w:iCs w:val="0"/>
                <w:color w:val="FF0000"/>
                <w:sz w:val="18"/>
                <w:szCs w:val="18"/>
                <w:highlight w:val="none"/>
                <w:u w:val="none"/>
              </w:rPr>
            </w:pPr>
            <w:r>
              <w:rPr>
                <w:rFonts w:hint="eastAsia" w:ascii="仿宋" w:hAnsi="仿宋" w:eastAsia="仿宋" w:cs="仿宋"/>
                <w:i w:val="0"/>
                <w:iCs w:val="0"/>
                <w:color w:val="FF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78105</wp:posOffset>
                  </wp:positionH>
                  <wp:positionV relativeFrom="paragraph">
                    <wp:posOffset>721995</wp:posOffset>
                  </wp:positionV>
                  <wp:extent cx="673100" cy="840105"/>
                  <wp:effectExtent l="0" t="0" r="12700" b="17145"/>
                  <wp:wrapNone/>
                  <wp:docPr id="125" name="图片_49"/>
                  <wp:cNvGraphicFramePr/>
                  <a:graphic xmlns:a="http://schemas.openxmlformats.org/drawingml/2006/main">
                    <a:graphicData uri="http://schemas.openxmlformats.org/drawingml/2006/picture">
                      <pic:pic xmlns:pic="http://schemas.openxmlformats.org/drawingml/2006/picture">
                        <pic:nvPicPr>
                          <pic:cNvPr id="125" name="图片_49"/>
                          <pic:cNvPicPr/>
                        </pic:nvPicPr>
                        <pic:blipFill>
                          <a:blip r:embed="rId73"/>
                          <a:stretch>
                            <a:fillRect/>
                          </a:stretch>
                        </pic:blipFill>
                        <pic:spPr>
                          <a:xfrm>
                            <a:off x="0" y="0"/>
                            <a:ext cx="673100" cy="840105"/>
                          </a:xfrm>
                          <a:prstGeom prst="rect">
                            <a:avLst/>
                          </a:prstGeom>
                          <a:noFill/>
                          <a:ln>
                            <a:noFill/>
                          </a:ln>
                        </pic:spPr>
                      </pic:pic>
                    </a:graphicData>
                  </a:graphic>
                </wp:anchor>
              </w:drawing>
            </w:r>
          </w:p>
        </w:tc>
        <w:tc>
          <w:tcPr>
            <w:tcW w:w="832" w:type="pct"/>
            <w:shd w:val="clear" w:color="auto" w:fill="auto"/>
            <w:vAlign w:val="center"/>
          </w:tcPr>
          <w:p w14:paraId="4CFA8E6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0268627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一、结构：双门设计，内部带层架。</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二、材质与工艺：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1.箱体：201不锈钢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2.内胆、层架：201不锈钢</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三、性能参数：</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1.220V/50Hz</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2.功率1.1kW</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3.消毒方式：远红外+热风</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▲4.消毒星级：一星</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5.容量228L</w:t>
            </w:r>
          </w:p>
        </w:tc>
        <w:tc>
          <w:tcPr>
            <w:tcW w:w="376" w:type="pct"/>
            <w:shd w:val="clear" w:color="auto" w:fill="auto"/>
            <w:vAlign w:val="center"/>
          </w:tcPr>
          <w:p w14:paraId="662688D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康宝、海花、万宝</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36BCE6B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14E69CA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vAlign w:val="center"/>
          </w:tcPr>
          <w:p w14:paraId="31ADFF0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2280</w:t>
            </w:r>
          </w:p>
        </w:tc>
        <w:tc>
          <w:tcPr>
            <w:tcW w:w="231" w:type="pct"/>
            <w:shd w:val="clear" w:color="auto" w:fill="auto"/>
            <w:noWrap/>
            <w:vAlign w:val="center"/>
          </w:tcPr>
          <w:p w14:paraId="33DC1BF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4560</w:t>
            </w:r>
          </w:p>
        </w:tc>
      </w:tr>
      <w:tr w14:paraId="33F5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trPr>
        <w:tc>
          <w:tcPr>
            <w:tcW w:w="270" w:type="pct"/>
            <w:shd w:val="clear" w:color="auto" w:fill="auto"/>
            <w:noWrap/>
            <w:vAlign w:val="center"/>
          </w:tcPr>
          <w:p w14:paraId="006CE645">
            <w:pPr>
              <w:jc w:val="center"/>
              <w:rPr>
                <w:rFonts w:hint="eastAsia" w:ascii="仿宋" w:hAnsi="仿宋" w:eastAsia="仿宋" w:cs="仿宋"/>
                <w:b/>
                <w:bCs/>
                <w:i w:val="0"/>
                <w:iCs w:val="0"/>
                <w:color w:val="000000"/>
                <w:sz w:val="18"/>
                <w:szCs w:val="18"/>
                <w:highlight w:val="none"/>
                <w:u w:val="none"/>
              </w:rPr>
            </w:pPr>
            <w:r>
              <w:rPr>
                <w:rFonts w:hint="eastAsia" w:ascii="仿宋" w:hAnsi="仿宋" w:eastAsia="仿宋" w:cs="仿宋"/>
                <w:b w:val="0"/>
                <w:bCs w:val="0"/>
                <w:i w:val="0"/>
                <w:iCs w:val="0"/>
                <w:color w:val="000000"/>
                <w:sz w:val="18"/>
                <w:szCs w:val="18"/>
                <w:highlight w:val="none"/>
                <w:u w:val="none"/>
              </w:rPr>
              <w:t xml:space="preserve"> T </w:t>
            </w:r>
          </w:p>
        </w:tc>
        <w:tc>
          <w:tcPr>
            <w:tcW w:w="548" w:type="pct"/>
            <w:shd w:val="clear" w:color="auto" w:fill="auto"/>
            <w:vAlign w:val="center"/>
          </w:tcPr>
          <w:p w14:paraId="397C8FEE">
            <w:pPr>
              <w:keepNext w:val="0"/>
              <w:keepLines w:val="0"/>
              <w:widowControl/>
              <w:suppressLineNumbers w:val="0"/>
              <w:jc w:val="left"/>
              <w:textAlignment w:val="center"/>
              <w:rPr>
                <w:rFonts w:hint="eastAsia" w:ascii="仿宋" w:hAnsi="仿宋" w:eastAsia="仿宋" w:cs="仿宋"/>
                <w:b/>
                <w:bCs/>
                <w:i w:val="0"/>
                <w:iCs w:val="0"/>
                <w:color w:val="000000"/>
                <w:sz w:val="18"/>
                <w:szCs w:val="18"/>
                <w:highlight w:val="none"/>
                <w:u w:val="none"/>
              </w:rPr>
            </w:pPr>
            <w:r>
              <w:rPr>
                <w:rStyle w:val="15"/>
                <w:rFonts w:hint="eastAsia" w:ascii="仿宋" w:hAnsi="仿宋" w:eastAsia="仿宋" w:cs="仿宋"/>
                <w:sz w:val="18"/>
                <w:szCs w:val="18"/>
                <w:highlight w:val="none"/>
                <w:lang w:val="en-US" w:eastAsia="zh-CN" w:bidi="ar"/>
              </w:rPr>
              <w:t>隔油池</w:t>
            </w:r>
          </w:p>
        </w:tc>
        <w:tc>
          <w:tcPr>
            <w:tcW w:w="502" w:type="pct"/>
            <w:shd w:val="clear" w:color="auto" w:fill="auto"/>
            <w:vAlign w:val="center"/>
          </w:tcPr>
          <w:p w14:paraId="4A386878">
            <w:pPr>
              <w:jc w:val="left"/>
              <w:rPr>
                <w:rFonts w:hint="eastAsia" w:ascii="仿宋" w:hAnsi="仿宋" w:eastAsia="仿宋" w:cs="仿宋"/>
                <w:b/>
                <w:bCs/>
                <w:i w:val="0"/>
                <w:iCs w:val="0"/>
                <w:color w:val="000000"/>
                <w:sz w:val="18"/>
                <w:szCs w:val="18"/>
                <w:highlight w:val="none"/>
                <w:u w:val="none"/>
              </w:rPr>
            </w:pPr>
          </w:p>
        </w:tc>
        <w:tc>
          <w:tcPr>
            <w:tcW w:w="832" w:type="pct"/>
            <w:shd w:val="clear" w:color="auto" w:fill="auto"/>
            <w:vAlign w:val="center"/>
          </w:tcPr>
          <w:p w14:paraId="72B3A105">
            <w:pPr>
              <w:jc w:val="left"/>
              <w:rPr>
                <w:rFonts w:hint="eastAsia" w:ascii="仿宋" w:hAnsi="仿宋" w:eastAsia="仿宋" w:cs="仿宋"/>
                <w:b/>
                <w:bCs/>
                <w:i w:val="0"/>
                <w:iCs w:val="0"/>
                <w:color w:val="000000"/>
                <w:sz w:val="18"/>
                <w:szCs w:val="18"/>
                <w:highlight w:val="none"/>
                <w:u w:val="none"/>
              </w:rPr>
            </w:pPr>
          </w:p>
        </w:tc>
        <w:tc>
          <w:tcPr>
            <w:tcW w:w="1559" w:type="pct"/>
            <w:shd w:val="clear" w:color="auto" w:fill="auto"/>
            <w:vAlign w:val="center"/>
          </w:tcPr>
          <w:p w14:paraId="2D5CAB8B">
            <w:pPr>
              <w:jc w:val="left"/>
              <w:rPr>
                <w:rFonts w:hint="eastAsia" w:ascii="仿宋" w:hAnsi="仿宋" w:eastAsia="仿宋" w:cs="仿宋"/>
                <w:b/>
                <w:bCs/>
                <w:i w:val="0"/>
                <w:iCs w:val="0"/>
                <w:color w:val="000000"/>
                <w:sz w:val="18"/>
                <w:szCs w:val="18"/>
                <w:highlight w:val="none"/>
                <w:u w:val="none"/>
              </w:rPr>
            </w:pPr>
          </w:p>
        </w:tc>
        <w:tc>
          <w:tcPr>
            <w:tcW w:w="376" w:type="pct"/>
            <w:shd w:val="clear" w:color="auto" w:fill="auto"/>
            <w:vAlign w:val="center"/>
          </w:tcPr>
          <w:p w14:paraId="3B57E9DA">
            <w:pPr>
              <w:jc w:val="center"/>
              <w:rPr>
                <w:rFonts w:hint="eastAsia" w:ascii="仿宋" w:hAnsi="仿宋" w:eastAsia="仿宋" w:cs="仿宋"/>
                <w:b/>
                <w:bCs/>
                <w:i w:val="0"/>
                <w:iCs w:val="0"/>
                <w:color w:val="000000"/>
                <w:sz w:val="18"/>
                <w:szCs w:val="18"/>
                <w:highlight w:val="none"/>
                <w:u w:val="none"/>
              </w:rPr>
            </w:pPr>
          </w:p>
        </w:tc>
        <w:tc>
          <w:tcPr>
            <w:tcW w:w="216" w:type="pct"/>
            <w:shd w:val="clear" w:color="auto" w:fill="auto"/>
            <w:vAlign w:val="center"/>
          </w:tcPr>
          <w:p w14:paraId="62C251D2">
            <w:pPr>
              <w:jc w:val="left"/>
              <w:rPr>
                <w:rFonts w:hint="eastAsia" w:ascii="仿宋" w:hAnsi="仿宋" w:eastAsia="仿宋" w:cs="仿宋"/>
                <w:b/>
                <w:bCs/>
                <w:i w:val="0"/>
                <w:iCs w:val="0"/>
                <w:color w:val="000000"/>
                <w:sz w:val="18"/>
                <w:szCs w:val="18"/>
                <w:highlight w:val="none"/>
                <w:u w:val="none"/>
              </w:rPr>
            </w:pPr>
          </w:p>
        </w:tc>
        <w:tc>
          <w:tcPr>
            <w:tcW w:w="235" w:type="pct"/>
            <w:shd w:val="clear" w:color="auto" w:fill="auto"/>
            <w:vAlign w:val="center"/>
          </w:tcPr>
          <w:p w14:paraId="70B1A492">
            <w:pPr>
              <w:jc w:val="left"/>
              <w:rPr>
                <w:rFonts w:hint="eastAsia" w:ascii="仿宋" w:hAnsi="仿宋" w:eastAsia="仿宋" w:cs="仿宋"/>
                <w:b/>
                <w:bCs/>
                <w:i w:val="0"/>
                <w:iCs w:val="0"/>
                <w:color w:val="000000"/>
                <w:sz w:val="18"/>
                <w:szCs w:val="18"/>
                <w:highlight w:val="none"/>
                <w:u w:val="none"/>
              </w:rPr>
            </w:pPr>
          </w:p>
        </w:tc>
        <w:tc>
          <w:tcPr>
            <w:tcW w:w="226" w:type="pct"/>
            <w:shd w:val="clear" w:color="auto" w:fill="auto"/>
            <w:vAlign w:val="center"/>
          </w:tcPr>
          <w:p w14:paraId="69EDF691">
            <w:pPr>
              <w:jc w:val="center"/>
              <w:rPr>
                <w:rFonts w:hint="eastAsia" w:ascii="仿宋" w:hAnsi="仿宋" w:eastAsia="仿宋" w:cs="仿宋"/>
                <w:b/>
                <w:bCs/>
                <w:i w:val="0"/>
                <w:iCs w:val="0"/>
                <w:color w:val="000000"/>
                <w:sz w:val="18"/>
                <w:szCs w:val="18"/>
                <w:highlight w:val="none"/>
                <w:u w:val="none"/>
              </w:rPr>
            </w:pPr>
          </w:p>
        </w:tc>
        <w:tc>
          <w:tcPr>
            <w:tcW w:w="231" w:type="pct"/>
            <w:shd w:val="clear" w:color="auto" w:fill="auto"/>
            <w:noWrap/>
            <w:vAlign w:val="center"/>
          </w:tcPr>
          <w:p w14:paraId="2C13DD7F">
            <w:pPr>
              <w:jc w:val="center"/>
              <w:rPr>
                <w:rFonts w:hint="eastAsia" w:ascii="仿宋" w:hAnsi="仿宋" w:eastAsia="仿宋" w:cs="仿宋"/>
                <w:i w:val="0"/>
                <w:iCs w:val="0"/>
                <w:color w:val="000000"/>
                <w:sz w:val="18"/>
                <w:szCs w:val="18"/>
                <w:highlight w:val="none"/>
                <w:u w:val="none"/>
              </w:rPr>
            </w:pPr>
          </w:p>
        </w:tc>
      </w:tr>
      <w:tr w14:paraId="0BEB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70" w:type="pct"/>
            <w:shd w:val="clear" w:color="auto" w:fill="auto"/>
            <w:noWrap/>
            <w:vAlign w:val="center"/>
          </w:tcPr>
          <w:p w14:paraId="4DAC29BE">
            <w:pPr>
              <w:jc w:val="center"/>
              <w:rPr>
                <w:rFonts w:hint="default" w:ascii="仿宋" w:hAnsi="仿宋" w:eastAsia="仿宋" w:cs="仿宋"/>
                <w:b/>
                <w:bCs/>
                <w:i w:val="0"/>
                <w:iCs w:val="0"/>
                <w:color w:val="000000"/>
                <w:sz w:val="18"/>
                <w:szCs w:val="18"/>
                <w:highlight w:val="none"/>
                <w:u w:val="none"/>
                <w:lang w:val="en-US" w:eastAsia="zh-CN"/>
              </w:rPr>
            </w:pPr>
            <w:r>
              <w:rPr>
                <w:rFonts w:hint="eastAsia" w:ascii="仿宋" w:hAnsi="仿宋" w:eastAsia="仿宋" w:cs="仿宋"/>
                <w:b w:val="0"/>
                <w:bCs w:val="0"/>
                <w:i w:val="0"/>
                <w:iCs w:val="0"/>
                <w:color w:val="000000"/>
                <w:sz w:val="18"/>
                <w:szCs w:val="18"/>
                <w:highlight w:val="none"/>
                <w:u w:val="none"/>
                <w:lang w:val="en-US" w:eastAsia="zh-CN"/>
              </w:rPr>
              <w:t>110</w:t>
            </w:r>
          </w:p>
        </w:tc>
        <w:tc>
          <w:tcPr>
            <w:tcW w:w="548" w:type="pct"/>
            <w:shd w:val="clear" w:color="auto" w:fill="auto"/>
            <w:vAlign w:val="center"/>
          </w:tcPr>
          <w:p w14:paraId="504BE4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全自动油水分离器</w:t>
            </w:r>
          </w:p>
        </w:tc>
        <w:tc>
          <w:tcPr>
            <w:tcW w:w="502" w:type="pct"/>
            <w:shd w:val="clear" w:color="auto" w:fill="auto"/>
            <w:noWrap/>
            <w:vAlign w:val="center"/>
          </w:tcPr>
          <w:p w14:paraId="0FE5498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drawing>
                <wp:anchor distT="0" distB="0" distL="114300" distR="114300" simplePos="0" relativeHeight="251659264" behindDoc="0" locked="0" layoutInCell="1" allowOverlap="1">
                  <wp:simplePos x="0" y="0"/>
                  <wp:positionH relativeFrom="column">
                    <wp:posOffset>37465</wp:posOffset>
                  </wp:positionH>
                  <wp:positionV relativeFrom="paragraph">
                    <wp:posOffset>-95250</wp:posOffset>
                  </wp:positionV>
                  <wp:extent cx="756285" cy="568325"/>
                  <wp:effectExtent l="0" t="0" r="5715" b="3175"/>
                  <wp:wrapNone/>
                  <wp:docPr id="16" name="ID_554BC25714F44B0595046E31EEBCCB9C"/>
                  <wp:cNvGraphicFramePr/>
                  <a:graphic xmlns:a="http://schemas.openxmlformats.org/drawingml/2006/main">
                    <a:graphicData uri="http://schemas.openxmlformats.org/drawingml/2006/picture">
                      <pic:pic xmlns:pic="http://schemas.openxmlformats.org/drawingml/2006/picture">
                        <pic:nvPicPr>
                          <pic:cNvPr id="16" name="ID_554BC25714F44B0595046E31EEBCCB9C"/>
                          <pic:cNvPicPr/>
                        </pic:nvPicPr>
                        <pic:blipFill>
                          <a:blip r:embed="rId74"/>
                          <a:stretch>
                            <a:fillRect/>
                          </a:stretch>
                        </pic:blipFill>
                        <pic:spPr>
                          <a:xfrm>
                            <a:off x="0" y="0"/>
                            <a:ext cx="756285" cy="568325"/>
                          </a:xfrm>
                          <a:prstGeom prst="rect">
                            <a:avLst/>
                          </a:prstGeom>
                          <a:noFill/>
                          <a:ln>
                            <a:noFill/>
                          </a:ln>
                        </pic:spPr>
                      </pic:pic>
                    </a:graphicData>
                  </a:graphic>
                </wp:anchor>
              </w:drawing>
            </w:r>
          </w:p>
        </w:tc>
        <w:tc>
          <w:tcPr>
            <w:tcW w:w="832" w:type="pct"/>
            <w:shd w:val="clear" w:color="auto" w:fill="auto"/>
            <w:vAlign w:val="center"/>
          </w:tcPr>
          <w:p w14:paraId="73BA265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B9D3490">
            <w:pPr>
              <w:keepNext w:val="0"/>
              <w:keepLines w:val="0"/>
              <w:widowControl/>
              <w:suppressLineNumbers w:val="0"/>
              <w:jc w:val="left"/>
              <w:textAlignment w:val="center"/>
              <w:rPr>
                <w:rFonts w:hint="eastAsia" w:ascii="仿宋" w:hAnsi="仿宋" w:eastAsia="仿宋" w:cs="仿宋"/>
                <w:color w:val="000000"/>
                <w:sz w:val="18"/>
                <w:szCs w:val="18"/>
                <w:highlight w:val="none"/>
                <w:u w:val="none"/>
              </w:rPr>
            </w:pPr>
            <w:r>
              <w:rPr>
                <w:rFonts w:hint="eastAsia" w:ascii="仿宋" w:hAnsi="仿宋" w:eastAsia="仿宋" w:cs="仿宋"/>
                <w:color w:val="000000"/>
                <w:sz w:val="18"/>
                <w:szCs w:val="18"/>
                <w:highlight w:val="none"/>
                <w:u w:val="none"/>
              </w:rPr>
              <w:t>一、功能要求</w:t>
            </w:r>
          </w:p>
          <w:p w14:paraId="37DA1E7A">
            <w:pPr>
              <w:keepNext w:val="0"/>
              <w:keepLines w:val="0"/>
              <w:widowControl/>
              <w:suppressLineNumbers w:val="0"/>
              <w:jc w:val="left"/>
              <w:textAlignment w:val="center"/>
              <w:rPr>
                <w:rFonts w:hint="eastAsia" w:ascii="仿宋" w:hAnsi="仿宋" w:eastAsia="仿宋" w:cs="仿宋"/>
                <w:color w:val="000000"/>
                <w:sz w:val="18"/>
                <w:szCs w:val="18"/>
                <w:highlight w:val="none"/>
                <w:u w:val="none"/>
              </w:rPr>
            </w:pPr>
            <w:r>
              <w:rPr>
                <w:rFonts w:hint="eastAsia" w:ascii="仿宋" w:hAnsi="仿宋" w:eastAsia="仿宋" w:cs="仿宋"/>
                <w:color w:val="000000"/>
                <w:sz w:val="18"/>
                <w:szCs w:val="18"/>
                <w:highlight w:val="none"/>
                <w:u w:val="none"/>
                <w:lang w:val="en-US" w:eastAsia="zh-CN"/>
              </w:rPr>
              <w:t>1.</w:t>
            </w:r>
            <w:r>
              <w:rPr>
                <w:rFonts w:hint="eastAsia" w:ascii="仿宋" w:hAnsi="仿宋" w:eastAsia="仿宋" w:cs="仿宋"/>
                <w:b w:val="0"/>
                <w:bCs w:val="0"/>
                <w:i w:val="0"/>
                <w:iCs w:val="0"/>
                <w:caps w:val="0"/>
                <w:color w:val="000000"/>
                <w:spacing w:val="0"/>
                <w:sz w:val="18"/>
                <w:szCs w:val="18"/>
                <w:highlight w:val="none"/>
                <w:u w:val="none"/>
                <w:shd w:val="clear"/>
              </w:rPr>
              <w:t>运行方式</w:t>
            </w:r>
            <w:r>
              <w:rPr>
                <w:rFonts w:hint="eastAsia" w:ascii="仿宋" w:hAnsi="仿宋" w:eastAsia="仿宋" w:cs="仿宋"/>
                <w:i w:val="0"/>
                <w:iCs w:val="0"/>
                <w:caps w:val="0"/>
                <w:color w:val="000000"/>
                <w:spacing w:val="0"/>
                <w:sz w:val="18"/>
                <w:szCs w:val="18"/>
                <w:highlight w:val="none"/>
                <w:u w:val="none"/>
                <w:shd w:val="clear"/>
              </w:rPr>
              <w:t>：</w:t>
            </w:r>
            <w:r>
              <w:rPr>
                <w:rFonts w:hint="eastAsia" w:ascii="仿宋" w:hAnsi="仿宋" w:eastAsia="仿宋" w:cs="仿宋"/>
                <w:color w:val="000000"/>
                <w:sz w:val="18"/>
                <w:szCs w:val="18"/>
                <w:highlight w:val="none"/>
                <w:u w:val="none"/>
              </w:rPr>
              <w:t>设备采用全封闭运行结构，防止异味挥发。</w:t>
            </w:r>
          </w:p>
          <w:p w14:paraId="023A59A8">
            <w:pPr>
              <w:keepNext w:val="0"/>
              <w:keepLines w:val="0"/>
              <w:widowControl/>
              <w:suppressLineNumbers w:val="0"/>
              <w:jc w:val="left"/>
              <w:textAlignment w:val="center"/>
              <w:rPr>
                <w:rFonts w:hint="eastAsia" w:ascii="仿宋" w:hAnsi="仿宋" w:eastAsia="仿宋" w:cs="仿宋"/>
                <w:color w:val="000000"/>
                <w:sz w:val="18"/>
                <w:szCs w:val="18"/>
                <w:highlight w:val="none"/>
                <w:u w:val="none"/>
              </w:rPr>
            </w:pPr>
            <w:r>
              <w:rPr>
                <w:rFonts w:hint="eastAsia" w:ascii="仿宋" w:hAnsi="仿宋" w:eastAsia="仿宋" w:cs="仿宋"/>
                <w:color w:val="000000"/>
                <w:sz w:val="18"/>
                <w:szCs w:val="18"/>
                <w:highlight w:val="none"/>
                <w:u w:val="none"/>
                <w:lang w:val="en-US" w:eastAsia="zh-CN"/>
              </w:rPr>
              <w:t>2.</w:t>
            </w:r>
            <w:r>
              <w:rPr>
                <w:rFonts w:hint="eastAsia" w:ascii="仿宋" w:hAnsi="仿宋" w:eastAsia="仿宋" w:cs="仿宋"/>
                <w:b w:val="0"/>
                <w:bCs w:val="0"/>
                <w:i w:val="0"/>
                <w:iCs w:val="0"/>
                <w:caps w:val="0"/>
                <w:color w:val="000000"/>
                <w:spacing w:val="0"/>
                <w:sz w:val="18"/>
                <w:szCs w:val="18"/>
                <w:highlight w:val="none"/>
                <w:u w:val="none"/>
                <w:shd w:val="clear"/>
              </w:rPr>
              <w:t>加热系统</w:t>
            </w:r>
            <w:r>
              <w:rPr>
                <w:rFonts w:hint="eastAsia" w:ascii="仿宋" w:hAnsi="仿宋" w:eastAsia="仿宋" w:cs="仿宋"/>
                <w:b w:val="0"/>
                <w:bCs w:val="0"/>
                <w:i w:val="0"/>
                <w:iCs w:val="0"/>
                <w:caps w:val="0"/>
                <w:color w:val="000000"/>
                <w:spacing w:val="0"/>
                <w:sz w:val="18"/>
                <w:szCs w:val="18"/>
                <w:highlight w:val="none"/>
                <w:u w:val="none"/>
                <w:shd w:val="clear"/>
                <w:lang w:eastAsia="zh-CN"/>
              </w:rPr>
              <w:t>：</w:t>
            </w:r>
            <w:r>
              <w:rPr>
                <w:rFonts w:hint="eastAsia" w:ascii="仿宋" w:hAnsi="仿宋" w:eastAsia="仿宋" w:cs="仿宋"/>
                <w:color w:val="000000"/>
                <w:sz w:val="18"/>
                <w:szCs w:val="18"/>
                <w:highlight w:val="none"/>
                <w:u w:val="none"/>
              </w:rPr>
              <w:t>配备双控恒温加热系统，具备温度可控、节能运行功能。</w:t>
            </w:r>
          </w:p>
          <w:p w14:paraId="0D393A0A">
            <w:pPr>
              <w:keepNext w:val="0"/>
              <w:keepLines w:val="0"/>
              <w:widowControl/>
              <w:suppressLineNumbers w:val="0"/>
              <w:jc w:val="left"/>
              <w:textAlignment w:val="center"/>
              <w:rPr>
                <w:rFonts w:hint="eastAsia" w:ascii="仿宋" w:hAnsi="仿宋" w:eastAsia="仿宋" w:cs="仿宋"/>
                <w:color w:val="000000"/>
                <w:sz w:val="18"/>
                <w:szCs w:val="18"/>
                <w:highlight w:val="none"/>
                <w:u w:val="none"/>
              </w:rPr>
            </w:pPr>
            <w:r>
              <w:rPr>
                <w:rFonts w:hint="eastAsia" w:ascii="仿宋" w:hAnsi="仿宋" w:eastAsia="仿宋" w:cs="仿宋"/>
                <w:color w:val="000000"/>
                <w:sz w:val="18"/>
                <w:szCs w:val="18"/>
                <w:highlight w:val="none"/>
                <w:u w:val="none"/>
                <w:lang w:val="en-US" w:eastAsia="zh-CN"/>
              </w:rPr>
              <w:t>3.</w:t>
            </w:r>
            <w:r>
              <w:rPr>
                <w:rFonts w:hint="eastAsia" w:ascii="仿宋" w:hAnsi="仿宋" w:eastAsia="仿宋" w:cs="仿宋"/>
                <w:b w:val="0"/>
                <w:bCs w:val="0"/>
                <w:i w:val="0"/>
                <w:iCs w:val="0"/>
                <w:caps w:val="0"/>
                <w:color w:val="000000"/>
                <w:spacing w:val="0"/>
                <w:sz w:val="18"/>
                <w:szCs w:val="18"/>
                <w:highlight w:val="none"/>
                <w:u w:val="none"/>
                <w:shd w:val="clear"/>
              </w:rPr>
              <w:t>结构形式</w:t>
            </w:r>
            <w:r>
              <w:rPr>
                <w:rFonts w:hint="eastAsia" w:ascii="仿宋" w:hAnsi="仿宋" w:eastAsia="仿宋" w:cs="仿宋"/>
                <w:b w:val="0"/>
                <w:bCs w:val="0"/>
                <w:i w:val="0"/>
                <w:iCs w:val="0"/>
                <w:caps w:val="0"/>
                <w:color w:val="000000"/>
                <w:spacing w:val="0"/>
                <w:sz w:val="18"/>
                <w:szCs w:val="18"/>
                <w:highlight w:val="none"/>
                <w:u w:val="none"/>
                <w:shd w:val="clear"/>
                <w:lang w:eastAsia="zh-CN"/>
              </w:rPr>
              <w:t>：</w:t>
            </w:r>
            <w:r>
              <w:rPr>
                <w:rFonts w:hint="eastAsia" w:ascii="仿宋" w:hAnsi="仿宋" w:eastAsia="仿宋" w:cs="仿宋"/>
                <w:color w:val="000000"/>
                <w:sz w:val="18"/>
                <w:szCs w:val="18"/>
                <w:highlight w:val="none"/>
                <w:u w:val="none"/>
              </w:rPr>
              <w:t>采用模块化结构，便于运输、安装及维护。</w:t>
            </w:r>
          </w:p>
          <w:p w14:paraId="1F4F3630">
            <w:pPr>
              <w:keepNext w:val="0"/>
              <w:keepLines w:val="0"/>
              <w:widowControl/>
              <w:suppressLineNumbers w:val="0"/>
              <w:jc w:val="left"/>
              <w:textAlignment w:val="center"/>
              <w:rPr>
                <w:rFonts w:hint="eastAsia" w:ascii="仿宋" w:hAnsi="仿宋" w:eastAsia="仿宋" w:cs="仿宋"/>
                <w:color w:val="000000"/>
                <w:sz w:val="18"/>
                <w:szCs w:val="18"/>
                <w:highlight w:val="none"/>
                <w:u w:val="none"/>
              </w:rPr>
            </w:pPr>
            <w:r>
              <w:rPr>
                <w:rFonts w:hint="eastAsia" w:ascii="仿宋" w:hAnsi="仿宋" w:eastAsia="仿宋" w:cs="仿宋"/>
                <w:color w:val="000000"/>
                <w:sz w:val="18"/>
                <w:szCs w:val="18"/>
                <w:highlight w:val="none"/>
                <w:u w:val="none"/>
                <w:lang w:val="en-US" w:eastAsia="zh-CN"/>
              </w:rPr>
              <w:t>4.</w:t>
            </w:r>
            <w:r>
              <w:rPr>
                <w:rFonts w:hint="eastAsia" w:ascii="仿宋" w:hAnsi="仿宋" w:eastAsia="仿宋" w:cs="仿宋"/>
                <w:b w:val="0"/>
                <w:bCs w:val="0"/>
                <w:i w:val="0"/>
                <w:iCs w:val="0"/>
                <w:caps w:val="0"/>
                <w:color w:val="000000"/>
                <w:spacing w:val="0"/>
                <w:sz w:val="18"/>
                <w:szCs w:val="18"/>
                <w:highlight w:val="none"/>
                <w:u w:val="none"/>
                <w:shd w:val="clear"/>
              </w:rPr>
              <w:t>除渣系统</w:t>
            </w:r>
            <w:r>
              <w:rPr>
                <w:rFonts w:hint="eastAsia" w:ascii="仿宋" w:hAnsi="仿宋" w:eastAsia="仿宋" w:cs="仿宋"/>
                <w:b w:val="0"/>
                <w:bCs w:val="0"/>
                <w:i w:val="0"/>
                <w:iCs w:val="0"/>
                <w:caps w:val="0"/>
                <w:color w:val="000000"/>
                <w:spacing w:val="0"/>
                <w:sz w:val="18"/>
                <w:szCs w:val="18"/>
                <w:highlight w:val="none"/>
                <w:u w:val="none"/>
                <w:shd w:val="clear"/>
                <w:lang w:eastAsia="zh-CN"/>
              </w:rPr>
              <w:t>：</w:t>
            </w:r>
            <w:r>
              <w:rPr>
                <w:rFonts w:hint="eastAsia" w:ascii="仿宋" w:hAnsi="仿宋" w:eastAsia="仿宋" w:cs="仿宋"/>
                <w:color w:val="000000"/>
                <w:sz w:val="18"/>
                <w:szCs w:val="18"/>
                <w:highlight w:val="none"/>
                <w:u w:val="none"/>
              </w:rPr>
              <w:t>具备自动除渣功能，运行稳定可靠。</w:t>
            </w:r>
          </w:p>
          <w:p w14:paraId="1C9849F9">
            <w:pPr>
              <w:keepNext w:val="0"/>
              <w:keepLines w:val="0"/>
              <w:widowControl/>
              <w:suppressLineNumbers w:val="0"/>
              <w:jc w:val="left"/>
              <w:textAlignment w:val="center"/>
              <w:rPr>
                <w:rFonts w:hint="eastAsia" w:ascii="仿宋" w:hAnsi="仿宋" w:eastAsia="仿宋" w:cs="仿宋"/>
                <w:color w:val="000000"/>
                <w:sz w:val="18"/>
                <w:szCs w:val="18"/>
                <w:highlight w:val="none"/>
                <w:u w:val="none"/>
              </w:rPr>
            </w:pPr>
            <w:r>
              <w:rPr>
                <w:rFonts w:hint="eastAsia" w:ascii="仿宋" w:hAnsi="仿宋" w:eastAsia="仿宋" w:cs="仿宋"/>
                <w:color w:val="000000"/>
                <w:sz w:val="18"/>
                <w:szCs w:val="18"/>
                <w:highlight w:val="none"/>
                <w:u w:val="none"/>
                <w:lang w:val="en-US" w:eastAsia="zh-CN"/>
              </w:rPr>
              <w:t>5.</w:t>
            </w:r>
            <w:r>
              <w:rPr>
                <w:rFonts w:hint="eastAsia" w:ascii="仿宋" w:hAnsi="仿宋" w:eastAsia="仿宋" w:cs="仿宋"/>
                <w:b w:val="0"/>
                <w:bCs w:val="0"/>
                <w:i w:val="0"/>
                <w:iCs w:val="0"/>
                <w:caps w:val="0"/>
                <w:color w:val="000000"/>
                <w:spacing w:val="0"/>
                <w:sz w:val="18"/>
                <w:szCs w:val="18"/>
                <w:highlight w:val="none"/>
                <w:u w:val="none"/>
                <w:shd w:val="clear"/>
              </w:rPr>
              <w:t>油水分离系统</w:t>
            </w:r>
            <w:r>
              <w:rPr>
                <w:rFonts w:hint="eastAsia" w:ascii="仿宋" w:hAnsi="仿宋" w:eastAsia="仿宋" w:cs="仿宋"/>
                <w:b w:val="0"/>
                <w:bCs w:val="0"/>
                <w:i w:val="0"/>
                <w:iCs w:val="0"/>
                <w:caps w:val="0"/>
                <w:color w:val="000000"/>
                <w:spacing w:val="0"/>
                <w:sz w:val="18"/>
                <w:szCs w:val="18"/>
                <w:highlight w:val="none"/>
                <w:u w:val="none"/>
                <w:shd w:val="clear"/>
                <w:lang w:eastAsia="zh-CN"/>
              </w:rPr>
              <w:t>：</w:t>
            </w:r>
            <w:r>
              <w:rPr>
                <w:rFonts w:hint="eastAsia" w:ascii="仿宋" w:hAnsi="仿宋" w:eastAsia="仿宋" w:cs="仿宋"/>
                <w:color w:val="000000"/>
                <w:sz w:val="18"/>
                <w:szCs w:val="18"/>
                <w:highlight w:val="none"/>
                <w:u w:val="none"/>
              </w:rPr>
              <w:t>采用气浮式油水分离系统，油脂分离效果应满足使用要求。</w:t>
            </w:r>
          </w:p>
          <w:p w14:paraId="57421761">
            <w:pPr>
              <w:keepNext w:val="0"/>
              <w:keepLines w:val="0"/>
              <w:widowControl/>
              <w:suppressLineNumbers w:val="0"/>
              <w:jc w:val="left"/>
              <w:textAlignment w:val="center"/>
              <w:rPr>
                <w:rFonts w:hint="eastAsia" w:ascii="仿宋" w:hAnsi="仿宋" w:eastAsia="仿宋" w:cs="仿宋"/>
                <w:color w:val="000000"/>
                <w:sz w:val="18"/>
                <w:szCs w:val="18"/>
                <w:highlight w:val="none"/>
                <w:u w:val="none"/>
              </w:rPr>
            </w:pPr>
            <w:r>
              <w:rPr>
                <w:rFonts w:hint="eastAsia" w:ascii="仿宋" w:hAnsi="仿宋" w:eastAsia="仿宋" w:cs="仿宋"/>
                <w:color w:val="000000"/>
                <w:sz w:val="18"/>
                <w:szCs w:val="18"/>
                <w:highlight w:val="none"/>
                <w:u w:val="none"/>
                <w:lang w:val="en-US" w:eastAsia="zh-CN"/>
              </w:rPr>
              <w:t>6.</w:t>
            </w:r>
            <w:r>
              <w:rPr>
                <w:rFonts w:hint="eastAsia" w:ascii="仿宋" w:hAnsi="仿宋" w:eastAsia="仿宋" w:cs="仿宋"/>
                <w:b w:val="0"/>
                <w:bCs w:val="0"/>
                <w:i w:val="0"/>
                <w:iCs w:val="0"/>
                <w:caps w:val="0"/>
                <w:color w:val="000000"/>
                <w:spacing w:val="0"/>
                <w:sz w:val="18"/>
                <w:szCs w:val="18"/>
                <w:highlight w:val="none"/>
                <w:u w:val="none"/>
                <w:shd w:val="clear"/>
              </w:rPr>
              <w:t>污水提升系统</w:t>
            </w:r>
            <w:r>
              <w:rPr>
                <w:rFonts w:hint="eastAsia" w:ascii="仿宋" w:hAnsi="仿宋" w:eastAsia="仿宋" w:cs="仿宋"/>
                <w:b w:val="0"/>
                <w:bCs w:val="0"/>
                <w:i w:val="0"/>
                <w:iCs w:val="0"/>
                <w:caps w:val="0"/>
                <w:color w:val="000000"/>
                <w:spacing w:val="0"/>
                <w:sz w:val="18"/>
                <w:szCs w:val="18"/>
                <w:highlight w:val="none"/>
                <w:u w:val="none"/>
                <w:shd w:val="clear"/>
                <w:lang w:eastAsia="zh-CN"/>
              </w:rPr>
              <w:t>：</w:t>
            </w:r>
            <w:r>
              <w:rPr>
                <w:rFonts w:hint="eastAsia" w:ascii="仿宋" w:hAnsi="仿宋" w:eastAsia="仿宋" w:cs="仿宋"/>
                <w:color w:val="000000"/>
                <w:sz w:val="18"/>
                <w:szCs w:val="18"/>
                <w:highlight w:val="none"/>
                <w:u w:val="none"/>
              </w:rPr>
              <w:t>具备自动污水提升功能，运行稳定。</w:t>
            </w:r>
          </w:p>
          <w:p w14:paraId="4B404D5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color w:val="000000"/>
                <w:sz w:val="18"/>
                <w:szCs w:val="18"/>
                <w:highlight w:val="none"/>
                <w:u w:val="none"/>
                <w:lang w:val="en-US" w:eastAsia="zh-CN"/>
              </w:rPr>
              <w:t>7.</w:t>
            </w:r>
            <w:r>
              <w:rPr>
                <w:rFonts w:hint="eastAsia" w:ascii="仿宋" w:hAnsi="仿宋" w:eastAsia="仿宋" w:cs="仿宋"/>
                <w:b w:val="0"/>
                <w:bCs w:val="0"/>
                <w:i w:val="0"/>
                <w:iCs w:val="0"/>
                <w:caps w:val="0"/>
                <w:color w:val="000000"/>
                <w:spacing w:val="0"/>
                <w:sz w:val="18"/>
                <w:szCs w:val="18"/>
                <w:highlight w:val="none"/>
                <w:u w:val="none"/>
                <w:shd w:val="clear"/>
              </w:rPr>
              <w:t>排油系统</w:t>
            </w:r>
            <w:r>
              <w:rPr>
                <w:rFonts w:hint="eastAsia" w:ascii="仿宋" w:hAnsi="仿宋" w:eastAsia="仿宋" w:cs="仿宋"/>
                <w:i w:val="0"/>
                <w:iCs w:val="0"/>
                <w:caps w:val="0"/>
                <w:color w:val="000000"/>
                <w:spacing w:val="0"/>
                <w:sz w:val="18"/>
                <w:szCs w:val="18"/>
                <w:highlight w:val="none"/>
                <w:u w:val="none"/>
                <w:shd w:val="clear"/>
              </w:rPr>
              <w:t>：</w:t>
            </w:r>
            <w:r>
              <w:rPr>
                <w:rFonts w:hint="eastAsia" w:ascii="仿宋" w:hAnsi="仿宋" w:eastAsia="仿宋" w:cs="仿宋"/>
                <w:color w:val="000000"/>
                <w:sz w:val="18"/>
                <w:szCs w:val="18"/>
                <w:highlight w:val="none"/>
                <w:u w:val="none"/>
              </w:rPr>
              <w:t>配备可视集油排油系统，便于观察和操作。</w:t>
            </w:r>
          </w:p>
          <w:p w14:paraId="45E24988">
            <w:pPr>
              <w:keepNext w:val="0"/>
              <w:keepLines w:val="0"/>
              <w:widowControl/>
              <w:suppressLineNumbers w:val="0"/>
              <w:jc w:val="left"/>
              <w:textAlignment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二、技术参数</w:t>
            </w:r>
          </w:p>
          <w:p w14:paraId="0FCE8AE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1.处理水量:10立方/h总装机功率:6.5kw。</w:t>
            </w:r>
          </w:p>
          <w:p w14:paraId="683A39D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2.水泵数量:2台(一用一备);单泵功率:1.5KW;扬程:15m。</w:t>
            </w:r>
          </w:p>
          <w:p w14:paraId="50B81FB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3.进水管径:DN150;压力排水管径:DN80;通气管径:DN100</w:t>
            </w:r>
          </w:p>
          <w:p w14:paraId="70D03F9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4.设备材质:SUS304不锈钢，主箱体公称厚度2.0mm，隔板盖板公称厚度1.5mm</w:t>
            </w:r>
          </w:p>
          <w:p w14:paraId="0E565E8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5.设备全封闭结构，自动除渣系统.高效油水分离系统.自动污水提升系统可视集油排油系统.恒温加热系统.自动气浮系统。</w:t>
            </w:r>
          </w:p>
          <w:p w14:paraId="763481E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6.双泵配置一用一备，低液位停泵，中液位轮换启单泵，高液位双泵同启并有超高液位报警。</w:t>
            </w:r>
          </w:p>
        </w:tc>
        <w:tc>
          <w:tcPr>
            <w:tcW w:w="376" w:type="pct"/>
            <w:shd w:val="clear" w:color="auto" w:fill="auto"/>
            <w:noWrap/>
            <w:vAlign w:val="center"/>
          </w:tcPr>
          <w:p w14:paraId="7065932E">
            <w:pPr>
              <w:jc w:val="center"/>
              <w:rPr>
                <w:rFonts w:hint="eastAsia" w:ascii="仿宋" w:hAnsi="仿宋" w:eastAsia="仿宋" w:cs="仿宋"/>
                <w:b/>
                <w:bCs/>
                <w:i w:val="0"/>
                <w:iCs w:val="0"/>
                <w:color w:val="000000"/>
                <w:sz w:val="18"/>
                <w:szCs w:val="18"/>
                <w:highlight w:val="none"/>
                <w:u w:val="none"/>
                <w:lang w:eastAsia="zh-CN"/>
              </w:rPr>
            </w:pPr>
            <w:r>
              <w:rPr>
                <w:rFonts w:hint="eastAsia" w:ascii="仿宋" w:hAnsi="仿宋" w:eastAsia="仿宋" w:cs="仿宋"/>
                <w:b w:val="0"/>
                <w:bCs w:val="0"/>
                <w:i w:val="0"/>
                <w:iCs w:val="0"/>
                <w:color w:val="000000"/>
                <w:sz w:val="18"/>
                <w:szCs w:val="18"/>
                <w:highlight w:val="none"/>
                <w:u w:val="none"/>
              </w:rPr>
              <w:t>金球环保</w:t>
            </w:r>
            <w:r>
              <w:rPr>
                <w:rFonts w:hint="eastAsia" w:ascii="仿宋" w:hAnsi="仿宋" w:eastAsia="仿宋" w:cs="仿宋"/>
                <w:b w:val="0"/>
                <w:bCs w:val="0"/>
                <w:i w:val="0"/>
                <w:iCs w:val="0"/>
                <w:color w:val="000000"/>
                <w:sz w:val="18"/>
                <w:szCs w:val="18"/>
                <w:highlight w:val="none"/>
                <w:u w:val="none"/>
                <w:lang w:eastAsia="zh-CN"/>
              </w:rPr>
              <w:t>、安必思、铁山源</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33A72EF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0B8F7C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vAlign w:val="center"/>
          </w:tcPr>
          <w:p w14:paraId="642722B6">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45000</w:t>
            </w:r>
          </w:p>
        </w:tc>
        <w:tc>
          <w:tcPr>
            <w:tcW w:w="231" w:type="pct"/>
            <w:shd w:val="clear" w:color="auto" w:fill="auto"/>
            <w:noWrap/>
            <w:vAlign w:val="center"/>
          </w:tcPr>
          <w:p w14:paraId="29DA8FA6">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45000</w:t>
            </w:r>
          </w:p>
        </w:tc>
      </w:tr>
      <w:tr w14:paraId="507A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70" w:type="pct"/>
            <w:shd w:val="clear" w:color="auto" w:fill="auto"/>
            <w:noWrap/>
            <w:vAlign w:val="center"/>
          </w:tcPr>
          <w:p w14:paraId="1CE86836">
            <w:pPr>
              <w:jc w:val="center"/>
              <w:rPr>
                <w:rFonts w:hint="default" w:ascii="仿宋" w:hAnsi="仿宋" w:eastAsia="仿宋" w:cs="仿宋"/>
                <w:b/>
                <w:bCs/>
                <w:i w:val="0"/>
                <w:iCs w:val="0"/>
                <w:color w:val="000000"/>
                <w:sz w:val="18"/>
                <w:szCs w:val="18"/>
                <w:highlight w:val="none"/>
                <w:u w:val="none"/>
                <w:lang w:val="en-US" w:eastAsia="zh-CN"/>
              </w:rPr>
            </w:pPr>
            <w:r>
              <w:rPr>
                <w:rFonts w:hint="eastAsia" w:ascii="仿宋" w:hAnsi="仿宋" w:eastAsia="仿宋" w:cs="仿宋"/>
                <w:b w:val="0"/>
                <w:bCs w:val="0"/>
                <w:i w:val="0"/>
                <w:iCs w:val="0"/>
                <w:color w:val="000000"/>
                <w:sz w:val="18"/>
                <w:szCs w:val="18"/>
                <w:highlight w:val="none"/>
                <w:u w:val="none"/>
                <w:lang w:val="en-US" w:eastAsia="zh-CN"/>
              </w:rPr>
              <w:t>111</w:t>
            </w:r>
          </w:p>
        </w:tc>
        <w:tc>
          <w:tcPr>
            <w:tcW w:w="548" w:type="pct"/>
            <w:shd w:val="clear" w:color="auto" w:fill="auto"/>
            <w:vAlign w:val="center"/>
          </w:tcPr>
          <w:p w14:paraId="26CCBD7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2"/>
                <w:sz w:val="18"/>
                <w:szCs w:val="18"/>
                <w:highlight w:val="none"/>
                <w:u w:val="none"/>
                <w:lang w:val="en-US" w:eastAsia="zh-CN" w:bidi="ar"/>
              </w:rPr>
              <w:t>油水分离器平台及外排污管配套</w:t>
            </w:r>
          </w:p>
        </w:tc>
        <w:tc>
          <w:tcPr>
            <w:tcW w:w="502" w:type="pct"/>
            <w:shd w:val="clear" w:color="auto" w:fill="auto"/>
            <w:noWrap/>
            <w:vAlign w:val="center"/>
          </w:tcPr>
          <w:p w14:paraId="73025A43">
            <w:pPr>
              <w:textAlignment w:val="center"/>
              <w:rPr>
                <w:rFonts w:hint="eastAsia" w:ascii="仿宋" w:hAnsi="仿宋" w:eastAsia="仿宋" w:cs="仿宋"/>
                <w:i w:val="0"/>
                <w:iCs w:val="0"/>
                <w:color w:val="000000"/>
                <w:sz w:val="18"/>
                <w:szCs w:val="18"/>
                <w:highlight w:val="none"/>
                <w:u w:val="none"/>
              </w:rPr>
            </w:pPr>
          </w:p>
        </w:tc>
        <w:tc>
          <w:tcPr>
            <w:tcW w:w="832" w:type="pct"/>
            <w:shd w:val="clear" w:color="auto" w:fill="auto"/>
            <w:vAlign w:val="center"/>
          </w:tcPr>
          <w:p w14:paraId="006FEDAD">
            <w:pPr>
              <w:jc w:val="left"/>
              <w:textAlignment w:val="center"/>
              <w:rPr>
                <w:rFonts w:hint="eastAsia" w:ascii="仿宋" w:hAnsi="仿宋" w:eastAsia="仿宋" w:cs="仿宋"/>
                <w:b w:val="0"/>
                <w:bCs w:val="0"/>
                <w:i w:val="0"/>
                <w:iCs w:val="0"/>
                <w:color w:val="000000"/>
                <w:sz w:val="18"/>
                <w:szCs w:val="18"/>
                <w:highlight w:val="none"/>
                <w:u w:val="none"/>
              </w:rPr>
            </w:pPr>
          </w:p>
        </w:tc>
        <w:tc>
          <w:tcPr>
            <w:tcW w:w="1559" w:type="pct"/>
            <w:shd w:val="clear" w:color="auto" w:fill="auto"/>
            <w:vAlign w:val="center"/>
          </w:tcPr>
          <w:p w14:paraId="548D26F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2"/>
                <w:sz w:val="18"/>
                <w:szCs w:val="18"/>
                <w:highlight w:val="none"/>
                <w:u w:val="none"/>
                <w:lang w:val="en-US" w:eastAsia="zh-CN" w:bidi="ar"/>
              </w:rPr>
              <w:t>包含从油水分离器出到厨房外路过污水井全部工程及材料（隔油池北侧外墙开孔洞安装DN150PE管至污水管井约25米，与各类设备电源线安装、调试、接线费用。（含在原基坑底部做一个约60-100钢结构支架安装全自动油水分离器，在屋梁做一个动滑轮系统提升搬运油桶用）</w:t>
            </w:r>
          </w:p>
        </w:tc>
        <w:tc>
          <w:tcPr>
            <w:tcW w:w="376" w:type="pct"/>
            <w:shd w:val="clear" w:color="auto" w:fill="auto"/>
            <w:noWrap/>
            <w:vAlign w:val="center"/>
          </w:tcPr>
          <w:p w14:paraId="2F52C330">
            <w:pPr>
              <w:jc w:val="center"/>
              <w:rPr>
                <w:rFonts w:hint="eastAsia" w:ascii="仿宋" w:hAnsi="仿宋" w:eastAsia="仿宋" w:cs="仿宋"/>
                <w:b/>
                <w:bCs/>
                <w:i w:val="0"/>
                <w:iCs w:val="0"/>
                <w:color w:val="000000"/>
                <w:sz w:val="18"/>
                <w:szCs w:val="18"/>
                <w:highlight w:val="none"/>
                <w:u w:val="none"/>
              </w:rPr>
            </w:pPr>
          </w:p>
        </w:tc>
        <w:tc>
          <w:tcPr>
            <w:tcW w:w="216" w:type="pct"/>
            <w:shd w:val="clear" w:color="auto" w:fill="auto"/>
            <w:vAlign w:val="center"/>
          </w:tcPr>
          <w:p w14:paraId="7B5D2719">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bidi="ar"/>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D41AF79">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bidi="ar"/>
              </w:rPr>
            </w:pPr>
            <w:r>
              <w:rPr>
                <w:rFonts w:hint="eastAsia" w:ascii="仿宋" w:hAnsi="仿宋" w:eastAsia="仿宋" w:cs="仿宋"/>
                <w:i w:val="0"/>
                <w:iCs w:val="0"/>
                <w:color w:val="000000"/>
                <w:kern w:val="0"/>
                <w:sz w:val="18"/>
                <w:szCs w:val="18"/>
                <w:highlight w:val="none"/>
                <w:u w:val="none"/>
                <w:lang w:val="en-US" w:eastAsia="zh-CN" w:bidi="ar"/>
              </w:rPr>
              <w:t>项</w:t>
            </w:r>
          </w:p>
        </w:tc>
        <w:tc>
          <w:tcPr>
            <w:tcW w:w="226" w:type="pct"/>
            <w:shd w:val="clear" w:color="auto" w:fill="auto"/>
            <w:vAlign w:val="center"/>
          </w:tcPr>
          <w:p w14:paraId="5E89D039">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bidi="ar"/>
              </w:rPr>
            </w:pPr>
            <w:r>
              <w:rPr>
                <w:rFonts w:hint="eastAsia" w:ascii="仿宋" w:hAnsi="仿宋" w:eastAsia="仿宋" w:cs="仿宋"/>
                <w:b w:val="0"/>
                <w:bCs w:val="0"/>
                <w:i w:val="0"/>
                <w:iCs w:val="0"/>
                <w:color w:val="000000"/>
                <w:kern w:val="0"/>
                <w:sz w:val="18"/>
                <w:szCs w:val="18"/>
                <w:highlight w:val="none"/>
                <w:u w:val="none"/>
                <w:lang w:val="en-US" w:eastAsia="zh-CN" w:bidi="ar"/>
              </w:rPr>
              <w:t>5000</w:t>
            </w:r>
          </w:p>
        </w:tc>
        <w:tc>
          <w:tcPr>
            <w:tcW w:w="231" w:type="pct"/>
            <w:shd w:val="clear" w:color="auto" w:fill="auto"/>
            <w:noWrap/>
            <w:vAlign w:val="center"/>
          </w:tcPr>
          <w:p w14:paraId="306C665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5000</w:t>
            </w:r>
          </w:p>
        </w:tc>
      </w:tr>
      <w:tr w14:paraId="7CFC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0" w:type="pct"/>
            <w:shd w:val="clear" w:color="auto" w:fill="auto"/>
            <w:noWrap/>
            <w:vAlign w:val="center"/>
          </w:tcPr>
          <w:p w14:paraId="6D497A9F">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U</w:t>
            </w:r>
          </w:p>
        </w:tc>
        <w:tc>
          <w:tcPr>
            <w:tcW w:w="4729" w:type="pct"/>
            <w:gridSpan w:val="9"/>
            <w:shd w:val="clear" w:color="auto" w:fill="auto"/>
            <w:noWrap/>
            <w:vAlign w:val="center"/>
          </w:tcPr>
          <w:p w14:paraId="7135FE8F">
            <w:pPr>
              <w:jc w:val="left"/>
              <w:rPr>
                <w:rFonts w:hint="eastAsia" w:ascii="仿宋" w:hAnsi="仿宋" w:eastAsia="仿宋" w:cs="仿宋"/>
                <w:i w:val="0"/>
                <w:iCs w:val="0"/>
                <w:color w:val="000000"/>
                <w:sz w:val="18"/>
                <w:szCs w:val="18"/>
                <w:highlight w:val="none"/>
                <w:u w:val="none"/>
              </w:rPr>
            </w:pPr>
            <w:r>
              <w:rPr>
                <w:rStyle w:val="16"/>
                <w:rFonts w:hint="eastAsia" w:ascii="仿宋" w:hAnsi="仿宋" w:eastAsia="仿宋" w:cs="仿宋"/>
                <w:sz w:val="18"/>
                <w:szCs w:val="18"/>
                <w:highlight w:val="none"/>
                <w:lang w:val="en-US" w:eastAsia="zh-CN" w:bidi="ar"/>
              </w:rPr>
              <w:t>排烟系统一（烹饪间、蒸饭间、煲汤间、烧腊间、营养厨房、面点间）</w:t>
            </w:r>
          </w:p>
        </w:tc>
      </w:tr>
      <w:tr w14:paraId="6877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270" w:type="pct"/>
            <w:shd w:val="clear" w:color="auto" w:fill="auto"/>
            <w:noWrap/>
            <w:vAlign w:val="center"/>
          </w:tcPr>
          <w:p w14:paraId="4DA12A8B">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112</w:t>
            </w:r>
          </w:p>
        </w:tc>
        <w:tc>
          <w:tcPr>
            <w:tcW w:w="548" w:type="pct"/>
            <w:shd w:val="clear" w:color="auto" w:fill="auto"/>
            <w:vAlign w:val="center"/>
          </w:tcPr>
          <w:p w14:paraId="2A9E69D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不锈钢油网烟罩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（烹饪区）</w:t>
            </w:r>
          </w:p>
        </w:tc>
        <w:tc>
          <w:tcPr>
            <w:tcW w:w="502" w:type="pct"/>
            <w:shd w:val="clear" w:color="auto" w:fill="auto"/>
            <w:vAlign w:val="center"/>
          </w:tcPr>
          <w:p w14:paraId="3A7876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wp:posOffset>
                  </wp:positionH>
                  <wp:positionV relativeFrom="paragraph">
                    <wp:posOffset>-30480</wp:posOffset>
                  </wp:positionV>
                  <wp:extent cx="849630" cy="395605"/>
                  <wp:effectExtent l="0" t="0" r="7620" b="4445"/>
                  <wp:wrapNone/>
                  <wp:docPr id="29" name="ID_404BC73DB5E94025AC621369E1E8AB78"/>
                  <wp:cNvGraphicFramePr/>
                  <a:graphic xmlns:a="http://schemas.openxmlformats.org/drawingml/2006/main">
                    <a:graphicData uri="http://schemas.openxmlformats.org/drawingml/2006/picture">
                      <pic:pic xmlns:pic="http://schemas.openxmlformats.org/drawingml/2006/picture">
                        <pic:nvPicPr>
                          <pic:cNvPr id="29" name="ID_404BC73DB5E94025AC621369E1E8AB78"/>
                          <pic:cNvPicPr/>
                        </pic:nvPicPr>
                        <pic:blipFill>
                          <a:blip r:embed="rId75"/>
                          <a:stretch>
                            <a:fillRect/>
                          </a:stretch>
                        </pic:blipFill>
                        <pic:spPr>
                          <a:xfrm>
                            <a:off x="0" y="0"/>
                            <a:ext cx="849630" cy="395605"/>
                          </a:xfrm>
                          <a:prstGeom prst="rect">
                            <a:avLst/>
                          </a:prstGeom>
                          <a:noFill/>
                          <a:ln>
                            <a:noFill/>
                          </a:ln>
                        </pic:spPr>
                      </pic:pic>
                    </a:graphicData>
                  </a:graphic>
                </wp:anchor>
              </w:drawing>
            </w:r>
          </w:p>
        </w:tc>
        <w:tc>
          <w:tcPr>
            <w:tcW w:w="832" w:type="pct"/>
            <w:shd w:val="clear" w:color="auto" w:fill="auto"/>
            <w:vAlign w:val="center"/>
          </w:tcPr>
          <w:p w14:paraId="341D559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5600*1200*600mm</w:t>
            </w:r>
          </w:p>
        </w:tc>
        <w:tc>
          <w:tcPr>
            <w:tcW w:w="1559" w:type="pct"/>
            <w:shd w:val="clear" w:color="auto" w:fill="auto"/>
            <w:vAlign w:val="center"/>
          </w:tcPr>
          <w:p w14:paraId="3A2C99E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1.采用201#/1.2mm不锈钢板制作，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2.防漏油设计，预留排油口，配有新风槽宽度250配置专用防爆灯。</w:t>
            </w:r>
          </w:p>
        </w:tc>
        <w:tc>
          <w:tcPr>
            <w:tcW w:w="376" w:type="pct"/>
            <w:shd w:val="clear" w:color="auto" w:fill="auto"/>
            <w:noWrap/>
            <w:vAlign w:val="center"/>
          </w:tcPr>
          <w:p w14:paraId="72BC6AB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607D0D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5.6</w:t>
            </w:r>
          </w:p>
        </w:tc>
        <w:tc>
          <w:tcPr>
            <w:tcW w:w="235" w:type="pct"/>
            <w:shd w:val="clear" w:color="auto" w:fill="auto"/>
            <w:vAlign w:val="center"/>
          </w:tcPr>
          <w:p w14:paraId="45EBAF7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3FF3B00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5EA7B2B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7560</w:t>
            </w:r>
          </w:p>
        </w:tc>
      </w:tr>
      <w:tr w14:paraId="11E9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270" w:type="pct"/>
            <w:shd w:val="clear" w:color="auto" w:fill="auto"/>
            <w:noWrap/>
            <w:vAlign w:val="center"/>
          </w:tcPr>
          <w:p w14:paraId="2CD8541E">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113</w:t>
            </w:r>
          </w:p>
        </w:tc>
        <w:tc>
          <w:tcPr>
            <w:tcW w:w="548" w:type="pct"/>
            <w:shd w:val="clear" w:color="auto" w:fill="auto"/>
            <w:vAlign w:val="center"/>
          </w:tcPr>
          <w:p w14:paraId="489A99E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不锈钢油网烟罩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（营养厨房）</w:t>
            </w:r>
          </w:p>
        </w:tc>
        <w:tc>
          <w:tcPr>
            <w:tcW w:w="502" w:type="pct"/>
            <w:shd w:val="clear" w:color="auto" w:fill="auto"/>
            <w:vAlign w:val="center"/>
          </w:tcPr>
          <w:p w14:paraId="57E5B92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-12065</wp:posOffset>
                  </wp:positionH>
                  <wp:positionV relativeFrom="paragraph">
                    <wp:posOffset>-5080</wp:posOffset>
                  </wp:positionV>
                  <wp:extent cx="849630" cy="395605"/>
                  <wp:effectExtent l="0" t="0" r="7620" b="4445"/>
                  <wp:wrapNone/>
                  <wp:docPr id="70" name="ID_404BC73DB5E94025AC621369E1E8AB78"/>
                  <wp:cNvGraphicFramePr/>
                  <a:graphic xmlns:a="http://schemas.openxmlformats.org/drawingml/2006/main">
                    <a:graphicData uri="http://schemas.openxmlformats.org/drawingml/2006/picture">
                      <pic:pic xmlns:pic="http://schemas.openxmlformats.org/drawingml/2006/picture">
                        <pic:nvPicPr>
                          <pic:cNvPr id="70" name="ID_404BC73DB5E94025AC621369E1E8AB78"/>
                          <pic:cNvPicPr/>
                        </pic:nvPicPr>
                        <pic:blipFill>
                          <a:blip r:embed="rId75"/>
                          <a:stretch>
                            <a:fillRect/>
                          </a:stretch>
                        </pic:blipFill>
                        <pic:spPr>
                          <a:xfrm>
                            <a:off x="0" y="0"/>
                            <a:ext cx="849630" cy="395605"/>
                          </a:xfrm>
                          <a:prstGeom prst="rect">
                            <a:avLst/>
                          </a:prstGeom>
                          <a:noFill/>
                          <a:ln>
                            <a:noFill/>
                          </a:ln>
                        </pic:spPr>
                      </pic:pic>
                    </a:graphicData>
                  </a:graphic>
                </wp:anchor>
              </w:drawing>
            </w:r>
          </w:p>
        </w:tc>
        <w:tc>
          <w:tcPr>
            <w:tcW w:w="832" w:type="pct"/>
            <w:shd w:val="clear" w:color="auto" w:fill="auto"/>
            <w:vAlign w:val="center"/>
          </w:tcPr>
          <w:p w14:paraId="46F566D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1200*1000*600mm</w:t>
            </w:r>
          </w:p>
        </w:tc>
        <w:tc>
          <w:tcPr>
            <w:tcW w:w="1559" w:type="pct"/>
            <w:shd w:val="clear" w:color="auto" w:fill="auto"/>
            <w:vAlign w:val="center"/>
          </w:tcPr>
          <w:p w14:paraId="2ACEF38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1.采用201#/1.2mm不锈钢板制作，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2.防漏油设计，预留排油口，配有新风槽宽度250配置专用防爆灯。</w:t>
            </w:r>
          </w:p>
        </w:tc>
        <w:tc>
          <w:tcPr>
            <w:tcW w:w="376" w:type="pct"/>
            <w:shd w:val="clear" w:color="auto" w:fill="auto"/>
            <w:noWrap/>
            <w:vAlign w:val="center"/>
          </w:tcPr>
          <w:p w14:paraId="6C226655">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FCE9DA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w:t>
            </w:r>
          </w:p>
        </w:tc>
        <w:tc>
          <w:tcPr>
            <w:tcW w:w="235" w:type="pct"/>
            <w:shd w:val="clear" w:color="auto" w:fill="auto"/>
            <w:vAlign w:val="center"/>
          </w:tcPr>
          <w:p w14:paraId="049CF15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6F2D02B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6D2E119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1620</w:t>
            </w:r>
          </w:p>
        </w:tc>
      </w:tr>
      <w:tr w14:paraId="218E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270" w:type="pct"/>
            <w:shd w:val="clear" w:color="auto" w:fill="auto"/>
            <w:noWrap/>
            <w:vAlign w:val="center"/>
          </w:tcPr>
          <w:p w14:paraId="193DE1F0">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114</w:t>
            </w:r>
          </w:p>
        </w:tc>
        <w:tc>
          <w:tcPr>
            <w:tcW w:w="548" w:type="pct"/>
            <w:shd w:val="clear" w:color="auto" w:fill="auto"/>
            <w:vAlign w:val="center"/>
          </w:tcPr>
          <w:p w14:paraId="6A156D7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不锈钢油网烟罩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（烧腊间）</w:t>
            </w:r>
          </w:p>
        </w:tc>
        <w:tc>
          <w:tcPr>
            <w:tcW w:w="502" w:type="pct"/>
            <w:shd w:val="clear" w:color="auto" w:fill="auto"/>
            <w:vAlign w:val="center"/>
          </w:tcPr>
          <w:p w14:paraId="345E7E4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-13335</wp:posOffset>
                  </wp:positionH>
                  <wp:positionV relativeFrom="paragraph">
                    <wp:posOffset>-86995</wp:posOffset>
                  </wp:positionV>
                  <wp:extent cx="849630" cy="395605"/>
                  <wp:effectExtent l="0" t="0" r="7620" b="4445"/>
                  <wp:wrapNone/>
                  <wp:docPr id="144" name="ID_404BC73DB5E94025AC621369E1E8AB78"/>
                  <wp:cNvGraphicFramePr/>
                  <a:graphic xmlns:a="http://schemas.openxmlformats.org/drawingml/2006/main">
                    <a:graphicData uri="http://schemas.openxmlformats.org/drawingml/2006/picture">
                      <pic:pic xmlns:pic="http://schemas.openxmlformats.org/drawingml/2006/picture">
                        <pic:nvPicPr>
                          <pic:cNvPr id="144" name="ID_404BC73DB5E94025AC621369E1E8AB78"/>
                          <pic:cNvPicPr/>
                        </pic:nvPicPr>
                        <pic:blipFill>
                          <a:blip r:embed="rId75"/>
                          <a:stretch>
                            <a:fillRect/>
                          </a:stretch>
                        </pic:blipFill>
                        <pic:spPr>
                          <a:xfrm>
                            <a:off x="0" y="0"/>
                            <a:ext cx="849630" cy="395605"/>
                          </a:xfrm>
                          <a:prstGeom prst="rect">
                            <a:avLst/>
                          </a:prstGeom>
                          <a:noFill/>
                          <a:ln>
                            <a:noFill/>
                          </a:ln>
                        </pic:spPr>
                      </pic:pic>
                    </a:graphicData>
                  </a:graphic>
                </wp:anchor>
              </w:drawing>
            </w:r>
          </w:p>
        </w:tc>
        <w:tc>
          <w:tcPr>
            <w:tcW w:w="832" w:type="pct"/>
            <w:shd w:val="clear" w:color="auto" w:fill="auto"/>
            <w:vAlign w:val="center"/>
          </w:tcPr>
          <w:p w14:paraId="7D0331A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2600*1000*600mm</w:t>
            </w:r>
          </w:p>
        </w:tc>
        <w:tc>
          <w:tcPr>
            <w:tcW w:w="1559" w:type="pct"/>
            <w:shd w:val="clear" w:color="auto" w:fill="auto"/>
            <w:vAlign w:val="center"/>
          </w:tcPr>
          <w:p w14:paraId="09278DB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1.采用201#/1.2mm不锈钢板制作，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2.防漏油设计，预留排油口，配有新风槽宽度250配置专用防爆灯。</w:t>
            </w:r>
          </w:p>
        </w:tc>
        <w:tc>
          <w:tcPr>
            <w:tcW w:w="376" w:type="pct"/>
            <w:shd w:val="clear" w:color="auto" w:fill="auto"/>
            <w:noWrap/>
            <w:vAlign w:val="center"/>
          </w:tcPr>
          <w:p w14:paraId="36633B30">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DD223C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2.6</w:t>
            </w:r>
          </w:p>
        </w:tc>
        <w:tc>
          <w:tcPr>
            <w:tcW w:w="235" w:type="pct"/>
            <w:shd w:val="clear" w:color="auto" w:fill="auto"/>
            <w:vAlign w:val="center"/>
          </w:tcPr>
          <w:p w14:paraId="2226FA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28DFBEF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22F9ECF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3510</w:t>
            </w:r>
          </w:p>
        </w:tc>
      </w:tr>
      <w:tr w14:paraId="7ED1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270" w:type="pct"/>
            <w:shd w:val="clear" w:color="auto" w:fill="auto"/>
            <w:noWrap/>
            <w:vAlign w:val="center"/>
          </w:tcPr>
          <w:p w14:paraId="071F86ED">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115</w:t>
            </w:r>
          </w:p>
        </w:tc>
        <w:tc>
          <w:tcPr>
            <w:tcW w:w="548" w:type="pct"/>
            <w:shd w:val="clear" w:color="auto" w:fill="auto"/>
            <w:vAlign w:val="center"/>
          </w:tcPr>
          <w:p w14:paraId="389CE23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不锈钢油网烟罩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（面点间）</w:t>
            </w:r>
          </w:p>
        </w:tc>
        <w:tc>
          <w:tcPr>
            <w:tcW w:w="502" w:type="pct"/>
            <w:shd w:val="clear" w:color="auto" w:fill="auto"/>
            <w:vAlign w:val="center"/>
          </w:tcPr>
          <w:p w14:paraId="28AA0FA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-40005</wp:posOffset>
                  </wp:positionH>
                  <wp:positionV relativeFrom="paragraph">
                    <wp:posOffset>-57785</wp:posOffset>
                  </wp:positionV>
                  <wp:extent cx="849630" cy="395605"/>
                  <wp:effectExtent l="0" t="0" r="7620" b="4445"/>
                  <wp:wrapNone/>
                  <wp:docPr id="146" name="ID_404BC73DB5E94025AC621369E1E8AB78"/>
                  <wp:cNvGraphicFramePr/>
                  <a:graphic xmlns:a="http://schemas.openxmlformats.org/drawingml/2006/main">
                    <a:graphicData uri="http://schemas.openxmlformats.org/drawingml/2006/picture">
                      <pic:pic xmlns:pic="http://schemas.openxmlformats.org/drawingml/2006/picture">
                        <pic:nvPicPr>
                          <pic:cNvPr id="146" name="ID_404BC73DB5E94025AC621369E1E8AB78"/>
                          <pic:cNvPicPr/>
                        </pic:nvPicPr>
                        <pic:blipFill>
                          <a:blip r:embed="rId75"/>
                          <a:stretch>
                            <a:fillRect/>
                          </a:stretch>
                        </pic:blipFill>
                        <pic:spPr>
                          <a:xfrm>
                            <a:off x="0" y="0"/>
                            <a:ext cx="849630" cy="395605"/>
                          </a:xfrm>
                          <a:prstGeom prst="rect">
                            <a:avLst/>
                          </a:prstGeom>
                          <a:noFill/>
                          <a:ln>
                            <a:noFill/>
                          </a:ln>
                        </pic:spPr>
                      </pic:pic>
                    </a:graphicData>
                  </a:graphic>
                </wp:anchor>
              </w:drawing>
            </w:r>
          </w:p>
        </w:tc>
        <w:tc>
          <w:tcPr>
            <w:tcW w:w="832" w:type="pct"/>
            <w:shd w:val="clear" w:color="auto" w:fill="auto"/>
            <w:vAlign w:val="center"/>
          </w:tcPr>
          <w:p w14:paraId="2AFB00E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2100*1000*600mm</w:t>
            </w:r>
          </w:p>
        </w:tc>
        <w:tc>
          <w:tcPr>
            <w:tcW w:w="1559" w:type="pct"/>
            <w:shd w:val="clear" w:color="auto" w:fill="auto"/>
            <w:vAlign w:val="center"/>
          </w:tcPr>
          <w:p w14:paraId="542D434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1.采用201#/1.2mm不锈钢板制作，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2.防漏油设计，预留排油口，配有新风槽宽度250配置专用防爆灯。</w:t>
            </w:r>
          </w:p>
        </w:tc>
        <w:tc>
          <w:tcPr>
            <w:tcW w:w="376" w:type="pct"/>
            <w:shd w:val="clear" w:color="auto" w:fill="auto"/>
            <w:noWrap/>
            <w:vAlign w:val="center"/>
          </w:tcPr>
          <w:p w14:paraId="7AAECC4F">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490D4C9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6E1FEFC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7FFA022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698738A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2700</w:t>
            </w:r>
          </w:p>
        </w:tc>
      </w:tr>
      <w:tr w14:paraId="69F9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270" w:type="pct"/>
            <w:shd w:val="clear" w:color="auto" w:fill="auto"/>
            <w:noWrap/>
            <w:vAlign w:val="center"/>
          </w:tcPr>
          <w:p w14:paraId="20D61403">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116</w:t>
            </w:r>
          </w:p>
        </w:tc>
        <w:tc>
          <w:tcPr>
            <w:tcW w:w="548" w:type="pct"/>
            <w:shd w:val="clear" w:color="auto" w:fill="auto"/>
            <w:vAlign w:val="center"/>
          </w:tcPr>
          <w:p w14:paraId="213CC71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不锈钢油网烟罩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（蒸煮间）</w:t>
            </w:r>
          </w:p>
        </w:tc>
        <w:tc>
          <w:tcPr>
            <w:tcW w:w="502" w:type="pct"/>
            <w:shd w:val="clear" w:color="auto" w:fill="auto"/>
            <w:vAlign w:val="center"/>
          </w:tcPr>
          <w:p w14:paraId="596AC6D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-40005</wp:posOffset>
                  </wp:positionH>
                  <wp:positionV relativeFrom="paragraph">
                    <wp:posOffset>5080</wp:posOffset>
                  </wp:positionV>
                  <wp:extent cx="849630" cy="395605"/>
                  <wp:effectExtent l="0" t="0" r="7620" b="4445"/>
                  <wp:wrapNone/>
                  <wp:docPr id="145" name="ID_404BC73DB5E94025AC621369E1E8AB78"/>
                  <wp:cNvGraphicFramePr/>
                  <a:graphic xmlns:a="http://schemas.openxmlformats.org/drawingml/2006/main">
                    <a:graphicData uri="http://schemas.openxmlformats.org/drawingml/2006/picture">
                      <pic:pic xmlns:pic="http://schemas.openxmlformats.org/drawingml/2006/picture">
                        <pic:nvPicPr>
                          <pic:cNvPr id="145" name="ID_404BC73DB5E94025AC621369E1E8AB78"/>
                          <pic:cNvPicPr/>
                        </pic:nvPicPr>
                        <pic:blipFill>
                          <a:blip r:embed="rId75"/>
                          <a:stretch>
                            <a:fillRect/>
                          </a:stretch>
                        </pic:blipFill>
                        <pic:spPr>
                          <a:xfrm>
                            <a:off x="0" y="0"/>
                            <a:ext cx="849630" cy="395605"/>
                          </a:xfrm>
                          <a:prstGeom prst="rect">
                            <a:avLst/>
                          </a:prstGeom>
                          <a:noFill/>
                          <a:ln>
                            <a:noFill/>
                          </a:ln>
                        </pic:spPr>
                      </pic:pic>
                    </a:graphicData>
                  </a:graphic>
                </wp:anchor>
              </w:drawing>
            </w:r>
          </w:p>
        </w:tc>
        <w:tc>
          <w:tcPr>
            <w:tcW w:w="832" w:type="pct"/>
            <w:shd w:val="clear" w:color="auto" w:fill="auto"/>
            <w:vAlign w:val="center"/>
          </w:tcPr>
          <w:p w14:paraId="3694E13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7800*1200*600mm</w:t>
            </w:r>
          </w:p>
        </w:tc>
        <w:tc>
          <w:tcPr>
            <w:tcW w:w="1559" w:type="pct"/>
            <w:shd w:val="clear" w:color="auto" w:fill="auto"/>
            <w:vAlign w:val="center"/>
          </w:tcPr>
          <w:p w14:paraId="787774C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1采用201#/1.2mm不锈钢板制作，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2.防漏油设计，预留排油口，配有新风槽宽度250配置专用防爆灯。</w:t>
            </w:r>
          </w:p>
        </w:tc>
        <w:tc>
          <w:tcPr>
            <w:tcW w:w="376" w:type="pct"/>
            <w:shd w:val="clear" w:color="auto" w:fill="auto"/>
            <w:noWrap/>
            <w:vAlign w:val="center"/>
          </w:tcPr>
          <w:p w14:paraId="3FC3185E">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9C148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7.8</w:t>
            </w:r>
          </w:p>
        </w:tc>
        <w:tc>
          <w:tcPr>
            <w:tcW w:w="235" w:type="pct"/>
            <w:shd w:val="clear" w:color="auto" w:fill="auto"/>
            <w:vAlign w:val="center"/>
          </w:tcPr>
          <w:p w14:paraId="1D8C4DB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3617BDF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3FCA24C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10530</w:t>
            </w:r>
          </w:p>
        </w:tc>
      </w:tr>
      <w:tr w14:paraId="766B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70" w:type="pct"/>
            <w:shd w:val="clear" w:color="auto" w:fill="auto"/>
            <w:noWrap/>
            <w:vAlign w:val="center"/>
          </w:tcPr>
          <w:p w14:paraId="6B197460">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117</w:t>
            </w:r>
          </w:p>
        </w:tc>
        <w:tc>
          <w:tcPr>
            <w:tcW w:w="548" w:type="pct"/>
            <w:shd w:val="clear" w:color="auto" w:fill="auto"/>
            <w:vAlign w:val="center"/>
          </w:tcPr>
          <w:p w14:paraId="35A2CE6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不锈钢烟网</w:t>
            </w:r>
          </w:p>
        </w:tc>
        <w:tc>
          <w:tcPr>
            <w:tcW w:w="502" w:type="pct"/>
            <w:shd w:val="clear" w:color="auto" w:fill="auto"/>
            <w:vAlign w:val="center"/>
          </w:tcPr>
          <w:p w14:paraId="5BEE44E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-17780</wp:posOffset>
                  </wp:positionH>
                  <wp:positionV relativeFrom="paragraph">
                    <wp:posOffset>-17145</wp:posOffset>
                  </wp:positionV>
                  <wp:extent cx="820420" cy="415290"/>
                  <wp:effectExtent l="0" t="0" r="17780" b="3810"/>
                  <wp:wrapNone/>
                  <wp:docPr id="26" name="ID_96C286A5D147478EBEE77001EB8A9935"/>
                  <wp:cNvGraphicFramePr/>
                  <a:graphic xmlns:a="http://schemas.openxmlformats.org/drawingml/2006/main">
                    <a:graphicData uri="http://schemas.openxmlformats.org/drawingml/2006/picture">
                      <pic:pic xmlns:pic="http://schemas.openxmlformats.org/drawingml/2006/picture">
                        <pic:nvPicPr>
                          <pic:cNvPr id="26" name="ID_96C286A5D147478EBEE77001EB8A9935"/>
                          <pic:cNvPicPr/>
                        </pic:nvPicPr>
                        <pic:blipFill>
                          <a:blip r:embed="rId76"/>
                          <a:stretch>
                            <a:fillRect/>
                          </a:stretch>
                        </pic:blipFill>
                        <pic:spPr>
                          <a:xfrm>
                            <a:off x="0" y="0"/>
                            <a:ext cx="820420" cy="415290"/>
                          </a:xfrm>
                          <a:prstGeom prst="rect">
                            <a:avLst/>
                          </a:prstGeom>
                          <a:noFill/>
                          <a:ln>
                            <a:noFill/>
                          </a:ln>
                        </pic:spPr>
                      </pic:pic>
                    </a:graphicData>
                  </a:graphic>
                </wp:anchor>
              </w:drawing>
            </w:r>
          </w:p>
        </w:tc>
        <w:tc>
          <w:tcPr>
            <w:tcW w:w="832" w:type="pct"/>
            <w:shd w:val="clear" w:color="auto" w:fill="auto"/>
            <w:vAlign w:val="center"/>
          </w:tcPr>
          <w:p w14:paraId="45BA2B3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与烟罩配套</w:t>
            </w:r>
          </w:p>
        </w:tc>
        <w:tc>
          <w:tcPr>
            <w:tcW w:w="1559" w:type="pct"/>
            <w:shd w:val="clear" w:color="auto" w:fill="auto"/>
            <w:vAlign w:val="center"/>
          </w:tcPr>
          <w:p w14:paraId="515C21A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采用304#1.0mm不锈钢板制作。</w:t>
            </w:r>
          </w:p>
        </w:tc>
        <w:tc>
          <w:tcPr>
            <w:tcW w:w="376" w:type="pct"/>
            <w:shd w:val="clear" w:color="auto" w:fill="auto"/>
            <w:noWrap/>
            <w:vAlign w:val="center"/>
          </w:tcPr>
          <w:p w14:paraId="2197F0F8">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27507AE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19.2</w:t>
            </w:r>
          </w:p>
        </w:tc>
        <w:tc>
          <w:tcPr>
            <w:tcW w:w="235" w:type="pct"/>
            <w:shd w:val="clear" w:color="auto" w:fill="auto"/>
            <w:vAlign w:val="center"/>
          </w:tcPr>
          <w:p w14:paraId="140661C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64854D7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280</w:t>
            </w:r>
          </w:p>
        </w:tc>
        <w:tc>
          <w:tcPr>
            <w:tcW w:w="231" w:type="pct"/>
            <w:shd w:val="clear" w:color="auto" w:fill="auto"/>
            <w:noWrap/>
            <w:vAlign w:val="center"/>
          </w:tcPr>
          <w:p w14:paraId="2076913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5376</w:t>
            </w:r>
          </w:p>
        </w:tc>
      </w:tr>
      <w:tr w14:paraId="4AC1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70" w:type="pct"/>
            <w:shd w:val="clear" w:color="auto" w:fill="auto"/>
            <w:noWrap/>
            <w:vAlign w:val="center"/>
          </w:tcPr>
          <w:p w14:paraId="645FC80B">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118</w:t>
            </w:r>
          </w:p>
        </w:tc>
        <w:tc>
          <w:tcPr>
            <w:tcW w:w="548" w:type="pct"/>
            <w:shd w:val="clear" w:color="auto" w:fill="auto"/>
            <w:vAlign w:val="center"/>
          </w:tcPr>
          <w:p w14:paraId="38DBFE0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不锈钢墙膜</w:t>
            </w:r>
          </w:p>
        </w:tc>
        <w:tc>
          <w:tcPr>
            <w:tcW w:w="502" w:type="pct"/>
            <w:shd w:val="clear" w:color="auto" w:fill="auto"/>
            <w:vAlign w:val="center"/>
          </w:tcPr>
          <w:p w14:paraId="3A9ECAC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31115</wp:posOffset>
                  </wp:positionH>
                  <wp:positionV relativeFrom="paragraph">
                    <wp:posOffset>-83820</wp:posOffset>
                  </wp:positionV>
                  <wp:extent cx="711200" cy="405765"/>
                  <wp:effectExtent l="0" t="0" r="12700" b="13335"/>
                  <wp:wrapNone/>
                  <wp:docPr id="36" name="ID_6B4EB27C6B3B485F97866343D56892FF"/>
                  <wp:cNvGraphicFramePr/>
                  <a:graphic xmlns:a="http://schemas.openxmlformats.org/drawingml/2006/main">
                    <a:graphicData uri="http://schemas.openxmlformats.org/drawingml/2006/picture">
                      <pic:pic xmlns:pic="http://schemas.openxmlformats.org/drawingml/2006/picture">
                        <pic:nvPicPr>
                          <pic:cNvPr id="36" name="ID_6B4EB27C6B3B485F97866343D56892FF"/>
                          <pic:cNvPicPr/>
                        </pic:nvPicPr>
                        <pic:blipFill>
                          <a:blip r:embed="rId77"/>
                          <a:stretch>
                            <a:fillRect/>
                          </a:stretch>
                        </pic:blipFill>
                        <pic:spPr>
                          <a:xfrm>
                            <a:off x="0" y="0"/>
                            <a:ext cx="711200" cy="405765"/>
                          </a:xfrm>
                          <a:prstGeom prst="rect">
                            <a:avLst/>
                          </a:prstGeom>
                          <a:noFill/>
                          <a:ln>
                            <a:noFill/>
                          </a:ln>
                        </pic:spPr>
                      </pic:pic>
                    </a:graphicData>
                  </a:graphic>
                </wp:anchor>
              </w:drawing>
            </w:r>
          </w:p>
        </w:tc>
        <w:tc>
          <w:tcPr>
            <w:tcW w:w="832" w:type="pct"/>
            <w:shd w:val="clear" w:color="auto" w:fill="auto"/>
            <w:vAlign w:val="center"/>
          </w:tcPr>
          <w:p w14:paraId="1B4131B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与烟罩配套</w:t>
            </w:r>
          </w:p>
        </w:tc>
        <w:tc>
          <w:tcPr>
            <w:tcW w:w="1559" w:type="pct"/>
            <w:shd w:val="clear" w:color="auto" w:fill="auto"/>
            <w:vAlign w:val="center"/>
          </w:tcPr>
          <w:p w14:paraId="021B87D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采用1.0mm不锈钢磨沙贴塑板。</w:t>
            </w:r>
          </w:p>
        </w:tc>
        <w:tc>
          <w:tcPr>
            <w:tcW w:w="376" w:type="pct"/>
            <w:shd w:val="clear" w:color="auto" w:fill="auto"/>
            <w:noWrap/>
            <w:vAlign w:val="center"/>
          </w:tcPr>
          <w:p w14:paraId="5F61C53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76A16A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19.2</w:t>
            </w:r>
          </w:p>
        </w:tc>
        <w:tc>
          <w:tcPr>
            <w:tcW w:w="235" w:type="pct"/>
            <w:shd w:val="clear" w:color="auto" w:fill="auto"/>
            <w:vAlign w:val="center"/>
          </w:tcPr>
          <w:p w14:paraId="6C6639A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22A3A46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380</w:t>
            </w:r>
          </w:p>
        </w:tc>
        <w:tc>
          <w:tcPr>
            <w:tcW w:w="231" w:type="pct"/>
            <w:shd w:val="clear" w:color="auto" w:fill="auto"/>
            <w:noWrap/>
            <w:vAlign w:val="center"/>
          </w:tcPr>
          <w:p w14:paraId="603631D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7296</w:t>
            </w:r>
          </w:p>
        </w:tc>
      </w:tr>
      <w:tr w14:paraId="22C4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trPr>
        <w:tc>
          <w:tcPr>
            <w:tcW w:w="270" w:type="pct"/>
            <w:shd w:val="clear" w:color="auto" w:fill="auto"/>
            <w:noWrap/>
            <w:vAlign w:val="center"/>
          </w:tcPr>
          <w:p w14:paraId="46A82B66">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119</w:t>
            </w:r>
          </w:p>
        </w:tc>
        <w:tc>
          <w:tcPr>
            <w:tcW w:w="548" w:type="pct"/>
            <w:shd w:val="clear" w:color="auto" w:fill="auto"/>
            <w:vAlign w:val="center"/>
          </w:tcPr>
          <w:p w14:paraId="1D7CB8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集烟管，排烟管,弯头,变接</w:t>
            </w:r>
          </w:p>
        </w:tc>
        <w:tc>
          <w:tcPr>
            <w:tcW w:w="502" w:type="pct"/>
            <w:shd w:val="clear" w:color="auto" w:fill="auto"/>
            <w:vAlign w:val="center"/>
          </w:tcPr>
          <w:p w14:paraId="75E62AA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71120</wp:posOffset>
                  </wp:positionH>
                  <wp:positionV relativeFrom="paragraph">
                    <wp:posOffset>-34925</wp:posOffset>
                  </wp:positionV>
                  <wp:extent cx="594360" cy="344170"/>
                  <wp:effectExtent l="0" t="0" r="15240" b="17780"/>
                  <wp:wrapNone/>
                  <wp:docPr id="59" name="ID_048940280E0F49C5B2DC8A79390D9301"/>
                  <wp:cNvGraphicFramePr/>
                  <a:graphic xmlns:a="http://schemas.openxmlformats.org/drawingml/2006/main">
                    <a:graphicData uri="http://schemas.openxmlformats.org/drawingml/2006/picture">
                      <pic:pic xmlns:pic="http://schemas.openxmlformats.org/drawingml/2006/picture">
                        <pic:nvPicPr>
                          <pic:cNvPr id="59" name="ID_048940280E0F49C5B2DC8A79390D9301"/>
                          <pic:cNvPicPr/>
                        </pic:nvPicPr>
                        <pic:blipFill>
                          <a:blip r:embed="rId78"/>
                          <a:stretch>
                            <a:fillRect/>
                          </a:stretch>
                        </pic:blipFill>
                        <pic:spPr>
                          <a:xfrm>
                            <a:off x="0" y="0"/>
                            <a:ext cx="594360" cy="344170"/>
                          </a:xfrm>
                          <a:prstGeom prst="rect">
                            <a:avLst/>
                          </a:prstGeom>
                          <a:noFill/>
                          <a:ln>
                            <a:noFill/>
                          </a:ln>
                        </pic:spPr>
                      </pic:pic>
                    </a:graphicData>
                  </a:graphic>
                </wp:anchor>
              </w:drawing>
            </w:r>
          </w:p>
        </w:tc>
        <w:tc>
          <w:tcPr>
            <w:tcW w:w="832" w:type="pct"/>
            <w:shd w:val="clear" w:color="auto" w:fill="auto"/>
            <w:vAlign w:val="center"/>
          </w:tcPr>
          <w:p w14:paraId="7F26D69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根据风管，风机，净化器尺寸定制</w:t>
            </w:r>
          </w:p>
        </w:tc>
        <w:tc>
          <w:tcPr>
            <w:tcW w:w="1559" w:type="pct"/>
            <w:shd w:val="clear" w:color="auto" w:fill="auto"/>
            <w:vAlign w:val="center"/>
          </w:tcPr>
          <w:p w14:paraId="7D1C75F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1.采用热镀锌板0.8mm厚制作。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2.采用强力双面胶加固，专用防震胶固定。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3.内部打满玻璃胶防止漏油。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4、含A级40MM防火离心玻璃棉222m²（华美牌）。</w:t>
            </w:r>
          </w:p>
        </w:tc>
        <w:tc>
          <w:tcPr>
            <w:tcW w:w="376" w:type="pct"/>
            <w:shd w:val="clear" w:color="auto" w:fill="auto"/>
            <w:noWrap/>
            <w:vAlign w:val="center"/>
          </w:tcPr>
          <w:p w14:paraId="1CAE9DEF">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61CFCEB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222</w:t>
            </w:r>
          </w:p>
        </w:tc>
        <w:tc>
          <w:tcPr>
            <w:tcW w:w="235" w:type="pct"/>
            <w:shd w:val="clear" w:color="auto" w:fill="auto"/>
            <w:vAlign w:val="center"/>
          </w:tcPr>
          <w:p w14:paraId="66CB715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m²</w:t>
            </w:r>
          </w:p>
        </w:tc>
        <w:tc>
          <w:tcPr>
            <w:tcW w:w="226" w:type="pct"/>
            <w:shd w:val="clear" w:color="auto" w:fill="auto"/>
            <w:noWrap/>
            <w:vAlign w:val="center"/>
          </w:tcPr>
          <w:p w14:paraId="20F8B56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308</w:t>
            </w:r>
          </w:p>
        </w:tc>
        <w:tc>
          <w:tcPr>
            <w:tcW w:w="231" w:type="pct"/>
            <w:shd w:val="clear" w:color="auto" w:fill="auto"/>
            <w:noWrap/>
            <w:vAlign w:val="center"/>
          </w:tcPr>
          <w:p w14:paraId="5FDDE7F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68376</w:t>
            </w:r>
          </w:p>
        </w:tc>
      </w:tr>
      <w:tr w14:paraId="303D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noWrap/>
            <w:vAlign w:val="center"/>
          </w:tcPr>
          <w:p w14:paraId="761A39C7">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120</w:t>
            </w:r>
          </w:p>
        </w:tc>
        <w:tc>
          <w:tcPr>
            <w:tcW w:w="548" w:type="pct"/>
            <w:shd w:val="clear" w:color="auto" w:fill="auto"/>
            <w:vAlign w:val="center"/>
          </w:tcPr>
          <w:p w14:paraId="496A75E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低空油烟净化器</w:t>
            </w:r>
          </w:p>
        </w:tc>
        <w:tc>
          <w:tcPr>
            <w:tcW w:w="502" w:type="pct"/>
            <w:shd w:val="clear" w:color="auto" w:fill="auto"/>
            <w:noWrap/>
            <w:vAlign w:val="center"/>
          </w:tcPr>
          <w:p w14:paraId="195F81E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635</wp:posOffset>
                  </wp:positionH>
                  <wp:positionV relativeFrom="paragraph">
                    <wp:posOffset>149860</wp:posOffset>
                  </wp:positionV>
                  <wp:extent cx="755015" cy="856615"/>
                  <wp:effectExtent l="0" t="0" r="6985" b="635"/>
                  <wp:wrapNone/>
                  <wp:docPr id="34" name="ID_DBCF664CCF6C419B89815081B22ED4A2"/>
                  <wp:cNvGraphicFramePr/>
                  <a:graphic xmlns:a="http://schemas.openxmlformats.org/drawingml/2006/main">
                    <a:graphicData uri="http://schemas.openxmlformats.org/drawingml/2006/picture">
                      <pic:pic xmlns:pic="http://schemas.openxmlformats.org/drawingml/2006/picture">
                        <pic:nvPicPr>
                          <pic:cNvPr id="34" name="ID_DBCF664CCF6C419B89815081B22ED4A2"/>
                          <pic:cNvPicPr/>
                        </pic:nvPicPr>
                        <pic:blipFill>
                          <a:blip r:embed="rId79"/>
                          <a:stretch>
                            <a:fillRect/>
                          </a:stretch>
                        </pic:blipFill>
                        <pic:spPr>
                          <a:xfrm>
                            <a:off x="0" y="0"/>
                            <a:ext cx="755015" cy="856615"/>
                          </a:xfrm>
                          <a:prstGeom prst="rect">
                            <a:avLst/>
                          </a:prstGeom>
                          <a:noFill/>
                          <a:ln>
                            <a:noFill/>
                          </a:ln>
                        </pic:spPr>
                      </pic:pic>
                    </a:graphicData>
                  </a:graphic>
                </wp:anchor>
              </w:drawing>
            </w:r>
          </w:p>
        </w:tc>
        <w:tc>
          <w:tcPr>
            <w:tcW w:w="832" w:type="pct"/>
            <w:shd w:val="clear" w:color="auto" w:fill="auto"/>
            <w:noWrap/>
            <w:vAlign w:val="center"/>
          </w:tcPr>
          <w:p w14:paraId="5009B8E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5B0C20A4">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1、处理风量：</w:t>
            </w:r>
            <w:r>
              <w:rPr>
                <w:rFonts w:hint="eastAsia" w:ascii="仿宋" w:hAnsi="仿宋" w:eastAsia="仿宋" w:cs="仿宋"/>
                <w:color w:val="000000"/>
                <w:kern w:val="0"/>
                <w:sz w:val="18"/>
                <w:szCs w:val="18"/>
                <w:highlight w:val="none"/>
                <w:u w:val="none"/>
                <w:lang w:bidi="ar"/>
              </w:rPr>
              <w:t>须与屋面现有排风机风量匹配，处理风量≥30000 m³/h</w:t>
            </w:r>
          </w:p>
          <w:p w14:paraId="7199C8F1">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2.功率约：1800W/220V</w:t>
            </w:r>
          </w:p>
          <w:p w14:paraId="508ECB04">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3.采用1.3mm不锈钢材质外壳</w:t>
            </w:r>
          </w:p>
          <w:p w14:paraId="01B3F585">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4.油烟净化率97%以上</w:t>
            </w:r>
          </w:p>
          <w:p w14:paraId="31B2ABAF">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5.控制箱体防护等级：≥IP66</w:t>
            </w:r>
          </w:p>
          <w:p w14:paraId="2FE6AE1D">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6、采用1.3mm航空级铝材质电场，耐火焰测试，板式结构，高低压复合电场，耐温度变化，避免出风口带静电；</w:t>
            </w:r>
          </w:p>
          <w:p w14:paraId="4DD96C77">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7.智能控制板，耐高温，防腐蚀，具有：防雷击、防起火、防漏电、短路、缺相、清洗提示等功能；</w:t>
            </w:r>
          </w:p>
          <w:p w14:paraId="508DCB04">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8.废油自动回流设计，避免沉积，清洗周期长；</w:t>
            </w:r>
          </w:p>
          <w:p w14:paraId="4CDC04C7">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9.线路卡槽式设计，多功能电源控制板，防火、耐腐蚀；</w:t>
            </w:r>
          </w:p>
          <w:p w14:paraId="1F50248C">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10.耐高温控制保护系统，可长时间运行；</w:t>
            </w:r>
          </w:p>
          <w:p w14:paraId="670166F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11.电场、显示屏、陶瓷组件符合限用物质要求，整机防碰撞设计；</w:t>
            </w:r>
          </w:p>
          <w:p w14:paraId="63F88B6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★12.机械碰撞防护：所投产品外壳须符合GB/T20138-2023《电器设备外壳对外界机械碰撞的防护等级(IK代码)》标准的要求，按照标准规定的方法试验，防护等级须达到IK08响应文件中须提供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（须清晰显示机械碰撞防护等级判定结果</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p w14:paraId="0B7D9DD2">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★13.高温试验：所投产品控制系统符合GB/T2423.2-2008标准的要求，试验温度≥70℃，持续时间：≥200h；试验后整机各项功能显示及运行正常，检测结果合格。响应文件须中提供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color w:val="000000"/>
                <w:kern w:val="0"/>
                <w:sz w:val="18"/>
                <w:szCs w:val="18"/>
                <w:highlight w:val="none"/>
                <w:u w:val="none"/>
                <w:shd w:val="clear" w:fill="auto"/>
                <w:lang w:bidi="ar"/>
              </w:rPr>
              <w:t>（须清晰显示高温试验条件、持续时间及试验后功能检查结果与符合性判定</w:t>
            </w:r>
            <w:r>
              <w:rPr>
                <w:rFonts w:hint="eastAsia" w:ascii="仿宋" w:hAnsi="仿宋" w:eastAsia="仿宋" w:cs="仿宋"/>
                <w:color w:val="000000"/>
                <w:kern w:val="0"/>
                <w:sz w:val="18"/>
                <w:szCs w:val="18"/>
                <w:highlight w:val="none"/>
                <w:u w:val="none"/>
                <w:shd w:val="clear" w:fill="auto"/>
                <w:lang w:eastAsia="zh-CN" w:bidi="ar"/>
              </w:rPr>
              <w:t>，</w:t>
            </w:r>
            <w:r>
              <w:rPr>
                <w:rFonts w:hint="eastAsia" w:ascii="仿宋" w:hAnsi="仿宋" w:eastAsia="仿宋" w:cs="仿宋"/>
                <w:color w:val="000000"/>
                <w:kern w:val="0"/>
                <w:sz w:val="18"/>
                <w:szCs w:val="18"/>
                <w:highlight w:val="none"/>
                <w:u w:val="none"/>
                <w:shd w:val="clear" w:fill="auto"/>
                <w:lang w:val="en-US" w:eastAsia="zh-CN" w:bidi="ar"/>
              </w:rPr>
              <w:t>并载明检测依据</w:t>
            </w:r>
            <w:r>
              <w:rPr>
                <w:rFonts w:hint="eastAsia" w:ascii="仿宋" w:hAnsi="仿宋" w:eastAsia="仿宋" w:cs="仿宋"/>
                <w:color w:val="00000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p w14:paraId="254C232E">
            <w:pPr>
              <w:rPr>
                <w:highlight w:val="none"/>
              </w:rPr>
            </w:pPr>
          </w:p>
          <w:p w14:paraId="18C3AC65">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★14.</w:t>
            </w:r>
            <w:r>
              <w:rPr>
                <w:rFonts w:ascii="Segoe UI" w:hAnsi="Segoe UI" w:eastAsia="Segoe UI" w:cs="Segoe UI"/>
                <w:b/>
                <w:bCs/>
                <w:i w:val="0"/>
                <w:iCs w:val="0"/>
                <w:caps w:val="0"/>
                <w:color w:val="0F1115"/>
                <w:spacing w:val="0"/>
                <w:sz w:val="24"/>
                <w:szCs w:val="24"/>
                <w:highlight w:val="none"/>
                <w:shd w:val="clear" w:fill="FFFFFF"/>
              </w:rPr>
              <w:t> </w:t>
            </w:r>
            <w:r>
              <w:rPr>
                <w:rFonts w:hint="eastAsia" w:ascii="仿宋" w:hAnsi="仿宋" w:eastAsia="仿宋" w:cs="仿宋"/>
                <w:b w:val="0"/>
                <w:bCs w:val="0"/>
                <w:i w:val="0"/>
                <w:iCs w:val="0"/>
                <w:caps w:val="0"/>
                <w:color w:val="000000"/>
                <w:spacing w:val="0"/>
                <w:kern w:val="0"/>
                <w:sz w:val="18"/>
                <w:szCs w:val="18"/>
                <w:highlight w:val="none"/>
                <w:u w:val="none"/>
                <w:shd w:val="clear"/>
                <w:lang w:bidi="ar"/>
              </w:rPr>
              <w:t>电场针焰试验</w:t>
            </w:r>
            <w:r>
              <w:rPr>
                <w:rFonts w:hint="eastAsia" w:ascii="仿宋" w:hAnsi="仿宋" w:eastAsia="仿宋" w:cs="仿宋"/>
                <w:b w:val="0"/>
                <w:bCs w:val="0"/>
                <w:i w:val="0"/>
                <w:iCs w:val="0"/>
                <w:caps w:val="0"/>
                <w:color w:val="000000"/>
                <w:spacing w:val="0"/>
                <w:kern w:val="0"/>
                <w:sz w:val="18"/>
                <w:szCs w:val="18"/>
                <w:highlight w:val="none"/>
                <w:u w:val="none"/>
                <w:shd w:val="clear"/>
                <w:lang w:eastAsia="zh-CN" w:bidi="ar"/>
              </w:rPr>
              <w:t>：</w:t>
            </w:r>
            <w:r>
              <w:rPr>
                <w:rFonts w:hint="eastAsia" w:ascii="仿宋" w:hAnsi="仿宋" w:eastAsia="仿宋" w:cs="仿宋"/>
                <w:b w:val="0"/>
                <w:bCs w:val="0"/>
                <w:i w:val="0"/>
                <w:iCs w:val="0"/>
                <w:caps w:val="0"/>
                <w:color w:val="000000"/>
                <w:spacing w:val="0"/>
                <w:kern w:val="0"/>
                <w:sz w:val="18"/>
                <w:szCs w:val="18"/>
                <w:highlight w:val="none"/>
                <w:u w:val="none"/>
                <w:shd w:val="clear"/>
                <w:lang w:val="en-US" w:eastAsia="zh-CN" w:bidi="ar"/>
              </w:rPr>
              <w:t>所投产品</w:t>
            </w:r>
            <w:r>
              <w:rPr>
                <w:rFonts w:hint="eastAsia" w:ascii="仿宋" w:hAnsi="仿宋" w:eastAsia="仿宋" w:cs="仿宋"/>
                <w:i w:val="0"/>
                <w:iCs w:val="0"/>
                <w:color w:val="000000"/>
                <w:kern w:val="0"/>
                <w:sz w:val="18"/>
                <w:szCs w:val="18"/>
                <w:highlight w:val="none"/>
                <w:u w:val="none"/>
                <w:lang w:val="en-US" w:eastAsia="zh-CN" w:bidi="ar"/>
              </w:rPr>
              <w:t>电场须符合GB/T5169.5-2020标准的要求，施加试验火焰持续时间ta为10s，移开针焰后,试样和周围的零部件的火焰或灼热在30s之内熄灭，即tb&lt;30s，而且周围的零部件没有完全烧毁以及规定的铺底层没有起燃，检测结果判定为合格。响应文件中</w:t>
            </w:r>
            <w:r>
              <w:rPr>
                <w:rFonts w:hint="eastAsia" w:ascii="仿宋" w:hAnsi="仿宋" w:eastAsia="仿宋" w:cs="仿宋"/>
                <w:i w:val="0"/>
                <w:iCs w:val="0"/>
                <w:caps w:val="0"/>
                <w:color w:val="000000"/>
                <w:spacing w:val="0"/>
                <w:kern w:val="0"/>
                <w:sz w:val="18"/>
                <w:szCs w:val="18"/>
                <w:highlight w:val="none"/>
                <w:u w:val="none"/>
                <w:shd w:val="clear"/>
                <w:lang w:bidi="ar"/>
              </w:rPr>
              <w:t>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（须清晰显示针焰</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ta值</w:t>
            </w:r>
            <w:r>
              <w:rPr>
                <w:rFonts w:hint="eastAsia" w:ascii="仿宋" w:hAnsi="仿宋" w:eastAsia="仿宋" w:cs="仿宋"/>
                <w:i w:val="0"/>
                <w:iCs w:val="0"/>
                <w:caps w:val="0"/>
                <w:color w:val="000000"/>
                <w:spacing w:val="0"/>
                <w:kern w:val="0"/>
                <w:sz w:val="18"/>
                <w:szCs w:val="18"/>
                <w:highlight w:val="none"/>
                <w:u w:val="none"/>
                <w:shd w:val="clear"/>
                <w:lang w:bidi="ar"/>
              </w:rPr>
              <w:t>、tb实测值及判定结论</w:t>
            </w:r>
            <w:r>
              <w:rPr>
                <w:rFonts w:hint="eastAsia" w:ascii="仿宋" w:hAnsi="仿宋" w:eastAsia="仿宋" w:cs="仿宋"/>
                <w:color w:val="000000"/>
                <w:kern w:val="0"/>
                <w:sz w:val="18"/>
                <w:szCs w:val="18"/>
                <w:highlight w:val="none"/>
                <w:u w:val="none"/>
                <w:shd w:val="clear" w:fill="auto"/>
                <w:lang w:val="en-US" w:eastAsia="zh-CN" w:bidi="ar"/>
              </w:rPr>
              <w:t>并载明检测依据</w:t>
            </w:r>
            <w:r>
              <w:rPr>
                <w:rFonts w:hint="eastAsia" w:ascii="仿宋" w:hAnsi="仿宋" w:eastAsia="仿宋" w:cs="仿宋"/>
                <w:color w:val="00000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p w14:paraId="5DCBA88B">
            <w:pPr>
              <w:rPr>
                <w:highlight w:val="none"/>
              </w:rPr>
            </w:pPr>
          </w:p>
          <w:p w14:paraId="0648962E">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★15.</w:t>
            </w:r>
            <w:r>
              <w:rPr>
                <w:rFonts w:hint="eastAsia" w:ascii="仿宋" w:hAnsi="仿宋" w:eastAsia="仿宋" w:cs="仿宋"/>
                <w:b w:val="0"/>
                <w:bCs w:val="0"/>
                <w:i w:val="0"/>
                <w:iCs w:val="0"/>
                <w:caps w:val="0"/>
                <w:color w:val="000000"/>
                <w:spacing w:val="0"/>
                <w:kern w:val="0"/>
                <w:sz w:val="18"/>
                <w:szCs w:val="18"/>
                <w:highlight w:val="none"/>
                <w:u w:val="none"/>
                <w:shd w:val="clear"/>
                <w:lang w:bidi="ar"/>
              </w:rPr>
              <w:t>控制板针焰试验</w:t>
            </w:r>
            <w:r>
              <w:rPr>
                <w:rFonts w:hint="eastAsia" w:ascii="仿宋" w:hAnsi="仿宋" w:eastAsia="仿宋" w:cs="仿宋"/>
                <w:b w:val="0"/>
                <w:bCs w:val="0"/>
                <w:i w:val="0"/>
                <w:iCs w:val="0"/>
                <w:caps w:val="0"/>
                <w:color w:val="000000"/>
                <w:spacing w:val="0"/>
                <w:kern w:val="0"/>
                <w:sz w:val="18"/>
                <w:szCs w:val="18"/>
                <w:highlight w:val="none"/>
                <w:u w:val="none"/>
                <w:shd w:val="clear"/>
                <w:lang w:eastAsia="zh-CN" w:bidi="ar"/>
              </w:rPr>
              <w:t>：</w:t>
            </w:r>
            <w:r>
              <w:rPr>
                <w:rFonts w:hint="eastAsia" w:ascii="仿宋" w:hAnsi="仿宋" w:eastAsia="仿宋" w:cs="仿宋"/>
                <w:b w:val="0"/>
                <w:bCs w:val="0"/>
                <w:i w:val="0"/>
                <w:iCs w:val="0"/>
                <w:caps w:val="0"/>
                <w:color w:val="000000"/>
                <w:spacing w:val="0"/>
                <w:kern w:val="0"/>
                <w:sz w:val="18"/>
                <w:szCs w:val="18"/>
                <w:highlight w:val="none"/>
                <w:u w:val="none"/>
                <w:shd w:val="clear"/>
                <w:lang w:val="en-US" w:eastAsia="zh-CN" w:bidi="ar"/>
              </w:rPr>
              <w:t>所投</w:t>
            </w:r>
            <w:r>
              <w:rPr>
                <w:rFonts w:hint="eastAsia" w:ascii="仿宋" w:hAnsi="仿宋" w:eastAsia="仿宋" w:cs="仿宋"/>
                <w:i w:val="0"/>
                <w:iCs w:val="0"/>
                <w:color w:val="000000"/>
                <w:kern w:val="0"/>
                <w:sz w:val="18"/>
                <w:szCs w:val="18"/>
                <w:highlight w:val="none"/>
                <w:u w:val="none"/>
                <w:lang w:val="en-US" w:eastAsia="zh-CN" w:bidi="ar"/>
              </w:rPr>
              <w:t>产品控制板须符合GB/T 5169.5-2020《电工电子产品着火危险试验第5部分:试验火焰针焰试验方法装置、确认试验方法和导则》标准的要求。施加试验火焰持续时间ta为10s，在移开针焰后,试样和周围的零部件的火焰或灼热在30s之内熄灭，即tb&lt;30s，而且周围的零部件没有完全烧毁以及规定的铺底层没有起燃，</w:t>
            </w:r>
            <w:r>
              <w:rPr>
                <w:rFonts w:hint="eastAsia" w:ascii="仿宋" w:hAnsi="仿宋" w:eastAsia="仿宋" w:cs="仿宋"/>
                <w:b w:val="0"/>
                <w:bCs w:val="0"/>
                <w:i w:val="0"/>
                <w:iCs w:val="0"/>
                <w:caps w:val="0"/>
                <w:color w:val="000000"/>
                <w:spacing w:val="0"/>
                <w:kern w:val="0"/>
                <w:sz w:val="18"/>
                <w:szCs w:val="18"/>
                <w:highlight w:val="none"/>
                <w:u w:val="none"/>
                <w:shd w:val="clear"/>
                <w:lang w:val="en-US" w:eastAsia="zh-CN" w:bidi="ar"/>
              </w:rPr>
              <w:t>检测结果</w:t>
            </w:r>
            <w:r>
              <w:rPr>
                <w:rFonts w:hint="eastAsia" w:ascii="仿宋" w:hAnsi="仿宋" w:eastAsia="仿宋" w:cs="仿宋"/>
                <w:i w:val="0"/>
                <w:iCs w:val="0"/>
                <w:color w:val="000000"/>
                <w:kern w:val="0"/>
                <w:sz w:val="18"/>
                <w:szCs w:val="18"/>
                <w:highlight w:val="none"/>
                <w:u w:val="none"/>
                <w:lang w:val="en-US" w:eastAsia="zh-CN" w:bidi="ar"/>
              </w:rPr>
              <w:t>判定为合格。响应文件中</w:t>
            </w:r>
            <w:r>
              <w:rPr>
                <w:rFonts w:hint="eastAsia" w:ascii="仿宋" w:hAnsi="仿宋" w:eastAsia="仿宋" w:cs="仿宋"/>
                <w:i w:val="0"/>
                <w:iCs w:val="0"/>
                <w:caps w:val="0"/>
                <w:color w:val="000000"/>
                <w:spacing w:val="0"/>
                <w:kern w:val="0"/>
                <w:sz w:val="18"/>
                <w:szCs w:val="18"/>
                <w:highlight w:val="none"/>
                <w:u w:val="none"/>
                <w:shd w:val="clear"/>
                <w:lang w:bidi="ar"/>
              </w:rPr>
              <w:t>须提供须提供</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fill="auto"/>
                <w:lang w:bidi="ar"/>
              </w:rPr>
              <w:t>CMA</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fill="auto"/>
                <w:lang w:bidi="ar"/>
              </w:rPr>
              <w:t>检测报告</w:t>
            </w:r>
            <w:r>
              <w:rPr>
                <w:rFonts w:hint="eastAsia" w:ascii="仿宋" w:hAnsi="仿宋" w:eastAsia="仿宋" w:cs="仿宋"/>
                <w:i w:val="0"/>
                <w:iCs w:val="0"/>
                <w:caps w:val="0"/>
                <w:color w:val="000000"/>
                <w:spacing w:val="0"/>
                <w:kern w:val="0"/>
                <w:sz w:val="18"/>
                <w:szCs w:val="18"/>
                <w:highlight w:val="none"/>
                <w:u w:val="none"/>
                <w:shd w:val="clear" w:fill="auto"/>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（须清晰显示针焰</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ta值</w:t>
            </w:r>
            <w:r>
              <w:rPr>
                <w:rFonts w:hint="eastAsia" w:ascii="仿宋" w:hAnsi="仿宋" w:eastAsia="仿宋" w:cs="仿宋"/>
                <w:i w:val="0"/>
                <w:iCs w:val="0"/>
                <w:caps w:val="0"/>
                <w:color w:val="000000"/>
                <w:spacing w:val="0"/>
                <w:kern w:val="0"/>
                <w:sz w:val="18"/>
                <w:szCs w:val="18"/>
                <w:highlight w:val="none"/>
                <w:u w:val="none"/>
                <w:shd w:val="clear"/>
                <w:lang w:bidi="ar"/>
              </w:rPr>
              <w:t>、tb实测值及判定结论</w:t>
            </w:r>
            <w:r>
              <w:rPr>
                <w:rFonts w:hint="eastAsia" w:ascii="仿宋" w:hAnsi="仿宋" w:eastAsia="仿宋" w:cs="仿宋"/>
                <w:color w:val="000000"/>
                <w:kern w:val="0"/>
                <w:sz w:val="18"/>
                <w:szCs w:val="18"/>
                <w:highlight w:val="none"/>
                <w:u w:val="none"/>
                <w:shd w:val="clear" w:fill="auto"/>
                <w:lang w:val="en-US" w:eastAsia="zh-CN" w:bidi="ar"/>
              </w:rPr>
              <w:t>并载明检测依据</w:t>
            </w:r>
            <w:r>
              <w:rPr>
                <w:rFonts w:hint="eastAsia" w:ascii="仿宋" w:hAnsi="仿宋" w:eastAsia="仿宋" w:cs="仿宋"/>
                <w:color w:val="000000"/>
                <w:kern w:val="0"/>
                <w:sz w:val="18"/>
                <w:szCs w:val="18"/>
                <w:highlight w:val="none"/>
                <w:u w:val="none"/>
                <w:shd w:val="clear" w:fill="auto"/>
                <w:lang w:bidi="ar"/>
              </w:rPr>
              <w:t>）</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p w14:paraId="1EC9612F">
            <w:pPr>
              <w:keepNext w:val="0"/>
              <w:keepLines w:val="0"/>
              <w:widowControl/>
              <w:suppressLineNumbers w:val="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★16.</w:t>
            </w:r>
            <w:r>
              <w:rPr>
                <w:rFonts w:hint="eastAsia" w:ascii="仿宋" w:hAnsi="仿宋" w:eastAsia="仿宋" w:cs="仿宋"/>
                <w:b w:val="0"/>
                <w:bCs w:val="0"/>
                <w:i w:val="0"/>
                <w:iCs w:val="0"/>
                <w:caps w:val="0"/>
                <w:color w:val="000000"/>
                <w:spacing w:val="0"/>
                <w:kern w:val="0"/>
                <w:sz w:val="18"/>
                <w:szCs w:val="18"/>
                <w:highlight w:val="none"/>
                <w:u w:val="none"/>
                <w:shd w:val="clear"/>
                <w:lang w:bidi="ar"/>
              </w:rPr>
              <w:t>有害物质限量</w:t>
            </w:r>
            <w:r>
              <w:rPr>
                <w:rFonts w:hint="eastAsia" w:ascii="仿宋" w:hAnsi="仿宋" w:eastAsia="仿宋" w:cs="仿宋"/>
                <w:b w:val="0"/>
                <w:bCs w:val="0"/>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olor w:val="000000"/>
                <w:kern w:val="0"/>
                <w:sz w:val="18"/>
                <w:szCs w:val="18"/>
                <w:highlight w:val="none"/>
                <w:u w:val="none"/>
                <w:lang w:val="en-US" w:eastAsia="zh-CN" w:bidi="ar"/>
              </w:rPr>
              <w:t>所投产品电场、显示屏、陶瓷组件等部件需依据GB/T39560.301-2020《电子电气产品中某些物质的测定第3-1部分：X射线荧光光谱法筛选铅、汞、镉、总铬和总溴》标准进行检测，</w:t>
            </w:r>
            <w:r>
              <w:rPr>
                <w:rFonts w:hint="eastAsia" w:ascii="仿宋" w:hAnsi="仿宋" w:eastAsia="仿宋" w:cs="仿宋"/>
                <w:i w:val="0"/>
                <w:iCs w:val="0"/>
                <w:caps w:val="0"/>
                <w:color w:val="000000"/>
                <w:spacing w:val="0"/>
                <w:kern w:val="0"/>
                <w:sz w:val="18"/>
                <w:szCs w:val="18"/>
                <w:highlight w:val="none"/>
                <w:u w:val="none"/>
                <w:shd w:val="clear"/>
                <w:lang w:bidi="ar"/>
              </w:rPr>
              <w:t>检测部件须至少包括：</w:t>
            </w:r>
            <w:r>
              <w:rPr>
                <w:rFonts w:hint="eastAsia" w:ascii="仿宋" w:hAnsi="仿宋" w:eastAsia="仿宋" w:cs="仿宋"/>
                <w:i w:val="0"/>
                <w:iCs w:val="0"/>
                <w:color w:val="000000"/>
                <w:kern w:val="0"/>
                <w:sz w:val="18"/>
                <w:szCs w:val="18"/>
                <w:highlight w:val="none"/>
                <w:u w:val="none"/>
                <w:lang w:val="en-US" w:eastAsia="zh-CN" w:bidi="ar"/>
              </w:rPr>
              <w:t>陶瓷支撑件、散热片、支撑铝柱、显示屏上封胶条、导光片有机玻璃层、弹簧、陶瓷组件陶瓷柱、陶瓷组件蓝色坐垫。依据GB/T26572-2011</w:t>
            </w:r>
            <w:r>
              <w:rPr>
                <w:rFonts w:hint="eastAsia" w:ascii="仿宋" w:hAnsi="仿宋" w:eastAsia="仿宋" w:cs="仿宋"/>
                <w:b w:val="0"/>
                <w:bCs w:val="0"/>
                <w:i w:val="0"/>
                <w:iCs w:val="0"/>
                <w:caps w:val="0"/>
                <w:color w:val="000000"/>
                <w:spacing w:val="0"/>
                <w:kern w:val="0"/>
                <w:sz w:val="18"/>
                <w:szCs w:val="18"/>
                <w:highlight w:val="none"/>
                <w:u w:val="none"/>
                <w:shd w:val="clear"/>
                <w:lang w:bidi="ar"/>
              </w:rPr>
              <w:t>及第1号修改单</w:t>
            </w:r>
            <w:r>
              <w:rPr>
                <w:rFonts w:hint="eastAsia" w:ascii="仿宋" w:hAnsi="仿宋" w:eastAsia="仿宋" w:cs="仿宋"/>
                <w:i w:val="0"/>
                <w:iCs w:val="0"/>
                <w:color w:val="000000"/>
                <w:kern w:val="0"/>
                <w:sz w:val="18"/>
                <w:szCs w:val="18"/>
                <w:highlight w:val="none"/>
                <w:u w:val="none"/>
                <w:lang w:val="en-US" w:eastAsia="zh-CN" w:bidi="ar"/>
              </w:rPr>
              <w:t>的要求，</w:t>
            </w:r>
            <w:r>
              <w:rPr>
                <w:rFonts w:hint="eastAsia" w:ascii="仿宋" w:hAnsi="仿宋" w:eastAsia="仿宋" w:cs="仿宋"/>
                <w:b w:val="0"/>
                <w:bCs w:val="0"/>
                <w:i w:val="0"/>
                <w:iCs w:val="0"/>
                <w:caps w:val="0"/>
                <w:color w:val="000000"/>
                <w:spacing w:val="0"/>
                <w:kern w:val="0"/>
                <w:sz w:val="18"/>
                <w:szCs w:val="18"/>
                <w:highlight w:val="none"/>
                <w:u w:val="none"/>
                <w:shd w:val="clear"/>
                <w:lang w:bidi="ar"/>
              </w:rPr>
              <w:t>10项</w:t>
            </w:r>
            <w:r>
              <w:rPr>
                <w:rFonts w:hint="eastAsia" w:ascii="仿宋" w:hAnsi="仿宋" w:eastAsia="仿宋" w:cs="仿宋"/>
                <w:i w:val="0"/>
                <w:iCs w:val="0"/>
                <w:caps w:val="0"/>
                <w:color w:val="000000"/>
                <w:spacing w:val="0"/>
                <w:kern w:val="0"/>
                <w:sz w:val="18"/>
                <w:szCs w:val="18"/>
                <w:highlight w:val="none"/>
                <w:u w:val="none"/>
                <w:shd w:val="clear"/>
                <w:lang w:bidi="ar"/>
              </w:rPr>
              <w:t>有害物质（铅、汞、镉、六价铬、多溴联苯、多溴二苯醚（十溴二苯醚除外）、邻苯二甲酸二正丁酯、邻苯二甲酸丁基苄酯、邻苯二甲酸二(2-乙基己)酯、邻苯二甲酸二异丁酯）含量均须符合限值要求</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其中：</w:t>
            </w:r>
            <w:r>
              <w:rPr>
                <w:rFonts w:hint="eastAsia" w:ascii="仿宋" w:hAnsi="仿宋" w:eastAsia="仿宋" w:cs="仿宋"/>
                <w:i w:val="0"/>
                <w:iCs w:val="0"/>
                <w:color w:val="000000"/>
                <w:kern w:val="0"/>
                <w:sz w:val="18"/>
                <w:szCs w:val="18"/>
                <w:highlight w:val="none"/>
                <w:u w:val="none"/>
                <w:lang w:val="en-US" w:eastAsia="zh-CN" w:bidi="ar"/>
              </w:rPr>
              <w:t>铅、汞、六价铬、多溴联苯、多澳二苯醚(十溴苯醚除外)的含量不应超过0.1%，镉的含量不应超过0.01%。响应文件中须提供</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带</w:t>
            </w:r>
            <w:r>
              <w:rPr>
                <w:rFonts w:hint="eastAsia" w:ascii="仿宋" w:hAnsi="仿宋" w:eastAsia="仿宋" w:cs="仿宋"/>
                <w:i w:val="0"/>
                <w:iCs w:val="0"/>
                <w:caps w:val="0"/>
                <w:color w:val="000000"/>
                <w:spacing w:val="0"/>
                <w:kern w:val="0"/>
                <w:sz w:val="18"/>
                <w:szCs w:val="18"/>
                <w:highlight w:val="none"/>
                <w:u w:val="none"/>
                <w:shd w:val="clear"/>
                <w:lang w:bidi="ar"/>
              </w:rPr>
              <w:t>CMA</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标志的第三方</w:t>
            </w:r>
            <w:r>
              <w:rPr>
                <w:rFonts w:hint="eastAsia" w:ascii="仿宋" w:hAnsi="仿宋" w:eastAsia="仿宋" w:cs="仿宋"/>
                <w:i w:val="0"/>
                <w:iCs w:val="0"/>
                <w:caps w:val="0"/>
                <w:color w:val="000000"/>
                <w:spacing w:val="0"/>
                <w:kern w:val="0"/>
                <w:sz w:val="18"/>
                <w:szCs w:val="18"/>
                <w:highlight w:val="none"/>
                <w:u w:val="none"/>
                <w:shd w:val="clear"/>
                <w:lang w:bidi="ar"/>
              </w:rPr>
              <w:t>检测报告</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复印件</w:t>
            </w:r>
            <w:r>
              <w:rPr>
                <w:rFonts w:hint="eastAsia" w:ascii="仿宋" w:hAnsi="仿宋" w:eastAsia="仿宋" w:cs="仿宋"/>
                <w:i w:val="0"/>
                <w:iCs w:val="0"/>
                <w:caps w:val="0"/>
                <w:color w:val="000000"/>
                <w:spacing w:val="0"/>
                <w:kern w:val="0"/>
                <w:sz w:val="18"/>
                <w:szCs w:val="18"/>
                <w:highlight w:val="none"/>
                <w:u w:val="none"/>
                <w:shd w:val="clear"/>
                <w:lang w:bidi="ar"/>
              </w:rPr>
              <w:t>（须清晰显示上述全部检测</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部件、检测</w:t>
            </w:r>
            <w:r>
              <w:rPr>
                <w:rFonts w:hint="eastAsia" w:ascii="仿宋" w:hAnsi="仿宋" w:eastAsia="仿宋" w:cs="仿宋"/>
                <w:i w:val="0"/>
                <w:iCs w:val="0"/>
                <w:caps w:val="0"/>
                <w:color w:val="000000"/>
                <w:spacing w:val="0"/>
                <w:kern w:val="0"/>
                <w:sz w:val="18"/>
                <w:szCs w:val="18"/>
                <w:highlight w:val="none"/>
                <w:u w:val="none"/>
                <w:shd w:val="clear"/>
                <w:lang w:bidi="ar"/>
              </w:rPr>
              <w:t>项目及对应结论</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并载明检测依据</w:t>
            </w:r>
            <w:r>
              <w:rPr>
                <w:rFonts w:hint="eastAsia" w:ascii="仿宋" w:hAnsi="仿宋" w:eastAsia="仿宋" w:cs="仿宋"/>
                <w:i w:val="0"/>
                <w:iCs w:val="0"/>
                <w:caps w:val="0"/>
                <w:color w:val="000000"/>
                <w:spacing w:val="0"/>
                <w:kern w:val="0"/>
                <w:sz w:val="18"/>
                <w:szCs w:val="18"/>
                <w:highlight w:val="none"/>
                <w:u w:val="none"/>
                <w:shd w:val="clear"/>
                <w:lang w:bidi="ar"/>
              </w:rPr>
              <w:t>）</w:t>
            </w:r>
            <w:r>
              <w:rPr>
                <w:rFonts w:hint="eastAsia" w:ascii="仿宋" w:hAnsi="仿宋" w:eastAsia="仿宋" w:cs="仿宋"/>
                <w:i w:val="0"/>
                <w:iCs w:val="0"/>
                <w:caps w:val="0"/>
                <w:color w:val="000000"/>
                <w:spacing w:val="0"/>
                <w:kern w:val="0"/>
                <w:sz w:val="18"/>
                <w:szCs w:val="18"/>
                <w:highlight w:val="none"/>
                <w:u w:val="none"/>
                <w:shd w:val="clear"/>
                <w:lang w:eastAsia="zh-CN" w:bidi="ar"/>
              </w:rPr>
              <w:t>，</w:t>
            </w:r>
            <w:r>
              <w:rPr>
                <w:rFonts w:hint="eastAsia" w:ascii="仿宋" w:hAnsi="仿宋" w:eastAsia="仿宋" w:cs="仿宋"/>
                <w:i w:val="0"/>
                <w:iCs w:val="0"/>
                <w:caps w:val="0"/>
                <w:color w:val="000000"/>
                <w:spacing w:val="0"/>
                <w:kern w:val="0"/>
                <w:sz w:val="18"/>
                <w:szCs w:val="18"/>
                <w:highlight w:val="none"/>
                <w:u w:val="none"/>
                <w:shd w:val="clear"/>
                <w:lang w:val="en-US" w:eastAsia="zh-CN" w:bidi="ar"/>
              </w:rPr>
              <w:t>检测报告须加盖供应商公章</w:t>
            </w:r>
            <w:r>
              <w:rPr>
                <w:rFonts w:hint="eastAsia" w:ascii="仿宋" w:hAnsi="仿宋" w:eastAsia="仿宋" w:cs="仿宋"/>
                <w:i w:val="0"/>
                <w:iCs w:val="0"/>
                <w:caps w:val="0"/>
                <w:color w:val="000000"/>
                <w:spacing w:val="0"/>
                <w:kern w:val="0"/>
                <w:sz w:val="18"/>
                <w:szCs w:val="18"/>
                <w:highlight w:val="none"/>
                <w:u w:val="none"/>
                <w:shd w:val="clear"/>
                <w:lang w:bidi="ar"/>
              </w:rPr>
              <w:t>。</w:t>
            </w:r>
          </w:p>
        </w:tc>
        <w:tc>
          <w:tcPr>
            <w:tcW w:w="376" w:type="pct"/>
            <w:shd w:val="clear" w:color="auto" w:fill="auto"/>
            <w:noWrap/>
            <w:vAlign w:val="center"/>
          </w:tcPr>
          <w:p w14:paraId="0F09AF01">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科蓝环保、保丽洁、蔚顿</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4ADF97C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0DBC92A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5E34117D">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19650</w:t>
            </w:r>
          </w:p>
        </w:tc>
        <w:tc>
          <w:tcPr>
            <w:tcW w:w="231" w:type="pct"/>
            <w:shd w:val="clear" w:color="auto" w:fill="auto"/>
            <w:noWrap/>
            <w:vAlign w:val="center"/>
          </w:tcPr>
          <w:p w14:paraId="351CE26E">
            <w:pPr>
              <w:keepNext w:val="0"/>
              <w:keepLines w:val="0"/>
              <w:widowControl/>
              <w:suppressLineNumbers w:val="0"/>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39300</w:t>
            </w:r>
          </w:p>
        </w:tc>
      </w:tr>
      <w:tr w14:paraId="5729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1" w:hRule="atLeast"/>
        </w:trPr>
        <w:tc>
          <w:tcPr>
            <w:tcW w:w="270" w:type="pct"/>
            <w:shd w:val="clear" w:color="auto" w:fill="auto"/>
            <w:noWrap/>
            <w:vAlign w:val="center"/>
          </w:tcPr>
          <w:p w14:paraId="01860197">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121</w:t>
            </w:r>
          </w:p>
        </w:tc>
        <w:tc>
          <w:tcPr>
            <w:tcW w:w="548" w:type="pct"/>
            <w:shd w:val="clear" w:color="auto" w:fill="auto"/>
            <w:vAlign w:val="center"/>
          </w:tcPr>
          <w:p w14:paraId="7F58507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油烟净化器减震支架</w:t>
            </w:r>
          </w:p>
        </w:tc>
        <w:tc>
          <w:tcPr>
            <w:tcW w:w="502" w:type="pct"/>
            <w:shd w:val="clear" w:color="auto" w:fill="auto"/>
            <w:vAlign w:val="center"/>
          </w:tcPr>
          <w:p w14:paraId="0E4C904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52070</wp:posOffset>
                  </wp:positionH>
                  <wp:positionV relativeFrom="paragraph">
                    <wp:posOffset>57150</wp:posOffset>
                  </wp:positionV>
                  <wp:extent cx="694055" cy="457835"/>
                  <wp:effectExtent l="0" t="0" r="10795" b="18415"/>
                  <wp:wrapNone/>
                  <wp:docPr id="9" name="ID_5C6A6EB77BAC489FA0660C50E72EE96B"/>
                  <wp:cNvGraphicFramePr/>
                  <a:graphic xmlns:a="http://schemas.openxmlformats.org/drawingml/2006/main">
                    <a:graphicData uri="http://schemas.openxmlformats.org/drawingml/2006/picture">
                      <pic:pic xmlns:pic="http://schemas.openxmlformats.org/drawingml/2006/picture">
                        <pic:nvPicPr>
                          <pic:cNvPr id="9" name="ID_5C6A6EB77BAC489FA0660C50E72EE96B"/>
                          <pic:cNvPicPr/>
                        </pic:nvPicPr>
                        <pic:blipFill>
                          <a:blip r:embed="rId80"/>
                          <a:stretch>
                            <a:fillRect/>
                          </a:stretch>
                        </pic:blipFill>
                        <pic:spPr>
                          <a:xfrm>
                            <a:off x="0" y="0"/>
                            <a:ext cx="694055" cy="457835"/>
                          </a:xfrm>
                          <a:prstGeom prst="rect">
                            <a:avLst/>
                          </a:prstGeom>
                          <a:noFill/>
                          <a:ln>
                            <a:noFill/>
                          </a:ln>
                        </pic:spPr>
                      </pic:pic>
                    </a:graphicData>
                  </a:graphic>
                </wp:anchor>
              </w:drawing>
            </w:r>
          </w:p>
        </w:tc>
        <w:tc>
          <w:tcPr>
            <w:tcW w:w="832" w:type="pct"/>
            <w:shd w:val="clear" w:color="auto" w:fill="auto"/>
            <w:noWrap/>
            <w:vAlign w:val="center"/>
          </w:tcPr>
          <w:p w14:paraId="6E071EF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根据净化器定制</w:t>
            </w:r>
          </w:p>
        </w:tc>
        <w:tc>
          <w:tcPr>
            <w:tcW w:w="1559" w:type="pct"/>
            <w:shd w:val="clear" w:color="auto" w:fill="auto"/>
            <w:vAlign w:val="center"/>
          </w:tcPr>
          <w:p w14:paraId="3D881AD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吊装式；采用8#槽钢和5×5角铁制作，面刷防锈漆。</w:t>
            </w:r>
          </w:p>
        </w:tc>
        <w:tc>
          <w:tcPr>
            <w:tcW w:w="376" w:type="pct"/>
            <w:shd w:val="clear" w:color="auto" w:fill="auto"/>
            <w:noWrap/>
            <w:vAlign w:val="center"/>
          </w:tcPr>
          <w:p w14:paraId="22719150">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E5FEF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1F79967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27A11E7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1600</w:t>
            </w:r>
          </w:p>
        </w:tc>
        <w:tc>
          <w:tcPr>
            <w:tcW w:w="231" w:type="pct"/>
            <w:shd w:val="clear" w:color="auto" w:fill="auto"/>
            <w:noWrap/>
            <w:vAlign w:val="center"/>
          </w:tcPr>
          <w:p w14:paraId="129D71F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3200</w:t>
            </w:r>
          </w:p>
        </w:tc>
      </w:tr>
      <w:tr w14:paraId="0BD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270" w:type="pct"/>
            <w:shd w:val="clear" w:color="auto" w:fill="auto"/>
            <w:noWrap/>
            <w:vAlign w:val="center"/>
          </w:tcPr>
          <w:p w14:paraId="745C308C">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122</w:t>
            </w:r>
          </w:p>
        </w:tc>
        <w:tc>
          <w:tcPr>
            <w:tcW w:w="548" w:type="pct"/>
            <w:shd w:val="clear" w:color="auto" w:fill="auto"/>
            <w:vAlign w:val="center"/>
          </w:tcPr>
          <w:p w14:paraId="0F412B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风机变频器</w:t>
            </w:r>
          </w:p>
        </w:tc>
        <w:tc>
          <w:tcPr>
            <w:tcW w:w="502" w:type="pct"/>
            <w:shd w:val="clear" w:color="auto" w:fill="auto"/>
            <w:vAlign w:val="center"/>
          </w:tcPr>
          <w:p w14:paraId="0E836D3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106680</wp:posOffset>
                  </wp:positionH>
                  <wp:positionV relativeFrom="paragraph">
                    <wp:posOffset>-5080</wp:posOffset>
                  </wp:positionV>
                  <wp:extent cx="537210" cy="711200"/>
                  <wp:effectExtent l="0" t="0" r="15240" b="12700"/>
                  <wp:wrapNone/>
                  <wp:docPr id="24" name="ID_22411BB21D9348C5975DF0188A2221D2"/>
                  <wp:cNvGraphicFramePr/>
                  <a:graphic xmlns:a="http://schemas.openxmlformats.org/drawingml/2006/main">
                    <a:graphicData uri="http://schemas.openxmlformats.org/drawingml/2006/picture">
                      <pic:pic xmlns:pic="http://schemas.openxmlformats.org/drawingml/2006/picture">
                        <pic:nvPicPr>
                          <pic:cNvPr id="24" name="ID_22411BB21D9348C5975DF0188A2221D2"/>
                          <pic:cNvPicPr/>
                        </pic:nvPicPr>
                        <pic:blipFill>
                          <a:blip r:embed="rId81"/>
                          <a:stretch>
                            <a:fillRect/>
                          </a:stretch>
                        </pic:blipFill>
                        <pic:spPr>
                          <a:xfrm>
                            <a:off x="0" y="0"/>
                            <a:ext cx="537210" cy="711200"/>
                          </a:xfrm>
                          <a:prstGeom prst="rect">
                            <a:avLst/>
                          </a:prstGeom>
                          <a:noFill/>
                          <a:ln>
                            <a:noFill/>
                          </a:ln>
                        </pic:spPr>
                      </pic:pic>
                    </a:graphicData>
                  </a:graphic>
                </wp:anchor>
              </w:drawing>
            </w:r>
          </w:p>
        </w:tc>
        <w:tc>
          <w:tcPr>
            <w:tcW w:w="832" w:type="pct"/>
            <w:shd w:val="clear" w:color="auto" w:fill="auto"/>
            <w:noWrap/>
            <w:vAlign w:val="center"/>
          </w:tcPr>
          <w:p w14:paraId="35148C40">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09C1D9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1.电源切换与保护变频柜中设有低压塑壳断路器与进线电源相连，除能完成接通和分断电路外，可对电路和变频器发生的短路，过载进行保护，可在维护时切断电源。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2.启、停控制功能变频柜面板上设置变频启动，变频停止按钮，用于变频装置的运行控制，便于现场操作。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3.电缆线由装修、水电施工单位负责。</w:t>
            </w:r>
          </w:p>
        </w:tc>
        <w:tc>
          <w:tcPr>
            <w:tcW w:w="376" w:type="pct"/>
            <w:shd w:val="clear" w:color="auto" w:fill="auto"/>
            <w:vAlign w:val="center"/>
          </w:tcPr>
          <w:p w14:paraId="2B8E6F5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正泰、三菱、汇川</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5A31143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32F5015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6EE0274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3300</w:t>
            </w:r>
          </w:p>
        </w:tc>
        <w:tc>
          <w:tcPr>
            <w:tcW w:w="231" w:type="pct"/>
            <w:shd w:val="clear" w:color="auto" w:fill="auto"/>
            <w:noWrap/>
            <w:vAlign w:val="center"/>
          </w:tcPr>
          <w:p w14:paraId="541EF54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6600</w:t>
            </w:r>
          </w:p>
        </w:tc>
      </w:tr>
      <w:tr w14:paraId="628F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3" w:hRule="atLeast"/>
        </w:trPr>
        <w:tc>
          <w:tcPr>
            <w:tcW w:w="270" w:type="pct"/>
            <w:shd w:val="clear" w:color="auto" w:fill="auto"/>
            <w:noWrap/>
            <w:vAlign w:val="center"/>
          </w:tcPr>
          <w:p w14:paraId="6212D851">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123</w:t>
            </w:r>
          </w:p>
        </w:tc>
        <w:tc>
          <w:tcPr>
            <w:tcW w:w="548" w:type="pct"/>
            <w:shd w:val="clear" w:color="auto" w:fill="auto"/>
            <w:vAlign w:val="center"/>
          </w:tcPr>
          <w:p w14:paraId="1C75307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三角码</w:t>
            </w:r>
          </w:p>
        </w:tc>
        <w:tc>
          <w:tcPr>
            <w:tcW w:w="502" w:type="pct"/>
            <w:shd w:val="clear" w:color="auto" w:fill="auto"/>
            <w:vAlign w:val="center"/>
          </w:tcPr>
          <w:p w14:paraId="3C8DF29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26670</wp:posOffset>
                  </wp:positionH>
                  <wp:positionV relativeFrom="paragraph">
                    <wp:posOffset>147955</wp:posOffset>
                  </wp:positionV>
                  <wp:extent cx="723900" cy="384175"/>
                  <wp:effectExtent l="0" t="0" r="0" b="15875"/>
                  <wp:wrapNone/>
                  <wp:docPr id="27" name="ID_C77D1375CCDC4E83AA7B5BA2C8D2EC67"/>
                  <wp:cNvGraphicFramePr/>
                  <a:graphic xmlns:a="http://schemas.openxmlformats.org/drawingml/2006/main">
                    <a:graphicData uri="http://schemas.openxmlformats.org/drawingml/2006/picture">
                      <pic:pic xmlns:pic="http://schemas.openxmlformats.org/drawingml/2006/picture">
                        <pic:nvPicPr>
                          <pic:cNvPr id="27" name="ID_C77D1375CCDC4E83AA7B5BA2C8D2EC67"/>
                          <pic:cNvPicPr/>
                        </pic:nvPicPr>
                        <pic:blipFill>
                          <a:blip r:embed="rId82"/>
                          <a:stretch>
                            <a:fillRect/>
                          </a:stretch>
                        </pic:blipFill>
                        <pic:spPr>
                          <a:xfrm>
                            <a:off x="0" y="0"/>
                            <a:ext cx="723900" cy="384175"/>
                          </a:xfrm>
                          <a:prstGeom prst="rect">
                            <a:avLst/>
                          </a:prstGeom>
                          <a:noFill/>
                          <a:ln>
                            <a:noFill/>
                          </a:ln>
                        </pic:spPr>
                      </pic:pic>
                    </a:graphicData>
                  </a:graphic>
                </wp:anchor>
              </w:drawing>
            </w:r>
          </w:p>
        </w:tc>
        <w:tc>
          <w:tcPr>
            <w:tcW w:w="832" w:type="pct"/>
            <w:shd w:val="clear" w:color="auto" w:fill="auto"/>
            <w:noWrap/>
            <w:vAlign w:val="center"/>
          </w:tcPr>
          <w:p w14:paraId="0B96E9AB">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42D774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1.采用4*4角铁制作。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2.外加喷漆。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3.拉爆螺丝固定。</w:t>
            </w:r>
          </w:p>
        </w:tc>
        <w:tc>
          <w:tcPr>
            <w:tcW w:w="376" w:type="pct"/>
            <w:shd w:val="clear" w:color="auto" w:fill="auto"/>
            <w:noWrap/>
            <w:vAlign w:val="center"/>
          </w:tcPr>
          <w:p w14:paraId="6C5E8148">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3EAA037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w:t>
            </w:r>
          </w:p>
        </w:tc>
        <w:tc>
          <w:tcPr>
            <w:tcW w:w="235" w:type="pct"/>
            <w:shd w:val="clear" w:color="auto" w:fill="auto"/>
            <w:vAlign w:val="center"/>
          </w:tcPr>
          <w:p w14:paraId="140D61F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副</w:t>
            </w:r>
          </w:p>
        </w:tc>
        <w:tc>
          <w:tcPr>
            <w:tcW w:w="226" w:type="pct"/>
            <w:shd w:val="clear" w:color="auto" w:fill="auto"/>
            <w:noWrap/>
            <w:vAlign w:val="center"/>
          </w:tcPr>
          <w:p w14:paraId="0400BF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w:t>
            </w:r>
          </w:p>
        </w:tc>
        <w:tc>
          <w:tcPr>
            <w:tcW w:w="231" w:type="pct"/>
            <w:shd w:val="clear" w:color="auto" w:fill="auto"/>
            <w:noWrap/>
            <w:vAlign w:val="center"/>
          </w:tcPr>
          <w:p w14:paraId="0C0C49B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w:t>
            </w:r>
          </w:p>
        </w:tc>
      </w:tr>
      <w:tr w14:paraId="409E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270" w:type="pct"/>
            <w:shd w:val="clear" w:color="auto" w:fill="auto"/>
            <w:noWrap/>
            <w:vAlign w:val="center"/>
          </w:tcPr>
          <w:p w14:paraId="35451BF5">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124</w:t>
            </w:r>
          </w:p>
        </w:tc>
        <w:tc>
          <w:tcPr>
            <w:tcW w:w="548" w:type="pct"/>
            <w:shd w:val="clear" w:color="auto" w:fill="auto"/>
            <w:vAlign w:val="center"/>
          </w:tcPr>
          <w:p w14:paraId="2594597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风机软接</w:t>
            </w:r>
          </w:p>
        </w:tc>
        <w:tc>
          <w:tcPr>
            <w:tcW w:w="502" w:type="pct"/>
            <w:shd w:val="clear" w:color="auto" w:fill="auto"/>
            <w:vAlign w:val="center"/>
          </w:tcPr>
          <w:p w14:paraId="76661AB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53340</wp:posOffset>
                  </wp:positionH>
                  <wp:positionV relativeFrom="paragraph">
                    <wp:posOffset>111125</wp:posOffset>
                  </wp:positionV>
                  <wp:extent cx="711200" cy="509905"/>
                  <wp:effectExtent l="0" t="0" r="12700" b="4445"/>
                  <wp:wrapNone/>
                  <wp:docPr id="22" name="Picture_385"/>
                  <wp:cNvGraphicFramePr/>
                  <a:graphic xmlns:a="http://schemas.openxmlformats.org/drawingml/2006/main">
                    <a:graphicData uri="http://schemas.openxmlformats.org/drawingml/2006/picture">
                      <pic:pic xmlns:pic="http://schemas.openxmlformats.org/drawingml/2006/picture">
                        <pic:nvPicPr>
                          <pic:cNvPr id="22" name="Picture_385"/>
                          <pic:cNvPicPr/>
                        </pic:nvPicPr>
                        <pic:blipFill>
                          <a:blip r:embed="rId83"/>
                          <a:stretch>
                            <a:fillRect/>
                          </a:stretch>
                        </pic:blipFill>
                        <pic:spPr>
                          <a:xfrm>
                            <a:off x="0" y="0"/>
                            <a:ext cx="711200" cy="509905"/>
                          </a:xfrm>
                          <a:prstGeom prst="rect">
                            <a:avLst/>
                          </a:prstGeom>
                          <a:noFill/>
                          <a:ln>
                            <a:noFill/>
                          </a:ln>
                        </pic:spPr>
                      </pic:pic>
                    </a:graphicData>
                  </a:graphic>
                </wp:anchor>
              </w:drawing>
            </w:r>
          </w:p>
        </w:tc>
        <w:tc>
          <w:tcPr>
            <w:tcW w:w="832" w:type="pct"/>
            <w:shd w:val="clear" w:color="auto" w:fill="auto"/>
            <w:noWrap/>
            <w:vAlign w:val="center"/>
          </w:tcPr>
          <w:p w14:paraId="57441AD2">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B2FCCA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采用加厚型帆布，与风柜配套。</w:t>
            </w:r>
          </w:p>
        </w:tc>
        <w:tc>
          <w:tcPr>
            <w:tcW w:w="376" w:type="pct"/>
            <w:shd w:val="clear" w:color="auto" w:fill="auto"/>
            <w:noWrap/>
            <w:vAlign w:val="center"/>
          </w:tcPr>
          <w:p w14:paraId="4F422FD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2EFB2E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7A2212D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26B9C88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300</w:t>
            </w:r>
          </w:p>
        </w:tc>
        <w:tc>
          <w:tcPr>
            <w:tcW w:w="231" w:type="pct"/>
            <w:shd w:val="clear" w:color="auto" w:fill="auto"/>
            <w:noWrap/>
            <w:vAlign w:val="center"/>
          </w:tcPr>
          <w:p w14:paraId="285DBC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600</w:t>
            </w:r>
          </w:p>
        </w:tc>
      </w:tr>
      <w:tr w14:paraId="7811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70" w:type="pct"/>
            <w:shd w:val="clear" w:color="auto" w:fill="auto"/>
            <w:noWrap/>
            <w:vAlign w:val="center"/>
          </w:tcPr>
          <w:p w14:paraId="312A4537">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125</w:t>
            </w:r>
          </w:p>
        </w:tc>
        <w:tc>
          <w:tcPr>
            <w:tcW w:w="548" w:type="pct"/>
            <w:shd w:val="clear" w:color="auto" w:fill="auto"/>
            <w:vAlign w:val="center"/>
          </w:tcPr>
          <w:p w14:paraId="3340BE4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150℃防火阀</w:t>
            </w:r>
          </w:p>
        </w:tc>
        <w:tc>
          <w:tcPr>
            <w:tcW w:w="502" w:type="pct"/>
            <w:shd w:val="clear" w:color="auto" w:fill="auto"/>
            <w:vAlign w:val="center"/>
          </w:tcPr>
          <w:p w14:paraId="138D191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50800</wp:posOffset>
                  </wp:positionH>
                  <wp:positionV relativeFrom="paragraph">
                    <wp:posOffset>146050</wp:posOffset>
                  </wp:positionV>
                  <wp:extent cx="730250" cy="314325"/>
                  <wp:effectExtent l="0" t="0" r="12700" b="9525"/>
                  <wp:wrapNone/>
                  <wp:docPr id="39" name="ID_745BB3F2E10D4066B66D447B4DE02C49"/>
                  <wp:cNvGraphicFramePr/>
                  <a:graphic xmlns:a="http://schemas.openxmlformats.org/drawingml/2006/main">
                    <a:graphicData uri="http://schemas.openxmlformats.org/drawingml/2006/picture">
                      <pic:pic xmlns:pic="http://schemas.openxmlformats.org/drawingml/2006/picture">
                        <pic:nvPicPr>
                          <pic:cNvPr id="39" name="ID_745BB3F2E10D4066B66D447B4DE02C49"/>
                          <pic:cNvPicPr/>
                        </pic:nvPicPr>
                        <pic:blipFill>
                          <a:blip r:embed="rId84"/>
                          <a:stretch>
                            <a:fillRect/>
                          </a:stretch>
                        </pic:blipFill>
                        <pic:spPr>
                          <a:xfrm>
                            <a:off x="0" y="0"/>
                            <a:ext cx="730250" cy="314325"/>
                          </a:xfrm>
                          <a:prstGeom prst="rect">
                            <a:avLst/>
                          </a:prstGeom>
                          <a:noFill/>
                          <a:ln>
                            <a:noFill/>
                          </a:ln>
                        </pic:spPr>
                      </pic:pic>
                    </a:graphicData>
                  </a:graphic>
                </wp:anchor>
              </w:drawing>
            </w:r>
          </w:p>
        </w:tc>
        <w:tc>
          <w:tcPr>
            <w:tcW w:w="832" w:type="pct"/>
            <w:shd w:val="clear" w:color="auto" w:fill="auto"/>
            <w:noWrap/>
            <w:vAlign w:val="center"/>
          </w:tcPr>
          <w:p w14:paraId="7EE37E51">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543F0E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采用A3钢板作制，外涂防火。防锈漆，与风管配套。</w:t>
            </w:r>
          </w:p>
        </w:tc>
        <w:tc>
          <w:tcPr>
            <w:tcW w:w="376" w:type="pct"/>
            <w:shd w:val="clear" w:color="auto" w:fill="auto"/>
            <w:noWrap/>
            <w:vAlign w:val="center"/>
          </w:tcPr>
          <w:p w14:paraId="07AB5A8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5A582C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7703DE7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36CEB6B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950</w:t>
            </w:r>
          </w:p>
        </w:tc>
        <w:tc>
          <w:tcPr>
            <w:tcW w:w="231" w:type="pct"/>
            <w:shd w:val="clear" w:color="auto" w:fill="auto"/>
            <w:noWrap/>
            <w:vAlign w:val="center"/>
          </w:tcPr>
          <w:p w14:paraId="4B3325A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1900</w:t>
            </w:r>
          </w:p>
        </w:tc>
      </w:tr>
      <w:tr w14:paraId="1203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70" w:type="pct"/>
            <w:shd w:val="clear" w:color="auto" w:fill="auto"/>
            <w:noWrap/>
            <w:vAlign w:val="center"/>
          </w:tcPr>
          <w:p w14:paraId="01D16C24">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126</w:t>
            </w:r>
          </w:p>
        </w:tc>
        <w:tc>
          <w:tcPr>
            <w:tcW w:w="548" w:type="pct"/>
            <w:shd w:val="clear" w:color="auto" w:fill="auto"/>
            <w:vAlign w:val="center"/>
          </w:tcPr>
          <w:p w14:paraId="20E0300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止回阀</w:t>
            </w:r>
          </w:p>
        </w:tc>
        <w:tc>
          <w:tcPr>
            <w:tcW w:w="502" w:type="pct"/>
            <w:shd w:val="clear" w:color="auto" w:fill="auto"/>
            <w:vAlign w:val="center"/>
          </w:tcPr>
          <w:p w14:paraId="61EA4A6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40640</wp:posOffset>
                  </wp:positionH>
                  <wp:positionV relativeFrom="paragraph">
                    <wp:posOffset>81280</wp:posOffset>
                  </wp:positionV>
                  <wp:extent cx="731520" cy="360680"/>
                  <wp:effectExtent l="0" t="0" r="11430" b="1270"/>
                  <wp:wrapNone/>
                  <wp:docPr id="52" name="ID_CB025CBA9F3B44BF96F7523B9AC9E8E5"/>
                  <wp:cNvGraphicFramePr/>
                  <a:graphic xmlns:a="http://schemas.openxmlformats.org/drawingml/2006/main">
                    <a:graphicData uri="http://schemas.openxmlformats.org/drawingml/2006/picture">
                      <pic:pic xmlns:pic="http://schemas.openxmlformats.org/drawingml/2006/picture">
                        <pic:nvPicPr>
                          <pic:cNvPr id="52" name="ID_CB025CBA9F3B44BF96F7523B9AC9E8E5"/>
                          <pic:cNvPicPr/>
                        </pic:nvPicPr>
                        <pic:blipFill>
                          <a:blip r:embed="rId85"/>
                          <a:stretch>
                            <a:fillRect/>
                          </a:stretch>
                        </pic:blipFill>
                        <pic:spPr>
                          <a:xfrm>
                            <a:off x="0" y="0"/>
                            <a:ext cx="731520" cy="360680"/>
                          </a:xfrm>
                          <a:prstGeom prst="rect">
                            <a:avLst/>
                          </a:prstGeom>
                          <a:noFill/>
                          <a:ln>
                            <a:noFill/>
                          </a:ln>
                        </pic:spPr>
                      </pic:pic>
                    </a:graphicData>
                  </a:graphic>
                </wp:anchor>
              </w:drawing>
            </w:r>
          </w:p>
        </w:tc>
        <w:tc>
          <w:tcPr>
            <w:tcW w:w="832" w:type="pct"/>
            <w:shd w:val="clear" w:color="auto" w:fill="auto"/>
            <w:noWrap/>
            <w:vAlign w:val="center"/>
          </w:tcPr>
          <w:p w14:paraId="0F1B8AE3">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44BC22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采用角镀锌铁制作，喷防锈漆，与风管配套。</w:t>
            </w:r>
          </w:p>
        </w:tc>
        <w:tc>
          <w:tcPr>
            <w:tcW w:w="376" w:type="pct"/>
            <w:shd w:val="clear" w:color="auto" w:fill="auto"/>
            <w:noWrap/>
            <w:vAlign w:val="center"/>
          </w:tcPr>
          <w:p w14:paraId="0326BE6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9E2B27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0DC0703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2FE2AF2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875</w:t>
            </w:r>
          </w:p>
        </w:tc>
        <w:tc>
          <w:tcPr>
            <w:tcW w:w="231" w:type="pct"/>
            <w:shd w:val="clear" w:color="auto" w:fill="auto"/>
            <w:noWrap/>
            <w:vAlign w:val="center"/>
          </w:tcPr>
          <w:p w14:paraId="7F1D7A9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1750</w:t>
            </w:r>
          </w:p>
        </w:tc>
      </w:tr>
      <w:tr w14:paraId="49D4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shd w:val="clear" w:color="auto" w:fill="auto"/>
            <w:noWrap/>
            <w:vAlign w:val="center"/>
          </w:tcPr>
          <w:p w14:paraId="08D04E1C">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V</w:t>
            </w:r>
          </w:p>
        </w:tc>
        <w:tc>
          <w:tcPr>
            <w:tcW w:w="4729" w:type="pct"/>
            <w:gridSpan w:val="9"/>
            <w:shd w:val="clear" w:color="auto" w:fill="auto"/>
            <w:noWrap/>
            <w:vAlign w:val="center"/>
          </w:tcPr>
          <w:p w14:paraId="28EFEF2C">
            <w:pPr>
              <w:jc w:val="left"/>
              <w:rPr>
                <w:rFonts w:hint="eastAsia" w:ascii="仿宋" w:hAnsi="仿宋" w:eastAsia="仿宋" w:cs="仿宋"/>
                <w:i w:val="0"/>
                <w:iCs w:val="0"/>
                <w:color w:val="000000"/>
                <w:sz w:val="18"/>
                <w:szCs w:val="18"/>
                <w:highlight w:val="none"/>
                <w:u w:val="none"/>
              </w:rPr>
            </w:pPr>
            <w:r>
              <w:rPr>
                <w:rStyle w:val="16"/>
                <w:rFonts w:hint="eastAsia" w:ascii="仿宋" w:hAnsi="仿宋" w:eastAsia="仿宋" w:cs="仿宋"/>
                <w:sz w:val="18"/>
                <w:szCs w:val="18"/>
                <w:highlight w:val="none"/>
                <w:lang w:val="en-US" w:eastAsia="zh-CN" w:bidi="ar"/>
              </w:rPr>
              <w:t>抽油烟系统二（洗碗间、售卖间）</w:t>
            </w:r>
          </w:p>
        </w:tc>
      </w:tr>
      <w:tr w14:paraId="3544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270" w:type="pct"/>
            <w:shd w:val="clear" w:color="auto" w:fill="auto"/>
            <w:noWrap/>
            <w:vAlign w:val="center"/>
          </w:tcPr>
          <w:p w14:paraId="52D8D0CC">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127</w:t>
            </w:r>
          </w:p>
        </w:tc>
        <w:tc>
          <w:tcPr>
            <w:tcW w:w="548" w:type="pct"/>
            <w:shd w:val="clear" w:color="auto" w:fill="auto"/>
            <w:vAlign w:val="center"/>
          </w:tcPr>
          <w:p w14:paraId="151FF23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不锈钢油网烟罩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（售卖间）</w:t>
            </w:r>
          </w:p>
        </w:tc>
        <w:tc>
          <w:tcPr>
            <w:tcW w:w="502" w:type="pct"/>
            <w:shd w:val="clear" w:color="auto" w:fill="auto"/>
            <w:vAlign w:val="center"/>
          </w:tcPr>
          <w:p w14:paraId="5F14262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-5080</wp:posOffset>
                  </wp:positionH>
                  <wp:positionV relativeFrom="paragraph">
                    <wp:posOffset>-28575</wp:posOffset>
                  </wp:positionV>
                  <wp:extent cx="775970" cy="328930"/>
                  <wp:effectExtent l="0" t="0" r="5080" b="13970"/>
                  <wp:wrapNone/>
                  <wp:docPr id="28" name="ID_404BC73DB5E94025AC621369E1E8AB78_SpCnt_5"/>
                  <wp:cNvGraphicFramePr/>
                  <a:graphic xmlns:a="http://schemas.openxmlformats.org/drawingml/2006/main">
                    <a:graphicData uri="http://schemas.openxmlformats.org/drawingml/2006/picture">
                      <pic:pic xmlns:pic="http://schemas.openxmlformats.org/drawingml/2006/picture">
                        <pic:nvPicPr>
                          <pic:cNvPr id="28" name="ID_404BC73DB5E94025AC621369E1E8AB78_SpCnt_5"/>
                          <pic:cNvPicPr/>
                        </pic:nvPicPr>
                        <pic:blipFill>
                          <a:blip r:embed="rId86"/>
                          <a:stretch>
                            <a:fillRect/>
                          </a:stretch>
                        </pic:blipFill>
                        <pic:spPr>
                          <a:xfrm>
                            <a:off x="0" y="0"/>
                            <a:ext cx="775970" cy="328930"/>
                          </a:xfrm>
                          <a:prstGeom prst="rect">
                            <a:avLst/>
                          </a:prstGeom>
                          <a:noFill/>
                          <a:ln>
                            <a:noFill/>
                          </a:ln>
                        </pic:spPr>
                      </pic:pic>
                    </a:graphicData>
                  </a:graphic>
                </wp:anchor>
              </w:drawing>
            </w:r>
          </w:p>
        </w:tc>
        <w:tc>
          <w:tcPr>
            <w:tcW w:w="832" w:type="pct"/>
            <w:shd w:val="clear" w:color="auto" w:fill="auto"/>
            <w:vAlign w:val="center"/>
          </w:tcPr>
          <w:p w14:paraId="7B62203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Lx1000x500mm</w:t>
            </w:r>
          </w:p>
        </w:tc>
        <w:tc>
          <w:tcPr>
            <w:tcW w:w="1559" w:type="pct"/>
            <w:shd w:val="clear" w:color="auto" w:fill="auto"/>
            <w:vAlign w:val="center"/>
          </w:tcPr>
          <w:p w14:paraId="0AF9C92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1.采用201#/1.2mm不锈钢板制作，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2.防漏油设计，预留排油口，配有新风槽宽度250配置专用防爆灯。</w:t>
            </w:r>
          </w:p>
        </w:tc>
        <w:tc>
          <w:tcPr>
            <w:tcW w:w="376" w:type="pct"/>
            <w:shd w:val="clear" w:color="auto" w:fill="auto"/>
            <w:noWrap/>
            <w:vAlign w:val="center"/>
          </w:tcPr>
          <w:p w14:paraId="1656A118">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36E8211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vAlign w:val="center"/>
          </w:tcPr>
          <w:p w14:paraId="7C02477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22230FC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1350</w:t>
            </w:r>
          </w:p>
        </w:tc>
        <w:tc>
          <w:tcPr>
            <w:tcW w:w="231" w:type="pct"/>
            <w:shd w:val="clear" w:color="auto" w:fill="auto"/>
            <w:noWrap/>
            <w:vAlign w:val="center"/>
          </w:tcPr>
          <w:p w14:paraId="7F889D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4050</w:t>
            </w:r>
          </w:p>
        </w:tc>
      </w:tr>
      <w:tr w14:paraId="22BE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00" w:hRule="atLeast"/>
        </w:trPr>
        <w:tc>
          <w:tcPr>
            <w:tcW w:w="270" w:type="pct"/>
            <w:shd w:val="clear" w:color="auto" w:fill="auto"/>
            <w:noWrap/>
            <w:vAlign w:val="center"/>
          </w:tcPr>
          <w:p w14:paraId="17CCE92F">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128</w:t>
            </w:r>
          </w:p>
        </w:tc>
        <w:tc>
          <w:tcPr>
            <w:tcW w:w="548" w:type="pct"/>
            <w:shd w:val="clear" w:color="auto" w:fill="auto"/>
            <w:vAlign w:val="center"/>
          </w:tcPr>
          <w:p w14:paraId="2A6A2EE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不锈钢牛角烟罩</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（洗碗机房）</w:t>
            </w:r>
          </w:p>
        </w:tc>
        <w:tc>
          <w:tcPr>
            <w:tcW w:w="502" w:type="pct"/>
            <w:shd w:val="clear" w:color="auto" w:fill="auto"/>
            <w:noWrap/>
            <w:vAlign w:val="center"/>
          </w:tcPr>
          <w:p w14:paraId="6DAA60C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23495</wp:posOffset>
                  </wp:positionH>
                  <wp:positionV relativeFrom="paragraph">
                    <wp:posOffset>32385</wp:posOffset>
                  </wp:positionV>
                  <wp:extent cx="763905" cy="699770"/>
                  <wp:effectExtent l="0" t="0" r="17145" b="5080"/>
                  <wp:wrapNone/>
                  <wp:docPr id="53" name="图片_129"/>
                  <wp:cNvGraphicFramePr/>
                  <a:graphic xmlns:a="http://schemas.openxmlformats.org/drawingml/2006/main">
                    <a:graphicData uri="http://schemas.openxmlformats.org/drawingml/2006/picture">
                      <pic:pic xmlns:pic="http://schemas.openxmlformats.org/drawingml/2006/picture">
                        <pic:nvPicPr>
                          <pic:cNvPr id="53" name="图片_129"/>
                          <pic:cNvPicPr/>
                        </pic:nvPicPr>
                        <pic:blipFill>
                          <a:blip r:embed="rId87"/>
                          <a:stretch>
                            <a:fillRect/>
                          </a:stretch>
                        </pic:blipFill>
                        <pic:spPr>
                          <a:xfrm>
                            <a:off x="0" y="0"/>
                            <a:ext cx="763905" cy="699770"/>
                          </a:xfrm>
                          <a:prstGeom prst="rect">
                            <a:avLst/>
                          </a:prstGeom>
                          <a:noFill/>
                          <a:ln>
                            <a:noFill/>
                          </a:ln>
                        </pic:spPr>
                      </pic:pic>
                    </a:graphicData>
                  </a:graphic>
                </wp:anchor>
              </w:drawing>
            </w:r>
          </w:p>
        </w:tc>
        <w:tc>
          <w:tcPr>
            <w:tcW w:w="832" w:type="pct"/>
            <w:shd w:val="clear" w:color="auto" w:fill="auto"/>
            <w:noWrap/>
            <w:vAlign w:val="center"/>
          </w:tcPr>
          <w:p w14:paraId="09EBF11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484*450*450mm</w:t>
            </w:r>
          </w:p>
        </w:tc>
        <w:tc>
          <w:tcPr>
            <w:tcW w:w="1559" w:type="pct"/>
            <w:shd w:val="clear" w:color="auto" w:fill="auto"/>
            <w:vAlign w:val="center"/>
          </w:tcPr>
          <w:p w14:paraId="5DA64C0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1.采用雪花砂贴塑304#不锈钢板,侧板、顶板、背板及封板厚度为1.2mm。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2.配置LED防爆灯</w:t>
            </w:r>
          </w:p>
        </w:tc>
        <w:tc>
          <w:tcPr>
            <w:tcW w:w="376" w:type="pct"/>
            <w:shd w:val="clear" w:color="auto" w:fill="auto"/>
            <w:noWrap/>
            <w:vAlign w:val="center"/>
          </w:tcPr>
          <w:p w14:paraId="4D5B6AA2">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31A0F6D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2C651D3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01C9768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1100</w:t>
            </w:r>
          </w:p>
        </w:tc>
        <w:tc>
          <w:tcPr>
            <w:tcW w:w="231" w:type="pct"/>
            <w:shd w:val="clear" w:color="auto" w:fill="auto"/>
            <w:noWrap/>
            <w:vAlign w:val="center"/>
          </w:tcPr>
          <w:p w14:paraId="6CDFE89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2200</w:t>
            </w:r>
          </w:p>
        </w:tc>
      </w:tr>
      <w:tr w14:paraId="2FE0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70" w:type="pct"/>
            <w:shd w:val="clear" w:color="auto" w:fill="auto"/>
            <w:noWrap/>
            <w:vAlign w:val="center"/>
          </w:tcPr>
          <w:p w14:paraId="10A72F75">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129</w:t>
            </w:r>
          </w:p>
        </w:tc>
        <w:tc>
          <w:tcPr>
            <w:tcW w:w="548" w:type="pct"/>
            <w:shd w:val="clear" w:color="auto" w:fill="auto"/>
            <w:vAlign w:val="center"/>
          </w:tcPr>
          <w:p w14:paraId="0D744DC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不锈钢烟网</w:t>
            </w:r>
          </w:p>
        </w:tc>
        <w:tc>
          <w:tcPr>
            <w:tcW w:w="502" w:type="pct"/>
            <w:shd w:val="clear" w:color="auto" w:fill="auto"/>
            <w:noWrap/>
            <w:vAlign w:val="center"/>
          </w:tcPr>
          <w:p w14:paraId="77EF578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59690</wp:posOffset>
                  </wp:positionH>
                  <wp:positionV relativeFrom="paragraph">
                    <wp:posOffset>45085</wp:posOffset>
                  </wp:positionV>
                  <wp:extent cx="696595" cy="287655"/>
                  <wp:effectExtent l="0" t="0" r="8255" b="17145"/>
                  <wp:wrapNone/>
                  <wp:docPr id="31" name="ID_B6FCE6017E0144A5A4C4AFE32928405A"/>
                  <wp:cNvGraphicFramePr/>
                  <a:graphic xmlns:a="http://schemas.openxmlformats.org/drawingml/2006/main">
                    <a:graphicData uri="http://schemas.openxmlformats.org/drawingml/2006/picture">
                      <pic:pic xmlns:pic="http://schemas.openxmlformats.org/drawingml/2006/picture">
                        <pic:nvPicPr>
                          <pic:cNvPr id="31" name="ID_B6FCE6017E0144A5A4C4AFE32928405A"/>
                          <pic:cNvPicPr/>
                        </pic:nvPicPr>
                        <pic:blipFill>
                          <a:blip r:embed="rId88"/>
                          <a:stretch>
                            <a:fillRect/>
                          </a:stretch>
                        </pic:blipFill>
                        <pic:spPr>
                          <a:xfrm>
                            <a:off x="0" y="0"/>
                            <a:ext cx="696595" cy="287655"/>
                          </a:xfrm>
                          <a:prstGeom prst="rect">
                            <a:avLst/>
                          </a:prstGeom>
                          <a:noFill/>
                          <a:ln>
                            <a:noFill/>
                          </a:ln>
                        </pic:spPr>
                      </pic:pic>
                    </a:graphicData>
                  </a:graphic>
                </wp:anchor>
              </w:drawing>
            </w:r>
          </w:p>
        </w:tc>
        <w:tc>
          <w:tcPr>
            <w:tcW w:w="832" w:type="pct"/>
            <w:shd w:val="clear" w:color="auto" w:fill="auto"/>
            <w:noWrap/>
            <w:vAlign w:val="center"/>
          </w:tcPr>
          <w:p w14:paraId="55396EE2">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93E5FB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采用304#1.0mm不锈钢板制作。</w:t>
            </w:r>
          </w:p>
        </w:tc>
        <w:tc>
          <w:tcPr>
            <w:tcW w:w="376" w:type="pct"/>
            <w:shd w:val="clear" w:color="auto" w:fill="auto"/>
            <w:noWrap/>
            <w:vAlign w:val="center"/>
          </w:tcPr>
          <w:p w14:paraId="37A495E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D06E1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235" w:type="pct"/>
            <w:shd w:val="clear" w:color="auto" w:fill="auto"/>
            <w:vAlign w:val="center"/>
          </w:tcPr>
          <w:p w14:paraId="1D3BB29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45A3DE7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250</w:t>
            </w:r>
          </w:p>
        </w:tc>
        <w:tc>
          <w:tcPr>
            <w:tcW w:w="231" w:type="pct"/>
            <w:shd w:val="clear" w:color="auto" w:fill="auto"/>
            <w:noWrap/>
            <w:vAlign w:val="center"/>
          </w:tcPr>
          <w:p w14:paraId="6A61B84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750</w:t>
            </w:r>
          </w:p>
        </w:tc>
      </w:tr>
      <w:tr w14:paraId="72D7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270" w:type="pct"/>
            <w:shd w:val="clear" w:color="auto" w:fill="auto"/>
            <w:noWrap/>
            <w:vAlign w:val="center"/>
          </w:tcPr>
          <w:p w14:paraId="2D65A8FC">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130</w:t>
            </w:r>
          </w:p>
        </w:tc>
        <w:tc>
          <w:tcPr>
            <w:tcW w:w="548" w:type="pct"/>
            <w:shd w:val="clear" w:color="auto" w:fill="auto"/>
            <w:vAlign w:val="center"/>
          </w:tcPr>
          <w:p w14:paraId="61C575C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集烟管，排烟管,弯头,变接</w:t>
            </w:r>
          </w:p>
        </w:tc>
        <w:tc>
          <w:tcPr>
            <w:tcW w:w="502" w:type="pct"/>
            <w:shd w:val="clear" w:color="auto" w:fill="auto"/>
            <w:noWrap/>
            <w:vAlign w:val="center"/>
          </w:tcPr>
          <w:p w14:paraId="1EA9D20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77470</wp:posOffset>
                  </wp:positionH>
                  <wp:positionV relativeFrom="paragraph">
                    <wp:posOffset>69850</wp:posOffset>
                  </wp:positionV>
                  <wp:extent cx="633095" cy="407035"/>
                  <wp:effectExtent l="0" t="0" r="14605" b="12065"/>
                  <wp:wrapNone/>
                  <wp:docPr id="8" name="ID_048940280E0F49C5B2DC8A79390D9301_SpCnt_1"/>
                  <wp:cNvGraphicFramePr/>
                  <a:graphic xmlns:a="http://schemas.openxmlformats.org/drawingml/2006/main">
                    <a:graphicData uri="http://schemas.openxmlformats.org/drawingml/2006/picture">
                      <pic:pic xmlns:pic="http://schemas.openxmlformats.org/drawingml/2006/picture">
                        <pic:nvPicPr>
                          <pic:cNvPr id="8" name="ID_048940280E0F49C5B2DC8A79390D9301_SpCnt_1"/>
                          <pic:cNvPicPr/>
                        </pic:nvPicPr>
                        <pic:blipFill>
                          <a:blip r:embed="rId89"/>
                          <a:stretch>
                            <a:fillRect/>
                          </a:stretch>
                        </pic:blipFill>
                        <pic:spPr>
                          <a:xfrm>
                            <a:off x="0" y="0"/>
                            <a:ext cx="633095" cy="407035"/>
                          </a:xfrm>
                          <a:prstGeom prst="rect">
                            <a:avLst/>
                          </a:prstGeom>
                          <a:noFill/>
                          <a:ln>
                            <a:noFill/>
                          </a:ln>
                        </pic:spPr>
                      </pic:pic>
                    </a:graphicData>
                  </a:graphic>
                </wp:anchor>
              </w:drawing>
            </w:r>
          </w:p>
        </w:tc>
        <w:tc>
          <w:tcPr>
            <w:tcW w:w="832" w:type="pct"/>
            <w:shd w:val="clear" w:color="auto" w:fill="auto"/>
            <w:vAlign w:val="center"/>
          </w:tcPr>
          <w:p w14:paraId="5E1D4D0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根据风管，风机，净化器尺寸定制</w:t>
            </w:r>
          </w:p>
        </w:tc>
        <w:tc>
          <w:tcPr>
            <w:tcW w:w="1559" w:type="pct"/>
            <w:shd w:val="clear" w:color="auto" w:fill="auto"/>
            <w:vAlign w:val="center"/>
          </w:tcPr>
          <w:p w14:paraId="3A53BFF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1.采用热镀锌板≥1.0mm厚制作。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2.采用强力双面胶加固，专用防震胶固定。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3.内部打满玻璃胶防止漏油。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4、含A级40MM防火离心玻璃棉122m²（华美牌）。</w:t>
            </w:r>
          </w:p>
        </w:tc>
        <w:tc>
          <w:tcPr>
            <w:tcW w:w="376" w:type="pct"/>
            <w:shd w:val="clear" w:color="auto" w:fill="auto"/>
            <w:noWrap/>
            <w:vAlign w:val="center"/>
          </w:tcPr>
          <w:p w14:paraId="639B047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034671F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61</w:t>
            </w:r>
          </w:p>
        </w:tc>
        <w:tc>
          <w:tcPr>
            <w:tcW w:w="235" w:type="pct"/>
            <w:shd w:val="clear" w:color="auto" w:fill="auto"/>
            <w:vAlign w:val="center"/>
          </w:tcPr>
          <w:p w14:paraId="7EFFBAD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m²</w:t>
            </w:r>
          </w:p>
        </w:tc>
        <w:tc>
          <w:tcPr>
            <w:tcW w:w="226" w:type="pct"/>
            <w:shd w:val="clear" w:color="auto" w:fill="auto"/>
            <w:noWrap/>
            <w:vAlign w:val="center"/>
          </w:tcPr>
          <w:p w14:paraId="65219B5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308</w:t>
            </w:r>
          </w:p>
        </w:tc>
        <w:tc>
          <w:tcPr>
            <w:tcW w:w="231" w:type="pct"/>
            <w:shd w:val="clear" w:color="auto" w:fill="auto"/>
            <w:noWrap/>
            <w:vAlign w:val="center"/>
          </w:tcPr>
          <w:p w14:paraId="5534E9B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18788</w:t>
            </w:r>
          </w:p>
        </w:tc>
      </w:tr>
      <w:tr w14:paraId="33F1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70" w:type="pct"/>
            <w:shd w:val="clear" w:color="auto" w:fill="auto"/>
            <w:noWrap/>
            <w:vAlign w:val="center"/>
          </w:tcPr>
          <w:p w14:paraId="6AE77BFD">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131</w:t>
            </w:r>
          </w:p>
        </w:tc>
        <w:tc>
          <w:tcPr>
            <w:tcW w:w="548" w:type="pct"/>
            <w:shd w:val="clear" w:color="auto" w:fill="auto"/>
            <w:vAlign w:val="center"/>
          </w:tcPr>
          <w:p w14:paraId="62F7CFC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三角码</w:t>
            </w:r>
          </w:p>
        </w:tc>
        <w:tc>
          <w:tcPr>
            <w:tcW w:w="502" w:type="pct"/>
            <w:shd w:val="clear" w:color="auto" w:fill="auto"/>
            <w:noWrap/>
            <w:vAlign w:val="center"/>
          </w:tcPr>
          <w:p w14:paraId="69F234A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78105</wp:posOffset>
                  </wp:positionH>
                  <wp:positionV relativeFrom="paragraph">
                    <wp:posOffset>72390</wp:posOffset>
                  </wp:positionV>
                  <wp:extent cx="647700" cy="440690"/>
                  <wp:effectExtent l="0" t="0" r="0" b="16510"/>
                  <wp:wrapNone/>
                  <wp:docPr id="60" name="图片_130"/>
                  <wp:cNvGraphicFramePr/>
                  <a:graphic xmlns:a="http://schemas.openxmlformats.org/drawingml/2006/main">
                    <a:graphicData uri="http://schemas.openxmlformats.org/drawingml/2006/picture">
                      <pic:pic xmlns:pic="http://schemas.openxmlformats.org/drawingml/2006/picture">
                        <pic:nvPicPr>
                          <pic:cNvPr id="60" name="图片_130"/>
                          <pic:cNvPicPr/>
                        </pic:nvPicPr>
                        <pic:blipFill>
                          <a:blip r:embed="rId90"/>
                          <a:stretch>
                            <a:fillRect/>
                          </a:stretch>
                        </pic:blipFill>
                        <pic:spPr>
                          <a:xfrm>
                            <a:off x="0" y="0"/>
                            <a:ext cx="647700" cy="440690"/>
                          </a:xfrm>
                          <a:prstGeom prst="rect">
                            <a:avLst/>
                          </a:prstGeom>
                          <a:noFill/>
                          <a:ln>
                            <a:noFill/>
                          </a:ln>
                        </pic:spPr>
                      </pic:pic>
                    </a:graphicData>
                  </a:graphic>
                </wp:anchor>
              </w:drawing>
            </w:r>
          </w:p>
        </w:tc>
        <w:tc>
          <w:tcPr>
            <w:tcW w:w="832" w:type="pct"/>
            <w:shd w:val="clear" w:color="auto" w:fill="auto"/>
            <w:noWrap/>
            <w:vAlign w:val="center"/>
          </w:tcPr>
          <w:p w14:paraId="1516F482">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487902D">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1.采用4*4角铁制作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2.外加喷漆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3.拉爆螺丝固定</w:t>
            </w:r>
          </w:p>
        </w:tc>
        <w:tc>
          <w:tcPr>
            <w:tcW w:w="376" w:type="pct"/>
            <w:shd w:val="clear" w:color="auto" w:fill="auto"/>
            <w:noWrap/>
            <w:vAlign w:val="center"/>
          </w:tcPr>
          <w:p w14:paraId="2CE9C16C">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47757BC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w:t>
            </w:r>
          </w:p>
        </w:tc>
        <w:tc>
          <w:tcPr>
            <w:tcW w:w="235" w:type="pct"/>
            <w:shd w:val="clear" w:color="auto" w:fill="auto"/>
            <w:vAlign w:val="center"/>
          </w:tcPr>
          <w:p w14:paraId="2C98456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副</w:t>
            </w:r>
          </w:p>
        </w:tc>
        <w:tc>
          <w:tcPr>
            <w:tcW w:w="226" w:type="pct"/>
            <w:shd w:val="clear" w:color="auto" w:fill="auto"/>
            <w:noWrap/>
            <w:vAlign w:val="center"/>
          </w:tcPr>
          <w:p w14:paraId="77C888C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w:t>
            </w:r>
          </w:p>
        </w:tc>
        <w:tc>
          <w:tcPr>
            <w:tcW w:w="231" w:type="pct"/>
            <w:shd w:val="clear" w:color="auto" w:fill="auto"/>
            <w:noWrap/>
            <w:vAlign w:val="center"/>
          </w:tcPr>
          <w:p w14:paraId="46D465F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375</w:t>
            </w:r>
          </w:p>
        </w:tc>
      </w:tr>
      <w:tr w14:paraId="1BA8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270" w:type="pct"/>
            <w:shd w:val="clear" w:color="auto" w:fill="auto"/>
            <w:noWrap/>
            <w:vAlign w:val="center"/>
          </w:tcPr>
          <w:p w14:paraId="4D8F0D9D">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132</w:t>
            </w:r>
          </w:p>
        </w:tc>
        <w:tc>
          <w:tcPr>
            <w:tcW w:w="548" w:type="pct"/>
            <w:shd w:val="clear" w:color="auto" w:fill="auto"/>
            <w:vAlign w:val="center"/>
          </w:tcPr>
          <w:p w14:paraId="426CBC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风机软接</w:t>
            </w:r>
          </w:p>
        </w:tc>
        <w:tc>
          <w:tcPr>
            <w:tcW w:w="502" w:type="pct"/>
            <w:shd w:val="clear" w:color="auto" w:fill="auto"/>
            <w:noWrap/>
            <w:vAlign w:val="center"/>
          </w:tcPr>
          <w:p w14:paraId="0C0E885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98425</wp:posOffset>
                  </wp:positionH>
                  <wp:positionV relativeFrom="paragraph">
                    <wp:posOffset>21590</wp:posOffset>
                  </wp:positionV>
                  <wp:extent cx="613410" cy="504825"/>
                  <wp:effectExtent l="0" t="0" r="15240" b="9525"/>
                  <wp:wrapNone/>
                  <wp:docPr id="58" name="图片_131"/>
                  <wp:cNvGraphicFramePr/>
                  <a:graphic xmlns:a="http://schemas.openxmlformats.org/drawingml/2006/main">
                    <a:graphicData uri="http://schemas.openxmlformats.org/drawingml/2006/picture">
                      <pic:pic xmlns:pic="http://schemas.openxmlformats.org/drawingml/2006/picture">
                        <pic:nvPicPr>
                          <pic:cNvPr id="58" name="图片_131"/>
                          <pic:cNvPicPr/>
                        </pic:nvPicPr>
                        <pic:blipFill>
                          <a:blip r:embed="rId91"/>
                          <a:stretch>
                            <a:fillRect/>
                          </a:stretch>
                        </pic:blipFill>
                        <pic:spPr>
                          <a:xfrm>
                            <a:off x="0" y="0"/>
                            <a:ext cx="613410" cy="504825"/>
                          </a:xfrm>
                          <a:prstGeom prst="rect">
                            <a:avLst/>
                          </a:prstGeom>
                          <a:noFill/>
                          <a:ln>
                            <a:noFill/>
                          </a:ln>
                        </pic:spPr>
                      </pic:pic>
                    </a:graphicData>
                  </a:graphic>
                </wp:anchor>
              </w:drawing>
            </w:r>
          </w:p>
        </w:tc>
        <w:tc>
          <w:tcPr>
            <w:tcW w:w="832" w:type="pct"/>
            <w:shd w:val="clear" w:color="auto" w:fill="auto"/>
            <w:noWrap/>
            <w:vAlign w:val="center"/>
          </w:tcPr>
          <w:p w14:paraId="18416FE7">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46C14C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采用加厚型帆布，与风柜配套。</w:t>
            </w:r>
          </w:p>
        </w:tc>
        <w:tc>
          <w:tcPr>
            <w:tcW w:w="376" w:type="pct"/>
            <w:shd w:val="clear" w:color="auto" w:fill="auto"/>
            <w:noWrap/>
            <w:vAlign w:val="center"/>
          </w:tcPr>
          <w:p w14:paraId="6103A59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56BD50A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144DB10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3C4D2E5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300</w:t>
            </w:r>
          </w:p>
        </w:tc>
        <w:tc>
          <w:tcPr>
            <w:tcW w:w="231" w:type="pct"/>
            <w:shd w:val="clear" w:color="auto" w:fill="auto"/>
            <w:noWrap/>
            <w:vAlign w:val="center"/>
          </w:tcPr>
          <w:p w14:paraId="1455F48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600</w:t>
            </w:r>
          </w:p>
        </w:tc>
      </w:tr>
      <w:tr w14:paraId="6F3D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270" w:type="pct"/>
            <w:shd w:val="clear" w:color="auto" w:fill="auto"/>
            <w:noWrap/>
            <w:vAlign w:val="center"/>
          </w:tcPr>
          <w:p w14:paraId="1BD50255">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133</w:t>
            </w:r>
          </w:p>
        </w:tc>
        <w:tc>
          <w:tcPr>
            <w:tcW w:w="548" w:type="pct"/>
            <w:shd w:val="clear" w:color="auto" w:fill="auto"/>
            <w:vAlign w:val="center"/>
          </w:tcPr>
          <w:p w14:paraId="36564FC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150℃防火阀</w:t>
            </w:r>
          </w:p>
        </w:tc>
        <w:tc>
          <w:tcPr>
            <w:tcW w:w="502" w:type="pct"/>
            <w:shd w:val="clear" w:color="auto" w:fill="auto"/>
            <w:noWrap/>
            <w:vAlign w:val="center"/>
          </w:tcPr>
          <w:p w14:paraId="5EB58264">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69215</wp:posOffset>
                  </wp:positionH>
                  <wp:positionV relativeFrom="paragraph">
                    <wp:posOffset>-4445</wp:posOffset>
                  </wp:positionV>
                  <wp:extent cx="748665" cy="339090"/>
                  <wp:effectExtent l="0" t="0" r="13335" b="3810"/>
                  <wp:wrapNone/>
                  <wp:docPr id="17" name="图片_125"/>
                  <wp:cNvGraphicFramePr/>
                  <a:graphic xmlns:a="http://schemas.openxmlformats.org/drawingml/2006/main">
                    <a:graphicData uri="http://schemas.openxmlformats.org/drawingml/2006/picture">
                      <pic:pic xmlns:pic="http://schemas.openxmlformats.org/drawingml/2006/picture">
                        <pic:nvPicPr>
                          <pic:cNvPr id="17" name="图片_125"/>
                          <pic:cNvPicPr/>
                        </pic:nvPicPr>
                        <pic:blipFill>
                          <a:blip r:embed="rId92"/>
                          <a:stretch>
                            <a:fillRect/>
                          </a:stretch>
                        </pic:blipFill>
                        <pic:spPr>
                          <a:xfrm>
                            <a:off x="0" y="0"/>
                            <a:ext cx="748665" cy="339090"/>
                          </a:xfrm>
                          <a:prstGeom prst="rect">
                            <a:avLst/>
                          </a:prstGeom>
                          <a:noFill/>
                          <a:ln>
                            <a:noFill/>
                          </a:ln>
                        </pic:spPr>
                      </pic:pic>
                    </a:graphicData>
                  </a:graphic>
                </wp:anchor>
              </w:drawing>
            </w:r>
          </w:p>
        </w:tc>
        <w:tc>
          <w:tcPr>
            <w:tcW w:w="832" w:type="pct"/>
            <w:shd w:val="clear" w:color="auto" w:fill="auto"/>
            <w:noWrap/>
            <w:vAlign w:val="center"/>
          </w:tcPr>
          <w:p w14:paraId="6BB5071D">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4D8BAC0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采用A3钢板作制，外涂防火、防锈漆，与风管配套。</w:t>
            </w:r>
          </w:p>
        </w:tc>
        <w:tc>
          <w:tcPr>
            <w:tcW w:w="376" w:type="pct"/>
            <w:shd w:val="clear" w:color="auto" w:fill="auto"/>
            <w:noWrap/>
            <w:vAlign w:val="center"/>
          </w:tcPr>
          <w:p w14:paraId="127902F3">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1FA2BE4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3D43896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5B3B38B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950</w:t>
            </w:r>
          </w:p>
        </w:tc>
        <w:tc>
          <w:tcPr>
            <w:tcW w:w="231" w:type="pct"/>
            <w:shd w:val="clear" w:color="auto" w:fill="auto"/>
            <w:noWrap/>
            <w:vAlign w:val="center"/>
          </w:tcPr>
          <w:p w14:paraId="4E7D74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1900</w:t>
            </w:r>
          </w:p>
        </w:tc>
      </w:tr>
      <w:tr w14:paraId="6E86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270" w:type="pct"/>
            <w:shd w:val="clear" w:color="auto" w:fill="auto"/>
            <w:noWrap/>
            <w:vAlign w:val="center"/>
          </w:tcPr>
          <w:p w14:paraId="41209AE9">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134</w:t>
            </w:r>
          </w:p>
        </w:tc>
        <w:tc>
          <w:tcPr>
            <w:tcW w:w="548" w:type="pct"/>
            <w:shd w:val="clear" w:color="auto" w:fill="auto"/>
            <w:vAlign w:val="center"/>
          </w:tcPr>
          <w:p w14:paraId="0B1495B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止回阀</w:t>
            </w:r>
          </w:p>
        </w:tc>
        <w:tc>
          <w:tcPr>
            <w:tcW w:w="502" w:type="pct"/>
            <w:shd w:val="clear" w:color="auto" w:fill="auto"/>
            <w:noWrap/>
            <w:vAlign w:val="center"/>
          </w:tcPr>
          <w:p w14:paraId="02100F4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wp:posOffset>
                  </wp:positionH>
                  <wp:positionV relativeFrom="paragraph">
                    <wp:posOffset>148590</wp:posOffset>
                  </wp:positionV>
                  <wp:extent cx="771525" cy="365125"/>
                  <wp:effectExtent l="0" t="0" r="9525" b="15875"/>
                  <wp:wrapNone/>
                  <wp:docPr id="32" name="图片_126"/>
                  <wp:cNvGraphicFramePr/>
                  <a:graphic xmlns:a="http://schemas.openxmlformats.org/drawingml/2006/main">
                    <a:graphicData uri="http://schemas.openxmlformats.org/drawingml/2006/picture">
                      <pic:pic xmlns:pic="http://schemas.openxmlformats.org/drawingml/2006/picture">
                        <pic:nvPicPr>
                          <pic:cNvPr id="32" name="图片_126"/>
                          <pic:cNvPicPr/>
                        </pic:nvPicPr>
                        <pic:blipFill>
                          <a:blip r:embed="rId93"/>
                          <a:stretch>
                            <a:fillRect/>
                          </a:stretch>
                        </pic:blipFill>
                        <pic:spPr>
                          <a:xfrm>
                            <a:off x="0" y="0"/>
                            <a:ext cx="771525" cy="365125"/>
                          </a:xfrm>
                          <a:prstGeom prst="rect">
                            <a:avLst/>
                          </a:prstGeom>
                          <a:noFill/>
                          <a:ln>
                            <a:noFill/>
                          </a:ln>
                        </pic:spPr>
                      </pic:pic>
                    </a:graphicData>
                  </a:graphic>
                </wp:anchor>
              </w:drawing>
            </w:r>
          </w:p>
        </w:tc>
        <w:tc>
          <w:tcPr>
            <w:tcW w:w="832" w:type="pct"/>
            <w:shd w:val="clear" w:color="auto" w:fill="auto"/>
            <w:noWrap/>
            <w:vAlign w:val="center"/>
          </w:tcPr>
          <w:p w14:paraId="03B9435B">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26D9DB7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采用角镀锌铁制作，喷防锈漆，与风管配套。</w:t>
            </w:r>
          </w:p>
        </w:tc>
        <w:tc>
          <w:tcPr>
            <w:tcW w:w="376" w:type="pct"/>
            <w:shd w:val="clear" w:color="auto" w:fill="auto"/>
            <w:noWrap/>
            <w:vAlign w:val="center"/>
          </w:tcPr>
          <w:p w14:paraId="33E51A06">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48B05F2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235" w:type="pct"/>
            <w:shd w:val="clear" w:color="auto" w:fill="auto"/>
            <w:vAlign w:val="center"/>
          </w:tcPr>
          <w:p w14:paraId="6D89D9B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套</w:t>
            </w:r>
          </w:p>
        </w:tc>
        <w:tc>
          <w:tcPr>
            <w:tcW w:w="226" w:type="pct"/>
            <w:shd w:val="clear" w:color="auto" w:fill="auto"/>
            <w:noWrap/>
            <w:vAlign w:val="center"/>
          </w:tcPr>
          <w:p w14:paraId="2FDC2E4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875</w:t>
            </w:r>
          </w:p>
        </w:tc>
        <w:tc>
          <w:tcPr>
            <w:tcW w:w="231" w:type="pct"/>
            <w:shd w:val="clear" w:color="auto" w:fill="auto"/>
            <w:noWrap/>
            <w:vAlign w:val="center"/>
          </w:tcPr>
          <w:p w14:paraId="296502D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1750</w:t>
            </w:r>
          </w:p>
        </w:tc>
      </w:tr>
      <w:tr w14:paraId="2334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270" w:type="pct"/>
            <w:shd w:val="clear" w:color="auto" w:fill="auto"/>
            <w:noWrap/>
            <w:vAlign w:val="center"/>
          </w:tcPr>
          <w:p w14:paraId="4865102D">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135</w:t>
            </w:r>
          </w:p>
        </w:tc>
        <w:tc>
          <w:tcPr>
            <w:tcW w:w="548" w:type="pct"/>
            <w:shd w:val="clear" w:color="auto" w:fill="auto"/>
            <w:vAlign w:val="center"/>
          </w:tcPr>
          <w:p w14:paraId="547718C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圆筒式轴流风机</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（洗碗机房用）</w:t>
            </w:r>
          </w:p>
        </w:tc>
        <w:tc>
          <w:tcPr>
            <w:tcW w:w="502" w:type="pct"/>
            <w:shd w:val="clear" w:color="auto" w:fill="auto"/>
            <w:noWrap/>
            <w:vAlign w:val="center"/>
          </w:tcPr>
          <w:p w14:paraId="67B358D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60960</wp:posOffset>
                  </wp:positionH>
                  <wp:positionV relativeFrom="paragraph">
                    <wp:posOffset>133985</wp:posOffset>
                  </wp:positionV>
                  <wp:extent cx="542925" cy="598805"/>
                  <wp:effectExtent l="0" t="0" r="9525" b="10795"/>
                  <wp:wrapNone/>
                  <wp:docPr id="23" name="图片_59"/>
                  <wp:cNvGraphicFramePr/>
                  <a:graphic xmlns:a="http://schemas.openxmlformats.org/drawingml/2006/main">
                    <a:graphicData uri="http://schemas.openxmlformats.org/drawingml/2006/picture">
                      <pic:pic xmlns:pic="http://schemas.openxmlformats.org/drawingml/2006/picture">
                        <pic:nvPicPr>
                          <pic:cNvPr id="23" name="图片_59"/>
                          <pic:cNvPicPr/>
                        </pic:nvPicPr>
                        <pic:blipFill>
                          <a:blip r:embed="rId94"/>
                          <a:stretch>
                            <a:fillRect/>
                          </a:stretch>
                        </pic:blipFill>
                        <pic:spPr>
                          <a:xfrm>
                            <a:off x="0" y="0"/>
                            <a:ext cx="542925" cy="598805"/>
                          </a:xfrm>
                          <a:prstGeom prst="rect">
                            <a:avLst/>
                          </a:prstGeom>
                          <a:noFill/>
                          <a:ln>
                            <a:noFill/>
                          </a:ln>
                        </pic:spPr>
                      </pic:pic>
                    </a:graphicData>
                  </a:graphic>
                </wp:anchor>
              </w:drawing>
            </w:r>
          </w:p>
        </w:tc>
        <w:tc>
          <w:tcPr>
            <w:tcW w:w="832" w:type="pct"/>
            <w:shd w:val="clear" w:color="auto" w:fill="auto"/>
            <w:noWrap/>
            <w:vAlign w:val="center"/>
          </w:tcPr>
          <w:p w14:paraId="609E6667">
            <w:pPr>
              <w:jc w:val="cente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612C0F3">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1.转速：1430R/PM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2.风量：5300m3/h</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3.功率：0.55KW/220V</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4.全压：166pa</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5.岀风口：550*550mm，进风口：550*550mm</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6.其他相关配套附件及零件等。(参考品牌：亿利达、绿岛风）</w:t>
            </w:r>
          </w:p>
        </w:tc>
        <w:tc>
          <w:tcPr>
            <w:tcW w:w="376" w:type="pct"/>
            <w:shd w:val="clear" w:color="auto" w:fill="auto"/>
            <w:noWrap/>
            <w:vAlign w:val="center"/>
          </w:tcPr>
          <w:p w14:paraId="0C47A0BC">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6DA07E5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vAlign w:val="center"/>
          </w:tcPr>
          <w:p w14:paraId="4021673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台</w:t>
            </w:r>
          </w:p>
        </w:tc>
        <w:tc>
          <w:tcPr>
            <w:tcW w:w="226" w:type="pct"/>
            <w:shd w:val="clear" w:color="auto" w:fill="auto"/>
            <w:noWrap/>
            <w:vAlign w:val="center"/>
          </w:tcPr>
          <w:p w14:paraId="32D1A62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1600</w:t>
            </w:r>
          </w:p>
        </w:tc>
        <w:tc>
          <w:tcPr>
            <w:tcW w:w="231" w:type="pct"/>
            <w:shd w:val="clear" w:color="auto" w:fill="auto"/>
            <w:noWrap/>
            <w:vAlign w:val="center"/>
          </w:tcPr>
          <w:p w14:paraId="53227EF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1600</w:t>
            </w:r>
          </w:p>
        </w:tc>
      </w:tr>
      <w:tr w14:paraId="20E9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70" w:type="pct"/>
            <w:shd w:val="clear" w:color="auto" w:fill="auto"/>
            <w:noWrap/>
            <w:vAlign w:val="center"/>
          </w:tcPr>
          <w:p w14:paraId="16CA338C">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rPr>
              <w:t>W</w:t>
            </w:r>
          </w:p>
        </w:tc>
        <w:tc>
          <w:tcPr>
            <w:tcW w:w="4729" w:type="pct"/>
            <w:gridSpan w:val="9"/>
            <w:shd w:val="clear" w:color="auto" w:fill="auto"/>
            <w:noWrap/>
            <w:vAlign w:val="center"/>
          </w:tcPr>
          <w:p w14:paraId="37B898B5">
            <w:pPr>
              <w:jc w:val="left"/>
              <w:rPr>
                <w:rFonts w:hint="eastAsia" w:ascii="仿宋" w:hAnsi="仿宋" w:eastAsia="仿宋" w:cs="仿宋"/>
                <w:i w:val="0"/>
                <w:iCs w:val="0"/>
                <w:color w:val="000000"/>
                <w:sz w:val="18"/>
                <w:szCs w:val="18"/>
                <w:highlight w:val="none"/>
                <w:u w:val="none"/>
              </w:rPr>
            </w:pPr>
            <w:r>
              <w:rPr>
                <w:rStyle w:val="16"/>
                <w:rFonts w:hint="eastAsia" w:ascii="仿宋" w:hAnsi="仿宋" w:eastAsia="仿宋" w:cs="仿宋"/>
                <w:sz w:val="18"/>
                <w:szCs w:val="18"/>
                <w:highlight w:val="none"/>
                <w:lang w:val="en-US" w:eastAsia="zh-CN" w:bidi="ar"/>
              </w:rPr>
              <w:t>送鲜风系统</w:t>
            </w:r>
          </w:p>
        </w:tc>
      </w:tr>
      <w:tr w14:paraId="6E21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270" w:type="pct"/>
            <w:shd w:val="clear" w:color="auto" w:fill="auto"/>
            <w:noWrap/>
            <w:vAlign w:val="center"/>
          </w:tcPr>
          <w:p w14:paraId="54EE941F">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136</w:t>
            </w:r>
          </w:p>
        </w:tc>
        <w:tc>
          <w:tcPr>
            <w:tcW w:w="548" w:type="pct"/>
            <w:shd w:val="clear" w:color="auto" w:fill="auto"/>
            <w:vAlign w:val="center"/>
          </w:tcPr>
          <w:p w14:paraId="7891B94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排烟管,弯头,变接</w:t>
            </w:r>
          </w:p>
        </w:tc>
        <w:tc>
          <w:tcPr>
            <w:tcW w:w="502" w:type="pct"/>
            <w:shd w:val="clear" w:color="auto" w:fill="auto"/>
            <w:noWrap/>
            <w:vAlign w:val="center"/>
          </w:tcPr>
          <w:p w14:paraId="7D83FD2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78105</wp:posOffset>
                  </wp:positionH>
                  <wp:positionV relativeFrom="paragraph">
                    <wp:posOffset>90170</wp:posOffset>
                  </wp:positionV>
                  <wp:extent cx="706120" cy="330200"/>
                  <wp:effectExtent l="0" t="0" r="17780" b="12700"/>
                  <wp:wrapNone/>
                  <wp:docPr id="33" name="图片_117"/>
                  <wp:cNvGraphicFramePr/>
                  <a:graphic xmlns:a="http://schemas.openxmlformats.org/drawingml/2006/main">
                    <a:graphicData uri="http://schemas.openxmlformats.org/drawingml/2006/picture">
                      <pic:pic xmlns:pic="http://schemas.openxmlformats.org/drawingml/2006/picture">
                        <pic:nvPicPr>
                          <pic:cNvPr id="33" name="图片_117"/>
                          <pic:cNvPicPr/>
                        </pic:nvPicPr>
                        <pic:blipFill>
                          <a:blip r:embed="rId95"/>
                          <a:stretch>
                            <a:fillRect/>
                          </a:stretch>
                        </pic:blipFill>
                        <pic:spPr>
                          <a:xfrm>
                            <a:off x="0" y="0"/>
                            <a:ext cx="706120" cy="330200"/>
                          </a:xfrm>
                          <a:prstGeom prst="rect">
                            <a:avLst/>
                          </a:prstGeom>
                          <a:noFill/>
                          <a:ln>
                            <a:noFill/>
                          </a:ln>
                        </pic:spPr>
                      </pic:pic>
                    </a:graphicData>
                  </a:graphic>
                </wp:anchor>
              </w:drawing>
            </w:r>
          </w:p>
        </w:tc>
        <w:tc>
          <w:tcPr>
            <w:tcW w:w="832" w:type="pct"/>
            <w:shd w:val="clear" w:color="auto" w:fill="auto"/>
            <w:noWrap/>
            <w:vAlign w:val="center"/>
          </w:tcPr>
          <w:p w14:paraId="0154DF96">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根据风管大小尺寸定制</w:t>
            </w:r>
          </w:p>
        </w:tc>
        <w:tc>
          <w:tcPr>
            <w:tcW w:w="1559" w:type="pct"/>
            <w:shd w:val="clear" w:color="auto" w:fill="auto"/>
            <w:vAlign w:val="center"/>
          </w:tcPr>
          <w:p w14:paraId="3E05508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1.采用热镀锌板≥1.0mm厚制作，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2.采用强力双面胶加固，专用防震胶固定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3.内部打满玻璃胶防止漏油。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4、含A级防火离心玻璃棉125m²（华美）</w:t>
            </w:r>
          </w:p>
        </w:tc>
        <w:tc>
          <w:tcPr>
            <w:tcW w:w="376" w:type="pct"/>
            <w:shd w:val="clear" w:color="auto" w:fill="auto"/>
            <w:noWrap/>
            <w:vAlign w:val="center"/>
          </w:tcPr>
          <w:p w14:paraId="771D35C4">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684294A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w:t>
            </w:r>
          </w:p>
        </w:tc>
        <w:tc>
          <w:tcPr>
            <w:tcW w:w="235" w:type="pct"/>
            <w:shd w:val="clear" w:color="auto" w:fill="auto"/>
            <w:noWrap/>
            <w:vAlign w:val="center"/>
          </w:tcPr>
          <w:p w14:paraId="0B71C09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m²</w:t>
            </w:r>
          </w:p>
        </w:tc>
        <w:tc>
          <w:tcPr>
            <w:tcW w:w="226" w:type="pct"/>
            <w:shd w:val="clear" w:color="auto" w:fill="auto"/>
            <w:noWrap/>
            <w:vAlign w:val="center"/>
          </w:tcPr>
          <w:p w14:paraId="5CE384E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308</w:t>
            </w:r>
          </w:p>
        </w:tc>
        <w:tc>
          <w:tcPr>
            <w:tcW w:w="231" w:type="pct"/>
            <w:shd w:val="clear" w:color="auto" w:fill="auto"/>
            <w:noWrap/>
            <w:vAlign w:val="center"/>
          </w:tcPr>
          <w:p w14:paraId="56896E6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38500</w:t>
            </w:r>
          </w:p>
        </w:tc>
      </w:tr>
      <w:tr w14:paraId="3326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00" w:hRule="atLeast"/>
        </w:trPr>
        <w:tc>
          <w:tcPr>
            <w:tcW w:w="270" w:type="pct"/>
            <w:shd w:val="clear" w:color="auto" w:fill="auto"/>
            <w:noWrap/>
            <w:vAlign w:val="center"/>
          </w:tcPr>
          <w:p w14:paraId="2C8FE1D3">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137</w:t>
            </w:r>
          </w:p>
        </w:tc>
        <w:tc>
          <w:tcPr>
            <w:tcW w:w="548" w:type="pct"/>
            <w:shd w:val="clear" w:color="auto" w:fill="auto"/>
            <w:vAlign w:val="center"/>
          </w:tcPr>
          <w:p w14:paraId="42E4E83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消音器</w:t>
            </w:r>
          </w:p>
        </w:tc>
        <w:tc>
          <w:tcPr>
            <w:tcW w:w="502" w:type="pct"/>
            <w:shd w:val="clear" w:color="auto" w:fill="auto"/>
            <w:noWrap/>
            <w:vAlign w:val="center"/>
          </w:tcPr>
          <w:p w14:paraId="0AD7E3C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59690</wp:posOffset>
                  </wp:positionH>
                  <wp:positionV relativeFrom="paragraph">
                    <wp:posOffset>50800</wp:posOffset>
                  </wp:positionV>
                  <wp:extent cx="715645" cy="352425"/>
                  <wp:effectExtent l="0" t="0" r="8255" b="9525"/>
                  <wp:wrapNone/>
                  <wp:docPr id="44" name="图片_119"/>
                  <wp:cNvGraphicFramePr/>
                  <a:graphic xmlns:a="http://schemas.openxmlformats.org/drawingml/2006/main">
                    <a:graphicData uri="http://schemas.openxmlformats.org/drawingml/2006/picture">
                      <pic:pic xmlns:pic="http://schemas.openxmlformats.org/drawingml/2006/picture">
                        <pic:nvPicPr>
                          <pic:cNvPr id="44" name="图片_119"/>
                          <pic:cNvPicPr/>
                        </pic:nvPicPr>
                        <pic:blipFill>
                          <a:blip r:embed="rId96"/>
                          <a:stretch>
                            <a:fillRect/>
                          </a:stretch>
                        </pic:blipFill>
                        <pic:spPr>
                          <a:xfrm>
                            <a:off x="0" y="0"/>
                            <a:ext cx="715645" cy="352425"/>
                          </a:xfrm>
                          <a:prstGeom prst="rect">
                            <a:avLst/>
                          </a:prstGeom>
                          <a:noFill/>
                          <a:ln>
                            <a:noFill/>
                          </a:ln>
                        </pic:spPr>
                      </pic:pic>
                    </a:graphicData>
                  </a:graphic>
                </wp:anchor>
              </w:drawing>
            </w:r>
          </w:p>
        </w:tc>
        <w:tc>
          <w:tcPr>
            <w:tcW w:w="832" w:type="pct"/>
            <w:shd w:val="clear" w:color="auto" w:fill="auto"/>
            <w:noWrap/>
            <w:vAlign w:val="center"/>
          </w:tcPr>
          <w:p w14:paraId="1C24F87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根据风管大小尺寸定制</w:t>
            </w:r>
          </w:p>
        </w:tc>
        <w:tc>
          <w:tcPr>
            <w:tcW w:w="1559" w:type="pct"/>
            <w:shd w:val="clear" w:color="auto" w:fill="auto"/>
            <w:vAlign w:val="center"/>
          </w:tcPr>
          <w:p w14:paraId="230494E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1.采用热镀锌板≥1.0mm厚制作，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2.采用强力双面胶加固，专用防震胶固定</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3.内部采用国标隔音棉制作。4.A级橡塑保温棉12m²</w:t>
            </w:r>
          </w:p>
        </w:tc>
        <w:tc>
          <w:tcPr>
            <w:tcW w:w="376" w:type="pct"/>
            <w:shd w:val="clear" w:color="auto" w:fill="auto"/>
            <w:noWrap/>
            <w:vAlign w:val="center"/>
          </w:tcPr>
          <w:p w14:paraId="092B102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华美</w:t>
            </w:r>
          </w:p>
        </w:tc>
        <w:tc>
          <w:tcPr>
            <w:tcW w:w="216" w:type="pct"/>
            <w:shd w:val="clear" w:color="auto" w:fill="auto"/>
            <w:vAlign w:val="center"/>
          </w:tcPr>
          <w:p w14:paraId="452FE50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w:t>
            </w:r>
          </w:p>
        </w:tc>
        <w:tc>
          <w:tcPr>
            <w:tcW w:w="235" w:type="pct"/>
            <w:shd w:val="clear" w:color="auto" w:fill="auto"/>
            <w:vAlign w:val="center"/>
          </w:tcPr>
          <w:p w14:paraId="4796A10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m²</w:t>
            </w:r>
          </w:p>
        </w:tc>
        <w:tc>
          <w:tcPr>
            <w:tcW w:w="226" w:type="pct"/>
            <w:shd w:val="clear" w:color="auto" w:fill="auto"/>
            <w:noWrap/>
            <w:vAlign w:val="center"/>
          </w:tcPr>
          <w:p w14:paraId="206189A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310</w:t>
            </w:r>
          </w:p>
        </w:tc>
        <w:tc>
          <w:tcPr>
            <w:tcW w:w="231" w:type="pct"/>
            <w:shd w:val="clear" w:color="auto" w:fill="auto"/>
            <w:noWrap/>
            <w:vAlign w:val="center"/>
          </w:tcPr>
          <w:p w14:paraId="5083704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3720</w:t>
            </w:r>
          </w:p>
        </w:tc>
      </w:tr>
      <w:tr w14:paraId="57D5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70" w:type="pct"/>
            <w:shd w:val="clear" w:color="auto" w:fill="auto"/>
            <w:noWrap/>
            <w:vAlign w:val="center"/>
          </w:tcPr>
          <w:p w14:paraId="27DAD711">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138</w:t>
            </w:r>
          </w:p>
        </w:tc>
        <w:tc>
          <w:tcPr>
            <w:tcW w:w="548" w:type="pct"/>
            <w:shd w:val="clear" w:color="auto" w:fill="auto"/>
            <w:vAlign w:val="center"/>
          </w:tcPr>
          <w:p w14:paraId="2AA0957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三角码</w:t>
            </w:r>
          </w:p>
        </w:tc>
        <w:tc>
          <w:tcPr>
            <w:tcW w:w="502" w:type="pct"/>
            <w:shd w:val="clear" w:color="auto" w:fill="auto"/>
            <w:noWrap/>
            <w:vAlign w:val="center"/>
          </w:tcPr>
          <w:p w14:paraId="49A11A4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18415</wp:posOffset>
                  </wp:positionH>
                  <wp:positionV relativeFrom="paragraph">
                    <wp:posOffset>73660</wp:posOffset>
                  </wp:positionV>
                  <wp:extent cx="762000" cy="410210"/>
                  <wp:effectExtent l="0" t="0" r="0" b="8890"/>
                  <wp:wrapNone/>
                  <wp:docPr id="19" name="图片_121"/>
                  <wp:cNvGraphicFramePr/>
                  <a:graphic xmlns:a="http://schemas.openxmlformats.org/drawingml/2006/main">
                    <a:graphicData uri="http://schemas.openxmlformats.org/drawingml/2006/picture">
                      <pic:pic xmlns:pic="http://schemas.openxmlformats.org/drawingml/2006/picture">
                        <pic:nvPicPr>
                          <pic:cNvPr id="19" name="图片_121"/>
                          <pic:cNvPicPr/>
                        </pic:nvPicPr>
                        <pic:blipFill>
                          <a:blip r:embed="rId97"/>
                          <a:stretch>
                            <a:fillRect/>
                          </a:stretch>
                        </pic:blipFill>
                        <pic:spPr>
                          <a:xfrm>
                            <a:off x="0" y="0"/>
                            <a:ext cx="762000" cy="410210"/>
                          </a:xfrm>
                          <a:prstGeom prst="rect">
                            <a:avLst/>
                          </a:prstGeom>
                          <a:noFill/>
                          <a:ln>
                            <a:noFill/>
                          </a:ln>
                        </pic:spPr>
                      </pic:pic>
                    </a:graphicData>
                  </a:graphic>
                </wp:anchor>
              </w:drawing>
            </w:r>
          </w:p>
        </w:tc>
        <w:tc>
          <w:tcPr>
            <w:tcW w:w="832" w:type="pct"/>
            <w:shd w:val="clear" w:color="auto" w:fill="auto"/>
            <w:noWrap/>
            <w:vAlign w:val="center"/>
          </w:tcPr>
          <w:p w14:paraId="4197229C">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13B1792C">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1.采用4*4角铁制作</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2.外加喷漆</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3.拉爆螺丝固定</w:t>
            </w:r>
          </w:p>
        </w:tc>
        <w:tc>
          <w:tcPr>
            <w:tcW w:w="376" w:type="pct"/>
            <w:shd w:val="clear" w:color="auto" w:fill="auto"/>
            <w:noWrap/>
            <w:vAlign w:val="center"/>
          </w:tcPr>
          <w:p w14:paraId="658D8B91">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vAlign w:val="center"/>
          </w:tcPr>
          <w:p w14:paraId="7A1DA6D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w:t>
            </w:r>
          </w:p>
        </w:tc>
        <w:tc>
          <w:tcPr>
            <w:tcW w:w="235" w:type="pct"/>
            <w:shd w:val="clear" w:color="auto" w:fill="auto"/>
            <w:vAlign w:val="center"/>
          </w:tcPr>
          <w:p w14:paraId="6DE9FD9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副</w:t>
            </w:r>
          </w:p>
        </w:tc>
        <w:tc>
          <w:tcPr>
            <w:tcW w:w="226" w:type="pct"/>
            <w:shd w:val="clear" w:color="auto" w:fill="auto"/>
            <w:noWrap/>
            <w:vAlign w:val="center"/>
          </w:tcPr>
          <w:p w14:paraId="44C46FE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25</w:t>
            </w:r>
          </w:p>
        </w:tc>
        <w:tc>
          <w:tcPr>
            <w:tcW w:w="231" w:type="pct"/>
            <w:shd w:val="clear" w:color="auto" w:fill="auto"/>
            <w:noWrap/>
            <w:vAlign w:val="center"/>
          </w:tcPr>
          <w:p w14:paraId="17FAA71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500</w:t>
            </w:r>
          </w:p>
        </w:tc>
      </w:tr>
      <w:tr w14:paraId="767D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0" w:type="pct"/>
            <w:shd w:val="clear" w:color="auto" w:fill="auto"/>
            <w:noWrap/>
            <w:vAlign w:val="center"/>
          </w:tcPr>
          <w:p w14:paraId="02A0210D">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139</w:t>
            </w:r>
          </w:p>
        </w:tc>
        <w:tc>
          <w:tcPr>
            <w:tcW w:w="548" w:type="pct"/>
            <w:shd w:val="clear" w:color="auto" w:fill="auto"/>
            <w:noWrap/>
            <w:vAlign w:val="center"/>
          </w:tcPr>
          <w:p w14:paraId="174B686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铝合金百叶风口</w:t>
            </w:r>
          </w:p>
        </w:tc>
        <w:tc>
          <w:tcPr>
            <w:tcW w:w="502" w:type="pct"/>
            <w:shd w:val="clear" w:color="auto" w:fill="auto"/>
            <w:noWrap/>
            <w:vAlign w:val="center"/>
          </w:tcPr>
          <w:p w14:paraId="2F0C620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66675</wp:posOffset>
                  </wp:positionH>
                  <wp:positionV relativeFrom="paragraph">
                    <wp:posOffset>15240</wp:posOffset>
                  </wp:positionV>
                  <wp:extent cx="562610" cy="419100"/>
                  <wp:effectExtent l="0" t="0" r="8890" b="0"/>
                  <wp:wrapNone/>
                  <wp:docPr id="35" name="图片_123"/>
                  <wp:cNvGraphicFramePr/>
                  <a:graphic xmlns:a="http://schemas.openxmlformats.org/drawingml/2006/main">
                    <a:graphicData uri="http://schemas.openxmlformats.org/drawingml/2006/picture">
                      <pic:pic xmlns:pic="http://schemas.openxmlformats.org/drawingml/2006/picture">
                        <pic:nvPicPr>
                          <pic:cNvPr id="35" name="图片_123"/>
                          <pic:cNvPicPr/>
                        </pic:nvPicPr>
                        <pic:blipFill>
                          <a:blip r:embed="rId98"/>
                          <a:stretch>
                            <a:fillRect/>
                          </a:stretch>
                        </pic:blipFill>
                        <pic:spPr>
                          <a:xfrm>
                            <a:off x="0" y="0"/>
                            <a:ext cx="562610" cy="419100"/>
                          </a:xfrm>
                          <a:prstGeom prst="rect">
                            <a:avLst/>
                          </a:prstGeom>
                          <a:noFill/>
                          <a:ln>
                            <a:noFill/>
                          </a:ln>
                        </pic:spPr>
                      </pic:pic>
                    </a:graphicData>
                  </a:graphic>
                </wp:anchor>
              </w:drawing>
            </w:r>
          </w:p>
        </w:tc>
        <w:tc>
          <w:tcPr>
            <w:tcW w:w="832" w:type="pct"/>
            <w:shd w:val="clear" w:color="auto" w:fill="auto"/>
            <w:noWrap/>
            <w:vAlign w:val="center"/>
          </w:tcPr>
          <w:p w14:paraId="7DBE215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400×200mm</w:t>
            </w:r>
          </w:p>
        </w:tc>
        <w:tc>
          <w:tcPr>
            <w:tcW w:w="1559" w:type="pct"/>
            <w:shd w:val="clear" w:color="auto" w:fill="auto"/>
            <w:vAlign w:val="center"/>
          </w:tcPr>
          <w:p w14:paraId="74145B4A">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采用铝合金制作，双向调风。</w:t>
            </w:r>
          </w:p>
        </w:tc>
        <w:tc>
          <w:tcPr>
            <w:tcW w:w="376" w:type="pct"/>
            <w:shd w:val="clear" w:color="auto" w:fill="auto"/>
            <w:noWrap/>
            <w:vAlign w:val="center"/>
          </w:tcPr>
          <w:p w14:paraId="6E245927">
            <w:pPr>
              <w:jc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sz w:val="18"/>
                <w:szCs w:val="18"/>
                <w:highlight w:val="none"/>
                <w:u w:val="none"/>
                <w:lang w:val="en-US" w:eastAsia="zh-CN"/>
              </w:rPr>
              <w:t>定制品</w:t>
            </w:r>
          </w:p>
        </w:tc>
        <w:tc>
          <w:tcPr>
            <w:tcW w:w="216" w:type="pct"/>
            <w:shd w:val="clear" w:color="auto" w:fill="auto"/>
            <w:noWrap/>
            <w:vAlign w:val="center"/>
          </w:tcPr>
          <w:p w14:paraId="495A08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30</w:t>
            </w:r>
          </w:p>
        </w:tc>
        <w:tc>
          <w:tcPr>
            <w:tcW w:w="235" w:type="pct"/>
            <w:shd w:val="clear" w:color="auto" w:fill="auto"/>
            <w:noWrap/>
            <w:vAlign w:val="center"/>
          </w:tcPr>
          <w:p w14:paraId="213E188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个</w:t>
            </w:r>
          </w:p>
        </w:tc>
        <w:tc>
          <w:tcPr>
            <w:tcW w:w="226" w:type="pct"/>
            <w:shd w:val="clear" w:color="auto" w:fill="auto"/>
            <w:vAlign w:val="center"/>
          </w:tcPr>
          <w:p w14:paraId="0849EAF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60</w:t>
            </w:r>
          </w:p>
        </w:tc>
        <w:tc>
          <w:tcPr>
            <w:tcW w:w="231" w:type="pct"/>
            <w:shd w:val="clear" w:color="auto" w:fill="auto"/>
            <w:noWrap/>
            <w:vAlign w:val="center"/>
          </w:tcPr>
          <w:p w14:paraId="12C4DF2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1800</w:t>
            </w:r>
          </w:p>
        </w:tc>
      </w:tr>
      <w:tr w14:paraId="3998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70" w:type="pct"/>
            <w:shd w:val="clear" w:color="auto" w:fill="auto"/>
            <w:noWrap/>
            <w:vAlign w:val="center"/>
          </w:tcPr>
          <w:p w14:paraId="0239B8FF">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140</w:t>
            </w:r>
          </w:p>
        </w:tc>
        <w:tc>
          <w:tcPr>
            <w:tcW w:w="548" w:type="pct"/>
            <w:shd w:val="clear" w:color="auto" w:fill="auto"/>
            <w:noWrap/>
            <w:vAlign w:val="center"/>
          </w:tcPr>
          <w:p w14:paraId="06D0A76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A级保温棉</w:t>
            </w:r>
          </w:p>
        </w:tc>
        <w:tc>
          <w:tcPr>
            <w:tcW w:w="502" w:type="pct"/>
            <w:shd w:val="clear" w:color="auto" w:fill="auto"/>
            <w:noWrap/>
            <w:vAlign w:val="center"/>
          </w:tcPr>
          <w:p w14:paraId="4A1C1FE4">
            <w:pPr>
              <w:rPr>
                <w:rFonts w:hint="eastAsia" w:ascii="仿宋" w:hAnsi="仿宋" w:eastAsia="仿宋" w:cs="仿宋"/>
                <w:i w:val="0"/>
                <w:iCs w:val="0"/>
                <w:color w:val="000000"/>
                <w:sz w:val="18"/>
                <w:szCs w:val="18"/>
                <w:highlight w:val="none"/>
                <w:u w:val="none"/>
              </w:rPr>
            </w:pPr>
          </w:p>
        </w:tc>
        <w:tc>
          <w:tcPr>
            <w:tcW w:w="832" w:type="pct"/>
            <w:shd w:val="clear" w:color="auto" w:fill="auto"/>
            <w:noWrap/>
            <w:vAlign w:val="center"/>
          </w:tcPr>
          <w:p w14:paraId="632C70FD">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3A8D4FD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采用国家标准30MM厚</w:t>
            </w:r>
          </w:p>
        </w:tc>
        <w:tc>
          <w:tcPr>
            <w:tcW w:w="376" w:type="pct"/>
            <w:shd w:val="clear" w:color="auto" w:fill="auto"/>
            <w:noWrap/>
            <w:vAlign w:val="center"/>
          </w:tcPr>
          <w:p w14:paraId="38490B2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华美、神州、赢胜</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noWrap/>
            <w:vAlign w:val="center"/>
          </w:tcPr>
          <w:p w14:paraId="7A9284D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125</w:t>
            </w:r>
          </w:p>
        </w:tc>
        <w:tc>
          <w:tcPr>
            <w:tcW w:w="235" w:type="pct"/>
            <w:shd w:val="clear" w:color="auto" w:fill="auto"/>
            <w:vAlign w:val="center"/>
          </w:tcPr>
          <w:p w14:paraId="531C001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m²</w:t>
            </w:r>
          </w:p>
        </w:tc>
        <w:tc>
          <w:tcPr>
            <w:tcW w:w="226" w:type="pct"/>
            <w:shd w:val="clear" w:color="auto" w:fill="auto"/>
            <w:noWrap/>
            <w:vAlign w:val="center"/>
          </w:tcPr>
          <w:p w14:paraId="50345CB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85</w:t>
            </w:r>
          </w:p>
        </w:tc>
        <w:tc>
          <w:tcPr>
            <w:tcW w:w="231" w:type="pct"/>
            <w:shd w:val="clear" w:color="auto" w:fill="auto"/>
            <w:noWrap/>
            <w:vAlign w:val="center"/>
          </w:tcPr>
          <w:p w14:paraId="2E17A47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10625</w:t>
            </w:r>
          </w:p>
        </w:tc>
      </w:tr>
      <w:tr w14:paraId="78D1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70" w:type="pct"/>
            <w:shd w:val="clear" w:color="auto" w:fill="auto"/>
            <w:noWrap/>
            <w:vAlign w:val="center"/>
          </w:tcPr>
          <w:p w14:paraId="1C8B0BF5">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141</w:t>
            </w:r>
          </w:p>
        </w:tc>
        <w:tc>
          <w:tcPr>
            <w:tcW w:w="548" w:type="pct"/>
            <w:shd w:val="clear" w:color="auto" w:fill="auto"/>
            <w:vAlign w:val="center"/>
          </w:tcPr>
          <w:p w14:paraId="60C0673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电缆线</w:t>
            </w:r>
          </w:p>
        </w:tc>
        <w:tc>
          <w:tcPr>
            <w:tcW w:w="502" w:type="pct"/>
            <w:shd w:val="clear" w:color="auto" w:fill="auto"/>
            <w:noWrap/>
            <w:vAlign w:val="center"/>
          </w:tcPr>
          <w:p w14:paraId="3E4E41E1">
            <w:pPr>
              <w:rPr>
                <w:rFonts w:hint="eastAsia" w:ascii="仿宋" w:hAnsi="仿宋" w:eastAsia="仿宋" w:cs="仿宋"/>
                <w:i w:val="0"/>
                <w:iCs w:val="0"/>
                <w:color w:val="000000"/>
                <w:sz w:val="18"/>
                <w:szCs w:val="18"/>
                <w:highlight w:val="none"/>
                <w:u w:val="none"/>
              </w:rPr>
            </w:pPr>
          </w:p>
        </w:tc>
        <w:tc>
          <w:tcPr>
            <w:tcW w:w="832" w:type="pct"/>
            <w:shd w:val="clear" w:color="auto" w:fill="auto"/>
            <w:noWrap/>
            <w:vAlign w:val="center"/>
          </w:tcPr>
          <w:p w14:paraId="6F0CA525">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7986FEA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采用国家标准6芯6平方电缆线</w:t>
            </w:r>
          </w:p>
        </w:tc>
        <w:tc>
          <w:tcPr>
            <w:tcW w:w="376" w:type="pct"/>
            <w:shd w:val="clear" w:color="auto" w:fill="auto"/>
            <w:noWrap/>
            <w:vAlign w:val="center"/>
          </w:tcPr>
          <w:p w14:paraId="1201F4A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正泰、德力西、桂林国际</w:t>
            </w:r>
            <w:r>
              <w:rPr>
                <w:rFonts w:hint="eastAsia" w:ascii="仿宋" w:hAnsi="仿宋" w:eastAsia="仿宋" w:cs="仿宋"/>
                <w:color w:val="000000"/>
                <w:kern w:val="0"/>
                <w:sz w:val="18"/>
                <w:szCs w:val="18"/>
                <w:highlight w:val="none"/>
                <w:lang w:bidi="ar"/>
              </w:rPr>
              <w:t>或相当于上述品牌同等档次产品</w:t>
            </w:r>
          </w:p>
        </w:tc>
        <w:tc>
          <w:tcPr>
            <w:tcW w:w="216" w:type="pct"/>
            <w:shd w:val="clear" w:color="auto" w:fill="auto"/>
            <w:vAlign w:val="center"/>
          </w:tcPr>
          <w:p w14:paraId="0DAD50E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135</w:t>
            </w:r>
          </w:p>
        </w:tc>
        <w:tc>
          <w:tcPr>
            <w:tcW w:w="235" w:type="pct"/>
            <w:shd w:val="clear" w:color="auto" w:fill="auto"/>
            <w:vAlign w:val="center"/>
          </w:tcPr>
          <w:p w14:paraId="2B6E8F4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w:t>
            </w:r>
          </w:p>
        </w:tc>
        <w:tc>
          <w:tcPr>
            <w:tcW w:w="226" w:type="pct"/>
            <w:shd w:val="clear" w:color="auto" w:fill="auto"/>
            <w:noWrap/>
            <w:vAlign w:val="center"/>
          </w:tcPr>
          <w:p w14:paraId="4D19E97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85</w:t>
            </w:r>
          </w:p>
        </w:tc>
        <w:tc>
          <w:tcPr>
            <w:tcW w:w="231" w:type="pct"/>
            <w:shd w:val="clear" w:color="auto" w:fill="auto"/>
            <w:noWrap/>
            <w:vAlign w:val="center"/>
          </w:tcPr>
          <w:p w14:paraId="617BB26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11475</w:t>
            </w:r>
          </w:p>
        </w:tc>
      </w:tr>
      <w:tr w14:paraId="2D45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70" w:type="pct"/>
            <w:shd w:val="clear" w:color="auto" w:fill="auto"/>
            <w:noWrap/>
            <w:vAlign w:val="center"/>
          </w:tcPr>
          <w:p w14:paraId="0FF1D510">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142</w:t>
            </w:r>
          </w:p>
        </w:tc>
        <w:tc>
          <w:tcPr>
            <w:tcW w:w="548" w:type="pct"/>
            <w:shd w:val="clear" w:color="auto" w:fill="auto"/>
            <w:noWrap/>
            <w:vAlign w:val="center"/>
          </w:tcPr>
          <w:p w14:paraId="01DFB83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拆除吊顶及恢复吊顶</w:t>
            </w:r>
          </w:p>
        </w:tc>
        <w:tc>
          <w:tcPr>
            <w:tcW w:w="502" w:type="pct"/>
            <w:shd w:val="clear" w:color="auto" w:fill="auto"/>
            <w:noWrap/>
            <w:vAlign w:val="center"/>
          </w:tcPr>
          <w:p w14:paraId="1F6097C4">
            <w:pPr>
              <w:rPr>
                <w:rFonts w:hint="eastAsia" w:ascii="仿宋" w:hAnsi="仿宋" w:eastAsia="仿宋" w:cs="仿宋"/>
                <w:i w:val="0"/>
                <w:iCs w:val="0"/>
                <w:color w:val="000000"/>
                <w:sz w:val="18"/>
                <w:szCs w:val="18"/>
                <w:highlight w:val="none"/>
                <w:u w:val="none"/>
              </w:rPr>
            </w:pPr>
          </w:p>
        </w:tc>
        <w:tc>
          <w:tcPr>
            <w:tcW w:w="832" w:type="pct"/>
            <w:shd w:val="clear" w:color="auto" w:fill="auto"/>
            <w:noWrap/>
            <w:vAlign w:val="center"/>
          </w:tcPr>
          <w:p w14:paraId="43CE22FD">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61BDAFA7">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拆除及恢复人工费材料费</w:t>
            </w:r>
          </w:p>
        </w:tc>
        <w:tc>
          <w:tcPr>
            <w:tcW w:w="376" w:type="pct"/>
            <w:shd w:val="clear" w:color="auto" w:fill="auto"/>
            <w:noWrap/>
            <w:vAlign w:val="center"/>
          </w:tcPr>
          <w:p w14:paraId="041365E5">
            <w:pPr>
              <w:jc w:val="center"/>
              <w:rPr>
                <w:rFonts w:hint="eastAsia" w:ascii="仿宋" w:hAnsi="仿宋" w:eastAsia="仿宋" w:cs="仿宋"/>
                <w:i w:val="0"/>
                <w:iCs w:val="0"/>
                <w:color w:val="000000"/>
                <w:sz w:val="18"/>
                <w:szCs w:val="18"/>
                <w:highlight w:val="none"/>
                <w:u w:val="none"/>
              </w:rPr>
            </w:pPr>
          </w:p>
        </w:tc>
        <w:tc>
          <w:tcPr>
            <w:tcW w:w="216" w:type="pct"/>
            <w:shd w:val="clear" w:color="auto" w:fill="auto"/>
            <w:noWrap/>
            <w:vAlign w:val="center"/>
          </w:tcPr>
          <w:p w14:paraId="2C96F29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470</w:t>
            </w:r>
          </w:p>
        </w:tc>
        <w:tc>
          <w:tcPr>
            <w:tcW w:w="235" w:type="pct"/>
            <w:shd w:val="clear" w:color="auto" w:fill="auto"/>
            <w:vAlign w:val="center"/>
          </w:tcPr>
          <w:p w14:paraId="66C0158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m²</w:t>
            </w:r>
          </w:p>
        </w:tc>
        <w:tc>
          <w:tcPr>
            <w:tcW w:w="226" w:type="pct"/>
            <w:shd w:val="clear" w:color="auto" w:fill="auto"/>
            <w:noWrap/>
            <w:vAlign w:val="center"/>
          </w:tcPr>
          <w:p w14:paraId="3333883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66</w:t>
            </w:r>
          </w:p>
        </w:tc>
        <w:tc>
          <w:tcPr>
            <w:tcW w:w="231" w:type="pct"/>
            <w:shd w:val="clear" w:color="auto" w:fill="auto"/>
            <w:noWrap/>
            <w:vAlign w:val="center"/>
          </w:tcPr>
          <w:p w14:paraId="173B067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31020</w:t>
            </w:r>
          </w:p>
        </w:tc>
      </w:tr>
      <w:tr w14:paraId="1FAE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shd w:val="clear" w:color="auto" w:fill="auto"/>
            <w:noWrap/>
            <w:vAlign w:val="center"/>
          </w:tcPr>
          <w:p w14:paraId="59756186">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143</w:t>
            </w:r>
          </w:p>
        </w:tc>
        <w:tc>
          <w:tcPr>
            <w:tcW w:w="548" w:type="pct"/>
            <w:shd w:val="clear" w:color="auto" w:fill="auto"/>
            <w:noWrap/>
            <w:vAlign w:val="center"/>
          </w:tcPr>
          <w:p w14:paraId="0E97829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五金配件</w:t>
            </w:r>
          </w:p>
        </w:tc>
        <w:tc>
          <w:tcPr>
            <w:tcW w:w="502" w:type="pct"/>
            <w:shd w:val="clear" w:color="auto" w:fill="auto"/>
            <w:noWrap/>
            <w:vAlign w:val="center"/>
          </w:tcPr>
          <w:p w14:paraId="0CEAFF79">
            <w:pPr>
              <w:rPr>
                <w:rFonts w:hint="eastAsia" w:ascii="仿宋" w:hAnsi="仿宋" w:eastAsia="仿宋" w:cs="仿宋"/>
                <w:i w:val="0"/>
                <w:iCs w:val="0"/>
                <w:color w:val="000000"/>
                <w:sz w:val="18"/>
                <w:szCs w:val="18"/>
                <w:highlight w:val="none"/>
                <w:u w:val="none"/>
              </w:rPr>
            </w:pPr>
          </w:p>
        </w:tc>
        <w:tc>
          <w:tcPr>
            <w:tcW w:w="832" w:type="pct"/>
            <w:shd w:val="clear" w:color="auto" w:fill="auto"/>
            <w:noWrap/>
            <w:vAlign w:val="center"/>
          </w:tcPr>
          <w:p w14:paraId="63BD744A">
            <w:pPr>
              <w:rPr>
                <w:rFonts w:hint="eastAsia" w:ascii="仿宋" w:hAnsi="仿宋" w:eastAsia="仿宋" w:cs="仿宋"/>
                <w:i w:val="0"/>
                <w:iCs w:val="0"/>
                <w:color w:val="000000"/>
                <w:sz w:val="18"/>
                <w:szCs w:val="18"/>
                <w:highlight w:val="none"/>
                <w:u w:val="none"/>
              </w:rPr>
            </w:pPr>
          </w:p>
        </w:tc>
        <w:tc>
          <w:tcPr>
            <w:tcW w:w="1559" w:type="pct"/>
            <w:shd w:val="clear" w:color="auto" w:fill="auto"/>
            <w:vAlign w:val="center"/>
          </w:tcPr>
          <w:p w14:paraId="5EBA2B2B">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厨房设备及抽排系统的安装过程中需使用的用于固定，加固，加强的配件，及副材，如角钢，膨胀螺丝，防油玻璃胶，电焊条等.</w:t>
            </w:r>
          </w:p>
        </w:tc>
        <w:tc>
          <w:tcPr>
            <w:tcW w:w="376" w:type="pct"/>
            <w:shd w:val="clear" w:color="auto" w:fill="auto"/>
            <w:noWrap/>
            <w:vAlign w:val="center"/>
          </w:tcPr>
          <w:p w14:paraId="6A7B0F47">
            <w:pPr>
              <w:widowControl/>
              <w:jc w:val="center"/>
              <w:textAlignment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kern w:val="0"/>
                <w:sz w:val="18"/>
                <w:szCs w:val="18"/>
                <w:highlight w:val="none"/>
                <w:u w:val="none"/>
                <w:lang w:val="en-US" w:eastAsia="zh-CN" w:bidi="ar"/>
              </w:rPr>
              <w:t>包干价，</w:t>
            </w:r>
            <w:r>
              <w:rPr>
                <w:rFonts w:hint="eastAsia" w:ascii="仿宋" w:hAnsi="仿宋" w:eastAsia="仿宋" w:cs="仿宋"/>
                <w:b w:val="0"/>
                <w:bCs w:val="0"/>
                <w:i w:val="0"/>
                <w:iCs w:val="0"/>
                <w:caps w:val="0"/>
                <w:color w:val="000000"/>
                <w:spacing w:val="0"/>
                <w:kern w:val="0"/>
                <w:sz w:val="18"/>
                <w:szCs w:val="18"/>
                <w:highlight w:val="none"/>
                <w:u w:val="none"/>
                <w:shd w:val="clear"/>
                <w:lang w:bidi="ar"/>
              </w:rPr>
              <w:t>不因实际用量、市场价格波动等因素调整。</w:t>
            </w:r>
          </w:p>
        </w:tc>
        <w:tc>
          <w:tcPr>
            <w:tcW w:w="216" w:type="pct"/>
            <w:shd w:val="clear" w:color="auto" w:fill="auto"/>
            <w:noWrap/>
            <w:vAlign w:val="center"/>
          </w:tcPr>
          <w:p w14:paraId="2BE515B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12ACA06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项</w:t>
            </w:r>
          </w:p>
        </w:tc>
        <w:tc>
          <w:tcPr>
            <w:tcW w:w="226" w:type="pct"/>
            <w:shd w:val="clear" w:color="auto" w:fill="auto"/>
            <w:noWrap/>
            <w:vAlign w:val="center"/>
          </w:tcPr>
          <w:p w14:paraId="5A64992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20000</w:t>
            </w:r>
          </w:p>
        </w:tc>
        <w:tc>
          <w:tcPr>
            <w:tcW w:w="231" w:type="pct"/>
            <w:shd w:val="clear" w:color="auto" w:fill="auto"/>
            <w:noWrap/>
            <w:vAlign w:val="center"/>
          </w:tcPr>
          <w:p w14:paraId="46CADAD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20000</w:t>
            </w:r>
          </w:p>
        </w:tc>
      </w:tr>
      <w:tr w14:paraId="7FE0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270" w:type="pct"/>
            <w:shd w:val="clear" w:color="auto" w:fill="auto"/>
            <w:noWrap/>
            <w:vAlign w:val="center"/>
          </w:tcPr>
          <w:p w14:paraId="4A647747">
            <w:pPr>
              <w:jc w:val="center"/>
              <w:rPr>
                <w:rFonts w:hint="default"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sz w:val="18"/>
                <w:szCs w:val="18"/>
                <w:highlight w:val="none"/>
                <w:u w:val="none"/>
                <w:lang w:val="en-US" w:eastAsia="zh-CN"/>
              </w:rPr>
              <w:t>144</w:t>
            </w:r>
          </w:p>
        </w:tc>
        <w:tc>
          <w:tcPr>
            <w:tcW w:w="548" w:type="pct"/>
            <w:shd w:val="clear" w:color="auto" w:fill="auto"/>
            <w:vAlign w:val="center"/>
          </w:tcPr>
          <w:p w14:paraId="0C477F5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含设备卸货搬运、就位安装、系统连接、调试运行及验收。</w:t>
            </w:r>
          </w:p>
        </w:tc>
        <w:tc>
          <w:tcPr>
            <w:tcW w:w="502" w:type="pct"/>
            <w:shd w:val="clear" w:color="auto" w:fill="auto"/>
            <w:noWrap/>
            <w:vAlign w:val="center"/>
          </w:tcPr>
          <w:p w14:paraId="6897D494">
            <w:pPr>
              <w:jc w:val="center"/>
              <w:rPr>
                <w:rFonts w:hint="eastAsia" w:ascii="仿宋" w:hAnsi="仿宋" w:eastAsia="仿宋" w:cs="仿宋"/>
                <w:i w:val="0"/>
                <w:iCs w:val="0"/>
                <w:color w:val="000000"/>
                <w:sz w:val="18"/>
                <w:szCs w:val="18"/>
                <w:highlight w:val="none"/>
                <w:u w:val="none"/>
              </w:rPr>
            </w:pPr>
          </w:p>
        </w:tc>
        <w:tc>
          <w:tcPr>
            <w:tcW w:w="832" w:type="pct"/>
            <w:shd w:val="clear" w:color="auto" w:fill="auto"/>
            <w:noWrap/>
            <w:vAlign w:val="center"/>
          </w:tcPr>
          <w:p w14:paraId="0816D7CC">
            <w:pPr>
              <w:jc w:val="center"/>
              <w:rPr>
                <w:rFonts w:hint="eastAsia" w:ascii="仿宋" w:hAnsi="仿宋" w:eastAsia="仿宋" w:cs="仿宋"/>
                <w:i w:val="0"/>
                <w:iCs w:val="0"/>
                <w:color w:val="000000"/>
                <w:sz w:val="18"/>
                <w:szCs w:val="18"/>
                <w:highlight w:val="none"/>
                <w:u w:val="none"/>
              </w:rPr>
            </w:pPr>
          </w:p>
        </w:tc>
        <w:tc>
          <w:tcPr>
            <w:tcW w:w="1559" w:type="pct"/>
            <w:shd w:val="clear" w:color="auto" w:fill="auto"/>
            <w:noWrap/>
            <w:vAlign w:val="center"/>
          </w:tcPr>
          <w:p w14:paraId="595FB05C">
            <w:pPr>
              <w:jc w:val="center"/>
              <w:rPr>
                <w:rFonts w:hint="eastAsia" w:ascii="仿宋" w:hAnsi="仿宋" w:eastAsia="仿宋" w:cs="仿宋"/>
                <w:i w:val="0"/>
                <w:iCs w:val="0"/>
                <w:color w:val="000000"/>
                <w:sz w:val="18"/>
                <w:szCs w:val="18"/>
                <w:highlight w:val="none"/>
                <w:u w:val="none"/>
              </w:rPr>
            </w:pPr>
          </w:p>
        </w:tc>
        <w:tc>
          <w:tcPr>
            <w:tcW w:w="376" w:type="pct"/>
            <w:shd w:val="clear" w:color="auto" w:fill="auto"/>
            <w:noWrap/>
            <w:vAlign w:val="center"/>
          </w:tcPr>
          <w:p w14:paraId="6A92C488">
            <w:pPr>
              <w:widowControl/>
              <w:jc w:val="center"/>
              <w:textAlignment w:val="center"/>
              <w:rPr>
                <w:rFonts w:hint="eastAsia" w:ascii="仿宋" w:hAnsi="仿宋" w:eastAsia="仿宋" w:cs="仿宋"/>
                <w:i w:val="0"/>
                <w:iCs w:val="0"/>
                <w:color w:val="000000"/>
                <w:sz w:val="18"/>
                <w:szCs w:val="18"/>
                <w:highlight w:val="none"/>
                <w:u w:val="none"/>
                <w:lang w:val="en-US" w:eastAsia="zh-CN"/>
              </w:rPr>
            </w:pPr>
            <w:r>
              <w:rPr>
                <w:rFonts w:hint="eastAsia" w:ascii="仿宋" w:hAnsi="仿宋" w:eastAsia="仿宋" w:cs="仿宋"/>
                <w:i w:val="0"/>
                <w:iCs w:val="0"/>
                <w:color w:val="000000"/>
                <w:kern w:val="0"/>
                <w:sz w:val="18"/>
                <w:szCs w:val="18"/>
                <w:highlight w:val="none"/>
                <w:u w:val="none"/>
                <w:lang w:val="en-US" w:eastAsia="zh-CN" w:bidi="ar"/>
              </w:rPr>
              <w:t>包干价，</w:t>
            </w:r>
            <w:r>
              <w:rPr>
                <w:rFonts w:hint="eastAsia" w:ascii="仿宋" w:hAnsi="仿宋" w:eastAsia="仿宋" w:cs="仿宋"/>
                <w:b w:val="0"/>
                <w:bCs w:val="0"/>
                <w:i w:val="0"/>
                <w:iCs w:val="0"/>
                <w:caps w:val="0"/>
                <w:color w:val="000000"/>
                <w:spacing w:val="0"/>
                <w:kern w:val="0"/>
                <w:sz w:val="18"/>
                <w:szCs w:val="18"/>
                <w:highlight w:val="none"/>
                <w:u w:val="none"/>
                <w:shd w:val="clear"/>
                <w:lang w:bidi="ar"/>
              </w:rPr>
              <w:t>不因安装难度、实际工作量、人工成本变化等因素调整。</w:t>
            </w:r>
          </w:p>
        </w:tc>
        <w:tc>
          <w:tcPr>
            <w:tcW w:w="216" w:type="pct"/>
            <w:shd w:val="clear" w:color="auto" w:fill="auto"/>
            <w:noWrap/>
            <w:vAlign w:val="center"/>
          </w:tcPr>
          <w:p w14:paraId="116C4A4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1</w:t>
            </w:r>
          </w:p>
        </w:tc>
        <w:tc>
          <w:tcPr>
            <w:tcW w:w="235" w:type="pct"/>
            <w:shd w:val="clear" w:color="auto" w:fill="auto"/>
            <w:noWrap/>
            <w:vAlign w:val="center"/>
          </w:tcPr>
          <w:p w14:paraId="77CFEC4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项</w:t>
            </w:r>
          </w:p>
        </w:tc>
        <w:tc>
          <w:tcPr>
            <w:tcW w:w="226" w:type="pct"/>
            <w:shd w:val="clear" w:color="auto" w:fill="auto"/>
            <w:noWrap/>
            <w:vAlign w:val="center"/>
          </w:tcPr>
          <w:p w14:paraId="6E84A162">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20000</w:t>
            </w:r>
          </w:p>
        </w:tc>
        <w:tc>
          <w:tcPr>
            <w:tcW w:w="231" w:type="pct"/>
            <w:shd w:val="clear" w:color="auto" w:fill="auto"/>
            <w:noWrap/>
            <w:vAlign w:val="center"/>
          </w:tcPr>
          <w:p w14:paraId="3B7F702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20000</w:t>
            </w:r>
          </w:p>
        </w:tc>
      </w:tr>
      <w:tr w14:paraId="5656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9" w:hRule="atLeast"/>
        </w:trPr>
        <w:tc>
          <w:tcPr>
            <w:tcW w:w="818" w:type="pct"/>
            <w:gridSpan w:val="2"/>
            <w:shd w:val="clear" w:color="auto" w:fill="auto"/>
            <w:noWrap/>
            <w:vAlign w:val="center"/>
          </w:tcPr>
          <w:p w14:paraId="48148C8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合计：</w:t>
            </w:r>
          </w:p>
        </w:tc>
        <w:tc>
          <w:tcPr>
            <w:tcW w:w="4181" w:type="pct"/>
            <w:gridSpan w:val="8"/>
            <w:shd w:val="clear" w:color="auto" w:fill="auto"/>
            <w:noWrap/>
            <w:vAlign w:val="center"/>
          </w:tcPr>
          <w:p w14:paraId="3521251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lang w:eastAsia="zh-CN"/>
              </w:rPr>
            </w:pPr>
            <w:r>
              <w:rPr>
                <w:rFonts w:hint="eastAsia" w:ascii="仿宋" w:hAnsi="仿宋" w:eastAsia="仿宋" w:cs="仿宋"/>
                <w:i w:val="0"/>
                <w:iCs w:val="0"/>
                <w:color w:val="000000"/>
                <w:sz w:val="18"/>
                <w:szCs w:val="18"/>
                <w:highlight w:val="none"/>
                <w:u w:val="none"/>
                <w:lang w:eastAsia="zh-CN"/>
              </w:rPr>
              <w:t>945642</w:t>
            </w:r>
          </w:p>
        </w:tc>
      </w:tr>
    </w:tbl>
    <w:p w14:paraId="7F1F56A2">
      <w:pPr>
        <w:numPr>
          <w:ilvl w:val="0"/>
          <w:numId w:val="0"/>
        </w:numPr>
        <w:spacing w:line="340" w:lineRule="exact"/>
        <w:outlineLvl w:val="1"/>
        <w:rPr>
          <w:rFonts w:hint="default"/>
          <w:highlight w:val="none"/>
          <w:lang w:val="en-US" w:eastAsia="zh-CN"/>
        </w:rPr>
      </w:pPr>
    </w:p>
    <w:p w14:paraId="57627CB3">
      <w:pPr>
        <w:numPr>
          <w:ilvl w:val="0"/>
          <w:numId w:val="0"/>
        </w:numPr>
        <w:spacing w:line="340" w:lineRule="exact"/>
        <w:outlineLvl w:val="1"/>
        <w:rPr>
          <w:rFonts w:hint="eastAsia"/>
          <w:highlight w:val="none"/>
        </w:rPr>
      </w:pPr>
      <w:r>
        <w:rPr>
          <w:rFonts w:hint="eastAsia"/>
          <w:highlight w:val="none"/>
        </w:rPr>
        <w:t>注：</w:t>
      </w:r>
    </w:p>
    <w:p w14:paraId="14607B14">
      <w:pPr>
        <w:numPr>
          <w:ilvl w:val="0"/>
          <w:numId w:val="0"/>
        </w:numPr>
        <w:spacing w:line="340" w:lineRule="exact"/>
        <w:outlineLvl w:val="1"/>
        <w:rPr>
          <w:rFonts w:hint="eastAsia"/>
          <w:highlight w:val="none"/>
        </w:rPr>
      </w:pPr>
      <w:r>
        <w:rPr>
          <w:rFonts w:hint="eastAsia"/>
          <w:highlight w:val="none"/>
        </w:rPr>
        <w:t>偏离认定说明</w:t>
      </w:r>
    </w:p>
    <w:p w14:paraId="23EBCD9A">
      <w:pPr>
        <w:numPr>
          <w:ilvl w:val="0"/>
          <w:numId w:val="0"/>
        </w:numPr>
        <w:spacing w:line="340" w:lineRule="exact"/>
        <w:outlineLvl w:val="1"/>
        <w:rPr>
          <w:rFonts w:hint="eastAsia"/>
          <w:highlight w:val="none"/>
        </w:rPr>
      </w:pPr>
      <w:r>
        <w:rPr>
          <w:rFonts w:hint="eastAsia"/>
          <w:highlight w:val="none"/>
        </w:rPr>
        <w:t>供应商根据采购需求中技术参数为基准，填写技术响应表，对于技术响应表或证明材料与技术参数不符的，按如下规定：</w:t>
      </w:r>
    </w:p>
    <w:p w14:paraId="0A56D52F">
      <w:pPr>
        <w:numPr>
          <w:ilvl w:val="0"/>
          <w:numId w:val="0"/>
        </w:numPr>
        <w:spacing w:line="340" w:lineRule="exact"/>
        <w:outlineLvl w:val="1"/>
        <w:rPr>
          <w:rFonts w:hint="eastAsia"/>
          <w:highlight w:val="none"/>
        </w:rPr>
      </w:pPr>
      <w:r>
        <w:rPr>
          <w:rFonts w:hint="eastAsia"/>
          <w:highlight w:val="none"/>
        </w:rPr>
        <w:t>（1）实质性参数要求提交证明材料的，证明材料没有体现技术响应表中响应的内容的或未提供证明材料的，视为无效响应。非实质性参数要求提交证明材料的，证明材料没有体现技术响应表中响应的内容的或未提供证明材料的，视为负偏离。</w:t>
      </w:r>
    </w:p>
    <w:p w14:paraId="306B449D">
      <w:pPr>
        <w:numPr>
          <w:ilvl w:val="0"/>
          <w:numId w:val="0"/>
        </w:numPr>
        <w:spacing w:line="340" w:lineRule="exact"/>
        <w:outlineLvl w:val="1"/>
        <w:rPr>
          <w:rFonts w:hint="eastAsia"/>
          <w:highlight w:val="none"/>
        </w:rPr>
      </w:pPr>
      <w:r>
        <w:rPr>
          <w:rFonts w:hint="eastAsia"/>
          <w:highlight w:val="none"/>
        </w:rPr>
        <w:t>（2）技术响应表中响应的内容与证明材料不一致的，以证明材料为准作为评审依据。</w:t>
      </w:r>
    </w:p>
    <w:p w14:paraId="4B98BA4A">
      <w:pPr>
        <w:numPr>
          <w:ilvl w:val="0"/>
          <w:numId w:val="0"/>
        </w:numPr>
        <w:spacing w:line="340" w:lineRule="exact"/>
        <w:outlineLvl w:val="1"/>
        <w:rPr>
          <w:rFonts w:hint="eastAsia"/>
          <w:highlight w:val="none"/>
        </w:rPr>
      </w:pPr>
      <w:r>
        <w:rPr>
          <w:rFonts w:hint="eastAsia"/>
          <w:highlight w:val="none"/>
        </w:rPr>
        <w:t>（3）同时出现以上两种情况的，按照（1）-（2）顺序认定。</w:t>
      </w:r>
    </w:p>
    <w:p w14:paraId="7EC4A41F">
      <w:pPr>
        <w:numPr>
          <w:ilvl w:val="0"/>
          <w:numId w:val="0"/>
        </w:numPr>
        <w:spacing w:line="340" w:lineRule="exact"/>
        <w:outlineLvl w:val="1"/>
        <w:rPr>
          <w:rFonts w:hint="eastAsia"/>
          <w:highlight w:val="none"/>
        </w:rPr>
      </w:pPr>
      <w:r>
        <w:rPr>
          <w:rFonts w:hint="eastAsia"/>
          <w:highlight w:val="none"/>
        </w:rPr>
        <w:t>（4）技术响应表与采购需求中技术参数比较有漏项的，如为实质性参数漏项，视为未响应；如为非实质性参数漏项，视为负偏离。</w:t>
      </w:r>
    </w:p>
    <w:p w14:paraId="7B28AC72">
      <w:pPr>
        <w:numPr>
          <w:ilvl w:val="0"/>
          <w:numId w:val="0"/>
        </w:numPr>
        <w:spacing w:line="340" w:lineRule="exact"/>
        <w:outlineLvl w:val="1"/>
        <w:rPr>
          <w:rFonts w:hint="eastAsia"/>
          <w:highlight w:val="none"/>
        </w:rPr>
      </w:pPr>
      <w:r>
        <w:rPr>
          <w:rFonts w:hint="eastAsia"/>
          <w:highlight w:val="none"/>
        </w:rPr>
        <w:t>（5）对于区间涵盖值参数，例：电压“测量范围3V-5V”，满足下限值更低或上限值更高则视为正偏离，例：响应为“测量范围2V-5V”。如有一端负偏离，不管另一端如何，均视为负偏离，例：响应为“测量范围4V-6V”。</w:t>
      </w:r>
    </w:p>
    <w:p w14:paraId="737EAFB6">
      <w:pPr>
        <w:numPr>
          <w:ilvl w:val="0"/>
          <w:numId w:val="0"/>
        </w:numPr>
        <w:spacing w:line="340" w:lineRule="exact"/>
        <w:outlineLvl w:val="1"/>
        <w:rPr>
          <w:rFonts w:hint="eastAsia"/>
          <w:highlight w:val="none"/>
        </w:rPr>
      </w:pPr>
      <w:r>
        <w:rPr>
          <w:rFonts w:hint="eastAsia"/>
          <w:highlight w:val="none"/>
        </w:rPr>
        <w:t>（6）对于单边任意参数的要求，例“长度≥50cm”，若响应为50cm则视为无偏离，若响应为大于50cm的任意一个数值（不含本数）则视为正偏离；若响应小于50cm，视为负偏离。</w:t>
      </w:r>
    </w:p>
    <w:p w14:paraId="41B5DE0D">
      <w:pPr>
        <w:numPr>
          <w:ilvl w:val="0"/>
          <w:numId w:val="0"/>
        </w:numPr>
        <w:spacing w:line="340" w:lineRule="exact"/>
        <w:outlineLvl w:val="1"/>
        <w:rPr>
          <w:rFonts w:hint="eastAsia"/>
          <w:highlight w:val="none"/>
        </w:rPr>
      </w:pPr>
      <w:r>
        <w:rPr>
          <w:rFonts w:hint="eastAsia"/>
          <w:highlight w:val="none"/>
        </w:rPr>
        <w:t>（7）对于单边任意参数的要求，例“长度≤50cm”，若响应为50cm则视为无偏离，若响应为小于50cm的任意一个数值（不含本数）则视为正偏离；若响应大于50cm，视为负偏离。</w:t>
      </w:r>
    </w:p>
    <w:p w14:paraId="2D51A8E5">
      <w:pPr>
        <w:numPr>
          <w:ilvl w:val="0"/>
          <w:numId w:val="0"/>
        </w:numPr>
        <w:spacing w:line="340" w:lineRule="exact"/>
        <w:outlineLvl w:val="1"/>
        <w:rPr>
          <w:rFonts w:hint="eastAsia"/>
          <w:highlight w:val="none"/>
        </w:rPr>
      </w:pPr>
      <w:r>
        <w:rPr>
          <w:rFonts w:hint="eastAsia"/>
          <w:highlight w:val="none"/>
        </w:rPr>
        <w:t>（8）对于固定参数，响应与采购需求中技术参数一致，视为无偏离，其他均视为负偏离，此类参数无正偏离。</w:t>
      </w:r>
    </w:p>
    <w:p w14:paraId="4CF0BAE6">
      <w:pPr>
        <w:numPr>
          <w:ilvl w:val="0"/>
          <w:numId w:val="0"/>
        </w:numPr>
        <w:spacing w:line="340" w:lineRule="exact"/>
        <w:outlineLvl w:val="1"/>
        <w:rPr>
          <w:rFonts w:hint="eastAsia"/>
          <w:highlight w:val="none"/>
        </w:rPr>
      </w:pPr>
      <w:r>
        <w:rPr>
          <w:rFonts w:hint="eastAsia"/>
          <w:highlight w:val="none"/>
        </w:rPr>
        <w:t>（9）如采购需求中技术参数有特殊要求与上述说明不一致的，以特殊要求为准。</w:t>
      </w:r>
    </w:p>
    <w:p w14:paraId="51C79668">
      <w:pPr>
        <w:numPr>
          <w:ilvl w:val="0"/>
          <w:numId w:val="0"/>
        </w:numPr>
        <w:spacing w:line="340" w:lineRule="exact"/>
        <w:outlineLvl w:val="1"/>
        <w:rPr>
          <w:rFonts w:hint="eastAsia" w:ascii="宋体" w:hAnsi="宋体" w:eastAsia="宋体" w:cs="Times New Roman"/>
          <w:b/>
          <w:color w:val="auto"/>
          <w:sz w:val="24"/>
          <w:highlight w:val="none"/>
          <w:lang w:eastAsia="zh-CN"/>
        </w:rPr>
      </w:pPr>
    </w:p>
    <w:p w14:paraId="6AD71418">
      <w:pPr>
        <w:rPr>
          <w:rFonts w:hint="eastAsia" w:ascii="宋体" w:hAnsi="宋体" w:eastAsia="宋体" w:cs="Times New Roman"/>
          <w:b/>
          <w:color w:val="auto"/>
          <w:sz w:val="24"/>
          <w:highlight w:val="none"/>
          <w:lang w:val="en-US" w:eastAsia="zh-CN"/>
        </w:rPr>
      </w:pPr>
      <w:r>
        <w:rPr>
          <w:rFonts w:hint="eastAsia" w:ascii="宋体" w:hAnsi="宋体" w:eastAsia="宋体" w:cs="Times New Roman"/>
          <w:b/>
          <w:color w:val="auto"/>
          <w:sz w:val="24"/>
          <w:highlight w:val="none"/>
          <w:lang w:val="en-US" w:eastAsia="zh-CN"/>
        </w:rPr>
        <w:br w:type="page"/>
      </w:r>
    </w:p>
    <w:p w14:paraId="004F893E">
      <w:pPr>
        <w:numPr>
          <w:ilvl w:val="0"/>
          <w:numId w:val="0"/>
        </w:numPr>
        <w:spacing w:line="340" w:lineRule="exact"/>
        <w:outlineLvl w:val="1"/>
        <w:rPr>
          <w:rFonts w:hint="eastAsia" w:ascii="宋体" w:hAnsi="宋体" w:eastAsia="宋体" w:cs="Times New Roman"/>
          <w:b/>
          <w:bCs/>
          <w:color w:val="auto"/>
          <w:sz w:val="24"/>
          <w:highlight w:val="none"/>
          <w:lang w:eastAsia="zh-CN"/>
        </w:rPr>
      </w:pPr>
      <w:r>
        <w:rPr>
          <w:rFonts w:hint="eastAsia" w:ascii="宋体" w:hAnsi="宋体" w:eastAsia="宋体" w:cs="宋体"/>
          <w:b/>
          <w:bCs/>
          <w:sz w:val="21"/>
          <w:szCs w:val="21"/>
          <w:highlight w:val="none"/>
          <w:lang w:val="en-US" w:eastAsia="zh-CN"/>
        </w:rPr>
        <w:t>★</w:t>
      </w:r>
      <w:r>
        <w:rPr>
          <w:rFonts w:hint="default" w:ascii="宋体" w:hAnsi="宋体" w:eastAsia="宋体" w:cs="Times New Roman"/>
          <w:b/>
          <w:bCs/>
          <w:color w:val="auto"/>
          <w:sz w:val="24"/>
          <w:highlight w:val="none"/>
          <w:lang w:eastAsia="zh-CN"/>
          <w:woUserID w:val="1"/>
        </w:rPr>
        <w:t>三、</w:t>
      </w:r>
      <w:r>
        <w:rPr>
          <w:rFonts w:hint="eastAsia" w:ascii="宋体" w:hAnsi="宋体" w:eastAsia="宋体" w:cs="Times New Roman"/>
          <w:b/>
          <w:bCs/>
          <w:color w:val="auto"/>
          <w:sz w:val="24"/>
          <w:highlight w:val="none"/>
          <w:lang w:eastAsia="zh-CN"/>
        </w:rPr>
        <w:t>商务要求</w:t>
      </w:r>
    </w:p>
    <w:p w14:paraId="07523379">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1.合同签订期</w:t>
      </w:r>
    </w:p>
    <w:p w14:paraId="40B605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自中标通知书发出之日起25日历天内签订合同。</w:t>
      </w:r>
    </w:p>
    <w:p w14:paraId="2FF6419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2.交货期</w:t>
      </w:r>
    </w:p>
    <w:p w14:paraId="2A2BEB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自合同签订之日起45日历天内完成供货、安装、调试并验收合格。</w:t>
      </w:r>
    </w:p>
    <w:p w14:paraId="757ED2C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3.交货地点及方式</w:t>
      </w:r>
    </w:p>
    <w:p w14:paraId="556030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采购人指定地点，现场交货。</w:t>
      </w:r>
    </w:p>
    <w:p w14:paraId="23DE123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4.采购报价要求</w:t>
      </w:r>
    </w:p>
    <w:p w14:paraId="2E07AE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（1）采购报价为采购人指定地点的现场交货价，包括但不限于：</w:t>
      </w:r>
    </w:p>
    <w:p w14:paraId="65CC06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①货物的价格；</w:t>
      </w:r>
    </w:p>
    <w:p w14:paraId="760AC2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②货物的标准附件、备品备件、专用工具的价格；</w:t>
      </w:r>
    </w:p>
    <w:p w14:paraId="795B9C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③运输、装卸、调试、培训、技术支持、售后服务等费用；</w:t>
      </w:r>
    </w:p>
    <w:p w14:paraId="590ACC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④必要的保险费用和各项税费；</w:t>
      </w:r>
    </w:p>
    <w:p w14:paraId="304048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⑤设备安装费用。</w:t>
      </w:r>
    </w:p>
    <w:p w14:paraId="059C84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（2）供应商报价时须充分考虑本项目全部费用，</w:t>
      </w:r>
      <w:r>
        <w:rPr>
          <w:rFonts w:hint="eastAsia" w:ascii="宋体" w:hAnsi="宋体" w:eastAsia="宋体" w:cs="宋体"/>
          <w:sz w:val="21"/>
          <w:szCs w:val="21"/>
          <w:highlight w:val="none"/>
        </w:rPr>
        <w:t>采购人不再另行支付其他任何费用，</w:t>
      </w:r>
      <w:r>
        <w:rPr>
          <w:rFonts w:hint="eastAsia" w:ascii="宋体" w:hAnsi="宋体" w:eastAsia="宋体" w:cs="宋体"/>
          <w:sz w:val="21"/>
          <w:szCs w:val="21"/>
          <w:highlight w:val="none"/>
          <w:lang w:val="en-US" w:eastAsia="zh-CN"/>
        </w:rPr>
        <w:t>供应商中标后不得以任何理由要求追加费用。</w:t>
      </w:r>
    </w:p>
    <w:p w14:paraId="4CFF61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aps w:val="0"/>
          <w:spacing w:val="0"/>
          <w:sz w:val="21"/>
          <w:szCs w:val="21"/>
          <w:highlight w:val="none"/>
          <w:shd w:val="clear"/>
        </w:rPr>
      </w:pPr>
      <w:r>
        <w:rPr>
          <w:rFonts w:hint="eastAsia" w:ascii="宋体" w:hAnsi="宋体" w:eastAsia="宋体" w:cs="宋体"/>
          <w:b w:val="0"/>
          <w:bCs w:val="0"/>
          <w:i w:val="0"/>
          <w:iCs w:val="0"/>
          <w:caps w:val="0"/>
          <w:spacing w:val="0"/>
          <w:sz w:val="21"/>
          <w:szCs w:val="21"/>
          <w:highlight w:val="none"/>
          <w:shd w:val="clear"/>
          <w:lang w:eastAsia="zh-CN"/>
        </w:rPr>
        <w:t>（</w:t>
      </w:r>
      <w:r>
        <w:rPr>
          <w:rFonts w:hint="eastAsia" w:ascii="宋体" w:hAnsi="宋体" w:eastAsia="宋体" w:cs="宋体"/>
          <w:b w:val="0"/>
          <w:bCs w:val="0"/>
          <w:i w:val="0"/>
          <w:iCs w:val="0"/>
          <w:caps w:val="0"/>
          <w:spacing w:val="0"/>
          <w:sz w:val="21"/>
          <w:szCs w:val="21"/>
          <w:highlight w:val="none"/>
          <w:shd w:val="clear"/>
          <w:lang w:val="en-US" w:eastAsia="zh-CN"/>
        </w:rPr>
        <w:t>3</w:t>
      </w:r>
      <w:r>
        <w:rPr>
          <w:rFonts w:hint="eastAsia" w:ascii="宋体" w:hAnsi="宋体" w:eastAsia="宋体" w:cs="宋体"/>
          <w:b w:val="0"/>
          <w:bCs w:val="0"/>
          <w:i w:val="0"/>
          <w:iCs w:val="0"/>
          <w:caps w:val="0"/>
          <w:spacing w:val="0"/>
          <w:sz w:val="21"/>
          <w:szCs w:val="21"/>
          <w:highlight w:val="none"/>
          <w:shd w:val="clear"/>
          <w:lang w:eastAsia="zh-CN"/>
        </w:rPr>
        <w:t>）</w:t>
      </w:r>
      <w:r>
        <w:rPr>
          <w:rFonts w:hint="eastAsia" w:ascii="宋体" w:hAnsi="宋体" w:eastAsia="宋体" w:cs="宋体"/>
          <w:i w:val="0"/>
          <w:iCs w:val="0"/>
          <w:caps w:val="0"/>
          <w:spacing w:val="0"/>
          <w:sz w:val="21"/>
          <w:szCs w:val="21"/>
          <w:highlight w:val="none"/>
          <w:shd w:val="clear"/>
        </w:rPr>
        <w:t>本项目实行单价</w:t>
      </w:r>
      <w:r>
        <w:rPr>
          <w:rFonts w:hint="eastAsia" w:ascii="宋体" w:hAnsi="宋体" w:eastAsia="宋体" w:cs="宋体"/>
          <w:i w:val="0"/>
          <w:iCs w:val="0"/>
          <w:caps w:val="0"/>
          <w:spacing w:val="0"/>
          <w:sz w:val="21"/>
          <w:szCs w:val="21"/>
          <w:highlight w:val="none"/>
          <w:shd w:val="clear"/>
          <w:lang w:val="en-US" w:eastAsia="zh-CN"/>
        </w:rPr>
        <w:t>及总价</w:t>
      </w:r>
      <w:r>
        <w:rPr>
          <w:rFonts w:hint="eastAsia" w:ascii="宋体" w:hAnsi="宋体" w:eastAsia="宋体" w:cs="宋体"/>
          <w:i w:val="0"/>
          <w:iCs w:val="0"/>
          <w:caps w:val="0"/>
          <w:spacing w:val="0"/>
          <w:sz w:val="21"/>
          <w:szCs w:val="21"/>
          <w:highlight w:val="none"/>
          <w:shd w:val="clear"/>
        </w:rPr>
        <w:t>控制</w:t>
      </w:r>
      <w:r>
        <w:rPr>
          <w:rFonts w:hint="eastAsia" w:ascii="宋体" w:hAnsi="宋体" w:eastAsia="宋体" w:cs="宋体"/>
          <w:i w:val="0"/>
          <w:iCs w:val="0"/>
          <w:caps w:val="0"/>
          <w:spacing w:val="0"/>
          <w:sz w:val="21"/>
          <w:szCs w:val="21"/>
          <w:highlight w:val="none"/>
          <w:shd w:val="clear"/>
          <w:lang w:eastAsia="zh-CN"/>
        </w:rPr>
        <w:t>：</w:t>
      </w:r>
      <w:r>
        <w:rPr>
          <w:rFonts w:hint="eastAsia" w:ascii="宋体" w:hAnsi="宋体" w:eastAsia="宋体" w:cs="宋体"/>
          <w:b w:val="0"/>
          <w:bCs w:val="0"/>
          <w:i w:val="0"/>
          <w:iCs w:val="0"/>
          <w:caps w:val="0"/>
          <w:spacing w:val="0"/>
          <w:sz w:val="21"/>
          <w:szCs w:val="21"/>
          <w:highlight w:val="none"/>
          <w:shd w:val="clear"/>
        </w:rPr>
        <w:t>供应商总报价不得超出项目预算金额（945,642.00元），</w:t>
      </w:r>
      <w:r>
        <w:rPr>
          <w:rFonts w:hint="eastAsia" w:ascii="宋体" w:hAnsi="宋体" w:eastAsia="宋体" w:cs="宋体"/>
          <w:b w:val="0"/>
          <w:bCs w:val="0"/>
          <w:i w:val="0"/>
          <w:iCs w:val="0"/>
          <w:caps w:val="0"/>
          <w:spacing w:val="0"/>
          <w:sz w:val="21"/>
          <w:szCs w:val="21"/>
          <w:highlight w:val="none"/>
          <w:shd w:val="clear"/>
          <w:lang w:val="en-US" w:eastAsia="zh-CN"/>
        </w:rPr>
        <w:t>且</w:t>
      </w:r>
      <w:r>
        <w:rPr>
          <w:rFonts w:hint="eastAsia" w:ascii="宋体" w:hAnsi="宋体" w:eastAsia="宋体" w:cs="宋体"/>
          <w:b w:val="0"/>
          <w:bCs w:val="0"/>
          <w:i w:val="0"/>
          <w:iCs w:val="0"/>
          <w:caps w:val="0"/>
          <w:spacing w:val="0"/>
          <w:sz w:val="21"/>
          <w:szCs w:val="21"/>
          <w:highlight w:val="none"/>
          <w:shd w:val="clear"/>
        </w:rPr>
        <w:t>报价不得超出《采购需求及技术参数表》中各设备对应的单价最高限价。总报价超出预算金额，</w:t>
      </w:r>
      <w:r>
        <w:rPr>
          <w:rFonts w:hint="eastAsia" w:ascii="宋体" w:hAnsi="宋体" w:eastAsia="宋体" w:cs="宋体"/>
          <w:b w:val="0"/>
          <w:bCs w:val="0"/>
          <w:i w:val="0"/>
          <w:iCs w:val="0"/>
          <w:caps w:val="0"/>
          <w:spacing w:val="0"/>
          <w:sz w:val="21"/>
          <w:szCs w:val="21"/>
          <w:highlight w:val="none"/>
          <w:shd w:val="clear"/>
          <w:lang w:val="en-US" w:eastAsia="zh-CN"/>
        </w:rPr>
        <w:t>或</w:t>
      </w:r>
      <w:r>
        <w:rPr>
          <w:rFonts w:hint="eastAsia" w:ascii="宋体" w:hAnsi="宋体" w:eastAsia="宋体" w:cs="宋体"/>
          <w:i w:val="0"/>
          <w:iCs w:val="0"/>
          <w:caps w:val="0"/>
          <w:spacing w:val="0"/>
          <w:sz w:val="21"/>
          <w:szCs w:val="21"/>
          <w:highlight w:val="none"/>
          <w:shd w:val="clear"/>
        </w:rPr>
        <w:t>任一设备单价超出对应单价</w:t>
      </w:r>
      <w:r>
        <w:rPr>
          <w:rFonts w:hint="eastAsia" w:ascii="宋体" w:hAnsi="宋体" w:eastAsia="宋体" w:cs="宋体"/>
          <w:i w:val="0"/>
          <w:iCs w:val="0"/>
          <w:caps w:val="0"/>
          <w:spacing w:val="0"/>
          <w:sz w:val="21"/>
          <w:szCs w:val="21"/>
          <w:highlight w:val="none"/>
          <w:shd w:val="clear"/>
          <w:lang w:val="en-US" w:eastAsia="zh-CN"/>
        </w:rPr>
        <w:t>最高限价</w:t>
      </w:r>
      <w:r>
        <w:rPr>
          <w:rFonts w:hint="eastAsia" w:ascii="宋体" w:hAnsi="宋体" w:eastAsia="宋体" w:cs="宋体"/>
          <w:i w:val="0"/>
          <w:iCs w:val="0"/>
          <w:caps w:val="0"/>
          <w:spacing w:val="0"/>
          <w:sz w:val="21"/>
          <w:szCs w:val="21"/>
          <w:highlight w:val="none"/>
          <w:shd w:val="clear"/>
        </w:rPr>
        <w:t>的，视为报价无效。</w:t>
      </w:r>
    </w:p>
    <w:p w14:paraId="56DA11F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5.付款方式</w:t>
      </w:r>
    </w:p>
    <w:p w14:paraId="122B2F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（1）合同签订后10个工作日内，支付合同总金额的30%作为预付款。</w:t>
      </w:r>
    </w:p>
    <w:p w14:paraId="4EB3E9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（2）全部设备安装调试验收合格后10个工作日内，支付剩余的70%。</w:t>
      </w:r>
    </w:p>
    <w:p w14:paraId="6F68E4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（3）若因供应商原因（包括但不限于设备最终验收不合格）导致合同解除，供应商应在收到解除通知后10个工作日内，将已收取的30%预付款全额无息退还至采购人账户。</w:t>
      </w:r>
    </w:p>
    <w:p w14:paraId="17F53D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预付款全额退还后，采购人有权要求供应商另行支付违约金，并赔偿给采购人造成的实际损失。</w:t>
      </w:r>
    </w:p>
    <w:p w14:paraId="1742251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6.质保期及售后服务</w:t>
      </w:r>
    </w:p>
    <w:p w14:paraId="310B3B4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（1）质保期</w:t>
      </w:r>
    </w:p>
    <w:p w14:paraId="2441F317">
      <w:pPr>
        <w:snapToGrid w:val="0"/>
        <w:spacing w:line="360" w:lineRule="auto"/>
        <w:ind w:firstLine="420" w:firstLineChars="200"/>
        <w:rPr>
          <w:rFonts w:hint="eastAsia" w:ascii="宋体" w:hAnsi="宋体"/>
          <w:color w:val="auto"/>
          <w:szCs w:val="21"/>
          <w:highlight w:val="none"/>
          <w:u w:val="none"/>
          <w:lang w:val="en-US" w:eastAsia="zh-CN"/>
        </w:rPr>
      </w:pPr>
      <w:r>
        <w:rPr>
          <w:rFonts w:hint="eastAsia" w:ascii="宋体" w:hAnsi="宋体" w:cstheme="minorBidi"/>
          <w:i w:val="0"/>
          <w:iCs w:val="0"/>
          <w:caps w:val="0"/>
          <w:color w:val="auto"/>
          <w:spacing w:val="0"/>
          <w:sz w:val="21"/>
          <w:szCs w:val="21"/>
          <w:highlight w:val="none"/>
          <w:shd w:val="clear"/>
          <w:lang w:val="en-US" w:eastAsia="zh-CN"/>
        </w:rPr>
        <w:t>①</w:t>
      </w:r>
      <w:r>
        <w:rPr>
          <w:rFonts w:hint="eastAsia" w:ascii="宋体" w:hAnsi="宋体" w:eastAsiaTheme="minorEastAsia" w:cstheme="minorBidi"/>
          <w:i w:val="0"/>
          <w:iCs w:val="0"/>
          <w:caps w:val="0"/>
          <w:color w:val="auto"/>
          <w:spacing w:val="0"/>
          <w:sz w:val="21"/>
          <w:szCs w:val="21"/>
          <w:highlight w:val="none"/>
          <w:shd w:val="clear"/>
        </w:rPr>
        <w:t>本项目所有货物</w:t>
      </w:r>
      <w:r>
        <w:rPr>
          <w:rFonts w:hint="eastAsia" w:ascii="宋体" w:hAnsi="宋体" w:cstheme="minorBidi"/>
          <w:i w:val="0"/>
          <w:iCs w:val="0"/>
          <w:caps w:val="0"/>
          <w:color w:val="auto"/>
          <w:spacing w:val="0"/>
          <w:sz w:val="21"/>
          <w:szCs w:val="21"/>
          <w:highlight w:val="none"/>
          <w:shd w:val="clear"/>
          <w:lang w:val="en-US" w:eastAsia="zh-CN"/>
        </w:rPr>
        <w:t>质保期</w:t>
      </w:r>
      <w:r>
        <w:rPr>
          <w:rFonts w:hint="eastAsia" w:ascii="宋体" w:hAnsi="宋体" w:eastAsiaTheme="minorEastAsia" w:cstheme="minorBidi"/>
          <w:i w:val="0"/>
          <w:iCs w:val="0"/>
          <w:caps w:val="0"/>
          <w:color w:val="auto"/>
          <w:spacing w:val="0"/>
          <w:sz w:val="21"/>
          <w:szCs w:val="21"/>
          <w:highlight w:val="none"/>
          <w:shd w:val="clear"/>
        </w:rPr>
        <w:t>自货物验收合格之日起计算，</w:t>
      </w:r>
      <w:r>
        <w:rPr>
          <w:rFonts w:hint="eastAsia" w:ascii="宋体" w:hAnsi="宋体" w:eastAsiaTheme="minorEastAsia" w:cstheme="minorBidi"/>
          <w:b w:val="0"/>
          <w:bCs w:val="0"/>
          <w:i w:val="0"/>
          <w:iCs w:val="0"/>
          <w:caps w:val="0"/>
          <w:color w:val="auto"/>
          <w:spacing w:val="0"/>
          <w:sz w:val="21"/>
          <w:szCs w:val="21"/>
          <w:highlight w:val="none"/>
          <w:shd w:val="clear"/>
        </w:rPr>
        <w:t>质保期</w:t>
      </w:r>
      <w:r>
        <w:rPr>
          <w:rFonts w:hint="eastAsia" w:ascii="宋体" w:hAnsi="宋体" w:cstheme="minorBidi"/>
          <w:b w:val="0"/>
          <w:bCs w:val="0"/>
          <w:i w:val="0"/>
          <w:iCs w:val="0"/>
          <w:caps w:val="0"/>
          <w:color w:val="auto"/>
          <w:spacing w:val="0"/>
          <w:sz w:val="21"/>
          <w:szCs w:val="21"/>
          <w:highlight w:val="none"/>
          <w:shd w:val="clear"/>
          <w:lang w:val="en-US" w:eastAsia="zh-CN"/>
        </w:rPr>
        <w:t>不低于</w:t>
      </w:r>
      <w:r>
        <w:rPr>
          <w:rFonts w:hint="eastAsia" w:ascii="宋体" w:hAnsi="宋体" w:eastAsiaTheme="minorEastAsia" w:cstheme="minorBidi"/>
          <w:b w:val="0"/>
          <w:bCs w:val="0"/>
          <w:i w:val="0"/>
          <w:iCs w:val="0"/>
          <w:caps w:val="0"/>
          <w:color w:val="auto"/>
          <w:spacing w:val="0"/>
          <w:sz w:val="21"/>
          <w:szCs w:val="21"/>
          <w:highlight w:val="none"/>
          <w:shd w:val="clear"/>
        </w:rPr>
        <w:t>2年</w:t>
      </w:r>
      <w:r>
        <w:rPr>
          <w:rFonts w:hint="eastAsia" w:ascii="宋体" w:hAnsi="宋体" w:eastAsiaTheme="minorEastAsia" w:cstheme="minorBidi"/>
          <w:i w:val="0"/>
          <w:iCs w:val="0"/>
          <w:caps w:val="0"/>
          <w:color w:val="auto"/>
          <w:spacing w:val="0"/>
          <w:sz w:val="21"/>
          <w:szCs w:val="21"/>
          <w:highlight w:val="none"/>
          <w:shd w:val="clear"/>
        </w:rPr>
        <w:t>（“技术参数要求”中有更高要求的，按其要求执行）。若厂家质保期</w:t>
      </w:r>
      <w:r>
        <w:rPr>
          <w:rFonts w:hint="eastAsia" w:ascii="宋体" w:hAnsi="宋体" w:cstheme="minorBidi"/>
          <w:i w:val="0"/>
          <w:iCs w:val="0"/>
          <w:caps w:val="0"/>
          <w:color w:val="auto"/>
          <w:spacing w:val="0"/>
          <w:sz w:val="21"/>
          <w:szCs w:val="21"/>
          <w:highlight w:val="none"/>
          <w:shd w:val="clear"/>
          <w:lang w:val="en-US" w:eastAsia="zh-CN"/>
        </w:rPr>
        <w:t>或供应商承诺的质保期</w:t>
      </w:r>
      <w:r>
        <w:rPr>
          <w:rFonts w:hint="eastAsia" w:ascii="宋体" w:hAnsi="宋体" w:eastAsiaTheme="minorEastAsia" w:cstheme="minorBidi"/>
          <w:i w:val="0"/>
          <w:iCs w:val="0"/>
          <w:caps w:val="0"/>
          <w:color w:val="auto"/>
          <w:spacing w:val="0"/>
          <w:sz w:val="21"/>
          <w:szCs w:val="21"/>
          <w:highlight w:val="none"/>
          <w:shd w:val="clear"/>
        </w:rPr>
        <w:t>超过</w:t>
      </w:r>
      <w:r>
        <w:rPr>
          <w:rFonts w:hint="eastAsia" w:ascii="宋体" w:hAnsi="宋体" w:cstheme="minorBidi"/>
          <w:i w:val="0"/>
          <w:iCs w:val="0"/>
          <w:caps w:val="0"/>
          <w:color w:val="auto"/>
          <w:spacing w:val="0"/>
          <w:sz w:val="21"/>
          <w:szCs w:val="21"/>
          <w:highlight w:val="none"/>
          <w:shd w:val="clear"/>
          <w:lang w:val="en-US" w:eastAsia="zh-CN"/>
        </w:rPr>
        <w:t>2年</w:t>
      </w:r>
      <w:r>
        <w:rPr>
          <w:rFonts w:hint="eastAsia" w:ascii="宋体" w:hAnsi="宋体" w:eastAsiaTheme="minorEastAsia" w:cstheme="minorBidi"/>
          <w:i w:val="0"/>
          <w:iCs w:val="0"/>
          <w:caps w:val="0"/>
          <w:color w:val="auto"/>
          <w:spacing w:val="0"/>
          <w:sz w:val="21"/>
          <w:szCs w:val="21"/>
          <w:highlight w:val="none"/>
          <w:shd w:val="clear"/>
        </w:rPr>
        <w:t>的，在合同履行过程中按</w:t>
      </w:r>
      <w:r>
        <w:rPr>
          <w:rFonts w:hint="eastAsia" w:ascii="宋体" w:hAnsi="宋体" w:cstheme="minorBidi"/>
          <w:i w:val="0"/>
          <w:iCs w:val="0"/>
          <w:caps w:val="0"/>
          <w:color w:val="auto"/>
          <w:spacing w:val="0"/>
          <w:sz w:val="21"/>
          <w:szCs w:val="21"/>
          <w:highlight w:val="none"/>
          <w:shd w:val="clear"/>
          <w:lang w:val="en-US" w:eastAsia="zh-CN"/>
        </w:rPr>
        <w:t>其中较长者执行</w:t>
      </w:r>
      <w:r>
        <w:rPr>
          <w:rFonts w:hint="eastAsia" w:ascii="宋体" w:hAnsi="宋体" w:eastAsiaTheme="minorEastAsia" w:cstheme="minorBidi"/>
          <w:i w:val="0"/>
          <w:iCs w:val="0"/>
          <w:caps w:val="0"/>
          <w:color w:val="auto"/>
          <w:spacing w:val="0"/>
          <w:sz w:val="21"/>
          <w:szCs w:val="21"/>
          <w:highlight w:val="none"/>
          <w:shd w:val="clear"/>
          <w:lang w:eastAsia="zh-CN"/>
        </w:rPr>
        <w:t>。</w:t>
      </w:r>
      <w:r>
        <w:rPr>
          <w:rFonts w:hint="eastAsia" w:ascii="宋体" w:hAnsi="宋体"/>
          <w:color w:val="auto"/>
          <w:szCs w:val="21"/>
          <w:highlight w:val="none"/>
          <w:u w:val="none"/>
          <w:lang w:val="en-US" w:eastAsia="zh-CN"/>
        </w:rPr>
        <w:t>质保期内供应商需提供完全免费的维修及保养服务，除人为原因造成的设备故障或损坏外，供应商负责免费维修、更换零部件，</w:t>
      </w:r>
      <w:r>
        <w:rPr>
          <w:rFonts w:hint="eastAsia" w:ascii="宋体" w:hAnsi="宋体" w:eastAsiaTheme="minorEastAsia" w:cstheme="minorBidi"/>
          <w:i w:val="0"/>
          <w:iCs w:val="0"/>
          <w:caps w:val="0"/>
          <w:color w:val="auto"/>
          <w:spacing w:val="0"/>
          <w:sz w:val="21"/>
          <w:szCs w:val="21"/>
          <w:highlight w:val="none"/>
          <w:shd w:val="clear"/>
        </w:rPr>
        <w:t>不得收取任何维修、零部件更换及其他费用</w:t>
      </w:r>
      <w:r>
        <w:rPr>
          <w:rFonts w:hint="eastAsia" w:ascii="宋体" w:hAnsi="宋体"/>
          <w:color w:val="auto"/>
          <w:szCs w:val="21"/>
          <w:highlight w:val="none"/>
          <w:u w:val="none"/>
          <w:lang w:val="en-US" w:eastAsia="zh-CN"/>
        </w:rPr>
        <w:t>；主要部件出现质量问题，免费更换同品牌同型号新设备，该设备的保修期自更换完成之日起重新计算，因维修或更换导致设备停用的，保修期相应顺延。</w:t>
      </w:r>
    </w:p>
    <w:p w14:paraId="43FB4AA8">
      <w:pPr>
        <w:snapToGrid w:val="0"/>
        <w:spacing w:line="360" w:lineRule="auto"/>
        <w:ind w:firstLine="420" w:firstLineChars="200"/>
        <w:rPr>
          <w:rFonts w:hint="eastAsia" w:ascii="宋体" w:hAnsi="宋体"/>
          <w:color w:val="auto"/>
          <w:szCs w:val="21"/>
          <w:highlight w:val="none"/>
          <w:u w:val="none"/>
          <w:lang w:val="en-US" w:eastAsia="zh-CN"/>
        </w:rPr>
      </w:pPr>
      <w:r>
        <w:rPr>
          <w:rFonts w:hint="eastAsia" w:ascii="宋体" w:hAnsi="宋体"/>
          <w:color w:val="auto"/>
          <w:szCs w:val="21"/>
          <w:highlight w:val="none"/>
          <w:u w:val="none"/>
          <w:lang w:val="en-US" w:eastAsia="zh-CN"/>
        </w:rPr>
        <w:t>②针对本项目采购的长龙式洗碗机，在上述整机质保2年的基础上，其中关键零部件（主洗水泵、漂洗水泵、电加热管、控制主板、触摸屏）质保期不少于3年，自验收合格之日起计算。质保期内关键零部件出现质量问题，供应商须免费更换同品牌同型号新部件，该部件的保修期自更换完成之日起重新计算，因维修或更换导致设备停用的，保修期相应顺延。</w:t>
      </w:r>
    </w:p>
    <w:p w14:paraId="34672F9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（2）售后服务</w:t>
      </w:r>
    </w:p>
    <w:p w14:paraId="61246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①</w:t>
      </w:r>
      <w:r>
        <w:rPr>
          <w:rFonts w:hint="eastAsia" w:ascii="宋体" w:hAnsi="宋体" w:eastAsia="宋体" w:cs="宋体"/>
          <w:sz w:val="21"/>
          <w:szCs w:val="21"/>
          <w:highlight w:val="none"/>
        </w:rPr>
        <w:t>响应时间：2小时响应，6-8小时内到达现场。紧急故障24小时内不能修复的，须在48小时内提供相同或同等功能的备用设备。</w:t>
      </w:r>
    </w:p>
    <w:p w14:paraId="080D13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②</w:t>
      </w:r>
      <w:r>
        <w:rPr>
          <w:rFonts w:hint="eastAsia" w:ascii="宋体" w:hAnsi="宋体" w:eastAsia="宋体" w:cs="宋体"/>
          <w:sz w:val="21"/>
          <w:szCs w:val="21"/>
          <w:highlight w:val="none"/>
        </w:rPr>
        <w:t>定期巡检：质保期内每3个月免费巡检一次，并提交报告。</w:t>
      </w:r>
    </w:p>
    <w:p w14:paraId="2C2BAF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③</w:t>
      </w:r>
      <w:r>
        <w:rPr>
          <w:rFonts w:hint="eastAsia" w:ascii="宋体" w:hAnsi="宋体" w:eastAsia="宋体" w:cs="宋体"/>
          <w:sz w:val="21"/>
          <w:szCs w:val="21"/>
          <w:highlight w:val="none"/>
        </w:rPr>
        <w:t>备件供应：质保期届满后，</w:t>
      </w:r>
      <w:r>
        <w:rPr>
          <w:rFonts w:hint="eastAsia" w:ascii="宋体" w:hAnsi="宋体" w:eastAsia="宋体" w:cs="宋体"/>
          <w:sz w:val="21"/>
          <w:szCs w:val="21"/>
          <w:highlight w:val="none"/>
          <w:lang w:eastAsia="zh-CN"/>
        </w:rPr>
        <w:t>成交</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对本合同的货物提供终身维修服务，并确保至少6年内提供产品零配件的供应。且维修时只收取所需维修部件的成本费，人工费、上门服务费等其他费用全免，服务内容应与质保期内的要求相一致。</w:t>
      </w:r>
    </w:p>
    <w:p w14:paraId="166535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7.履约保证金</w:t>
      </w:r>
    </w:p>
    <w:p w14:paraId="524A6252">
      <w:pPr>
        <w:numPr>
          <w:ilvl w:val="0"/>
          <w:numId w:val="0"/>
        </w:num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本项目收取履约保证金：</w:t>
      </w:r>
    </w:p>
    <w:p w14:paraId="6DB71A1E">
      <w:pPr>
        <w:numPr>
          <w:ilvl w:val="0"/>
          <w:numId w:val="0"/>
        </w:num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1</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履约保证金金额：成交金额的5%。（若成交供应商被认定为中小企业的，履约保证金数额将按成交金额的2%收取）。</w:t>
      </w:r>
    </w:p>
    <w:p w14:paraId="54DFE008">
      <w:pPr>
        <w:numPr>
          <w:ilvl w:val="0"/>
          <w:numId w:val="0"/>
        </w:num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2</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履约保证金递交方式：银行转账、电汇、网上支付、支票、汇票、本票、保函等非现金形式。</w:t>
      </w:r>
    </w:p>
    <w:p w14:paraId="6ACF94B2">
      <w:pPr>
        <w:numPr>
          <w:ilvl w:val="0"/>
          <w:numId w:val="0"/>
        </w:num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履约保证金递交时间：签订合同前5个工作日内由成交供应商转入采购人指定保证金账户。</w:t>
      </w:r>
    </w:p>
    <w:p w14:paraId="1C3BD626">
      <w:pPr>
        <w:numPr>
          <w:ilvl w:val="0"/>
          <w:numId w:val="0"/>
        </w:num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4</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履约保证金退还：履约完成并验收合格后无质量问题，成交供应商提供《政府采购项目履约保证金退付意见书》及《政府采购项目合同验收报告》，向采购人提出书面申请退还，采购人在收到申请后十五个工作日内以银行转账方式无息退还。保证金指定账户：</w:t>
      </w:r>
    </w:p>
    <w:p w14:paraId="05B6CD1A">
      <w:pPr>
        <w:numPr>
          <w:ilvl w:val="0"/>
          <w:numId w:val="0"/>
        </w:num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开户名：广西医科大学附属口腔医院</w:t>
      </w:r>
    </w:p>
    <w:p w14:paraId="35990F88">
      <w:pPr>
        <w:numPr>
          <w:ilvl w:val="0"/>
          <w:numId w:val="0"/>
        </w:num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开户行：交通银行南宁桃源支行</w:t>
      </w:r>
    </w:p>
    <w:p w14:paraId="730ECC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bCs/>
          <w:sz w:val="21"/>
          <w:szCs w:val="21"/>
          <w:highlight w:val="none"/>
          <w:lang w:val="en-US" w:eastAsia="zh-CN"/>
        </w:rPr>
      </w:pPr>
      <w:r>
        <w:rPr>
          <w:rFonts w:hint="eastAsia" w:ascii="宋体" w:hAnsi="宋体" w:eastAsia="宋体" w:cs="宋体"/>
          <w:b/>
          <w:bCs/>
          <w:sz w:val="21"/>
          <w:szCs w:val="21"/>
          <w:highlight w:val="none"/>
        </w:rPr>
        <w:t>账  号：4510 6050 5018 0100 2909 0</w:t>
      </w:r>
    </w:p>
    <w:p w14:paraId="5D1C55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8.验收标准</w:t>
      </w:r>
    </w:p>
    <w:p w14:paraId="74DC7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1</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到货签收</w:t>
      </w:r>
    </w:p>
    <w:p w14:paraId="1FADC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①</w:t>
      </w:r>
      <w:r>
        <w:rPr>
          <w:rFonts w:hint="eastAsia" w:ascii="宋体" w:hAnsi="宋体" w:eastAsia="宋体" w:cs="宋体"/>
          <w:sz w:val="21"/>
          <w:szCs w:val="21"/>
          <w:highlight w:val="none"/>
          <w:lang w:eastAsia="zh-CN"/>
        </w:rPr>
        <w:t>成交</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发货前须对全部产品逐项自检，自检记录及出厂合格证随货提交。因自检不到位导致后续验收不通过的，一切费用及工期延误由</w:t>
      </w:r>
      <w:r>
        <w:rPr>
          <w:rFonts w:hint="eastAsia" w:ascii="宋体" w:hAnsi="宋体" w:eastAsia="宋体" w:cs="宋体"/>
          <w:sz w:val="21"/>
          <w:szCs w:val="21"/>
          <w:highlight w:val="none"/>
          <w:lang w:eastAsia="zh-CN"/>
        </w:rPr>
        <w:t>成交</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承担。</w:t>
      </w:r>
    </w:p>
    <w:p w14:paraId="29F4EA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②</w:t>
      </w:r>
      <w:r>
        <w:rPr>
          <w:rFonts w:hint="eastAsia" w:ascii="宋体" w:hAnsi="宋体" w:eastAsia="宋体" w:cs="宋体"/>
          <w:sz w:val="21"/>
          <w:szCs w:val="21"/>
          <w:highlight w:val="none"/>
        </w:rPr>
        <w:t>货物运抵后，采购人在5个工作日内完成数量、型号、外观及随附资料的核对。发现问题的，采购人有权拒收并要求</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在5个工作日内无条件退换。到货签收与后续设备安装可同步进行，</w:t>
      </w:r>
      <w:r>
        <w:rPr>
          <w:rFonts w:hint="eastAsia" w:ascii="宋体" w:hAnsi="宋体" w:eastAsia="宋体" w:cs="宋体"/>
          <w:sz w:val="21"/>
          <w:szCs w:val="21"/>
          <w:highlight w:val="none"/>
          <w:lang w:eastAsia="zh-CN"/>
        </w:rPr>
        <w:t>成交</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不得以</w:t>
      </w:r>
      <w:r>
        <w:rPr>
          <w:rFonts w:hint="eastAsia" w:ascii="宋体" w:hAnsi="宋体" w:eastAsia="宋体" w:cs="宋体"/>
          <w:sz w:val="21"/>
          <w:szCs w:val="21"/>
          <w:highlight w:val="none"/>
          <w:lang w:val="en-US" w:eastAsia="zh-CN"/>
        </w:rPr>
        <w:t>未完成签收</w:t>
      </w:r>
      <w:r>
        <w:rPr>
          <w:rFonts w:hint="eastAsia" w:ascii="宋体" w:hAnsi="宋体" w:eastAsia="宋体" w:cs="宋体"/>
          <w:sz w:val="21"/>
          <w:szCs w:val="21"/>
          <w:highlight w:val="none"/>
        </w:rPr>
        <w:t>为由拒绝进场安装。</w:t>
      </w:r>
    </w:p>
    <w:p w14:paraId="128D90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③</w:t>
      </w:r>
      <w:r>
        <w:rPr>
          <w:rFonts w:hint="eastAsia" w:ascii="宋体" w:hAnsi="宋体" w:eastAsia="宋体" w:cs="宋体"/>
          <w:sz w:val="21"/>
          <w:szCs w:val="21"/>
          <w:highlight w:val="none"/>
        </w:rPr>
        <w:t>到货时须提供全部检测报告、合格证、认证证书、操作手册。所有技术参数及执行标准以附表为准。所有产品须为全新未使用，并提供配套书面技术资料（含操作手册、维修说明等）。</w:t>
      </w:r>
    </w:p>
    <w:p w14:paraId="5636C3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④</w:t>
      </w:r>
      <w:r>
        <w:rPr>
          <w:rFonts w:hint="eastAsia" w:ascii="宋体" w:hAnsi="宋体" w:eastAsia="宋体" w:cs="宋体"/>
          <w:sz w:val="21"/>
          <w:szCs w:val="21"/>
          <w:highlight w:val="none"/>
        </w:rPr>
        <w:t>电气安全：所有带电设备须提供合格证及出厂检测报告；属CCC目录的，须提供CCC证书；不属CCC目录的，须提供CMA/CNAS电气安全检测报告（GB</w:t>
      </w:r>
      <w:r>
        <w:rPr>
          <w:rFonts w:hint="eastAsia" w:ascii="宋体" w:hAnsi="宋体" w:eastAsia="宋体" w:cs="宋体"/>
          <w:sz w:val="21"/>
          <w:szCs w:val="21"/>
          <w:highlight w:val="none"/>
          <w:lang w:val="en-US" w:eastAsia="zh-CN"/>
        </w:rPr>
        <w:t xml:space="preserve">/T </w:t>
      </w:r>
      <w:r>
        <w:rPr>
          <w:rFonts w:hint="eastAsia" w:ascii="宋体" w:hAnsi="宋体" w:eastAsia="宋体" w:cs="宋体"/>
          <w:sz w:val="21"/>
          <w:szCs w:val="21"/>
          <w:highlight w:val="none"/>
        </w:rPr>
        <w:t>4706系列）或CQC证书。不能提供的，采购人有权拒收并限期更换。</w:t>
      </w:r>
    </w:p>
    <w:p w14:paraId="45EA8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⑤</w:t>
      </w:r>
      <w:r>
        <w:rPr>
          <w:rFonts w:hint="eastAsia" w:ascii="宋体" w:hAnsi="宋体" w:eastAsia="宋体" w:cs="宋体"/>
          <w:sz w:val="21"/>
          <w:szCs w:val="21"/>
          <w:highlight w:val="none"/>
        </w:rPr>
        <w:t>食品接触安全：与食品接触的主要部件（内胆、门板、搁架、管路等）须提供GB4806.9-2023或GB4806.7-2023的CMA/CNAS检测报告及查询截图。</w:t>
      </w:r>
      <w:r>
        <w:rPr>
          <w:rFonts w:hint="eastAsia" w:ascii="宋体" w:hAnsi="宋体" w:eastAsia="宋体" w:cs="宋体"/>
          <w:sz w:val="21"/>
          <w:szCs w:val="21"/>
          <w:highlight w:val="none"/>
          <w:lang w:val="en-US" w:eastAsia="zh-CN"/>
        </w:rPr>
        <w:t>提供不了的</w:t>
      </w:r>
      <w:r>
        <w:rPr>
          <w:rFonts w:hint="eastAsia" w:ascii="宋体" w:hAnsi="宋体" w:eastAsia="宋体" w:cs="宋体"/>
          <w:sz w:val="21"/>
          <w:szCs w:val="21"/>
          <w:highlight w:val="none"/>
        </w:rPr>
        <w:t>可用同批次原材料检测报告替代。</w:t>
      </w:r>
      <w:r>
        <w:rPr>
          <w:rFonts w:hint="eastAsia" w:ascii="宋体" w:hAnsi="宋体" w:eastAsia="宋体" w:cs="宋体"/>
          <w:sz w:val="21"/>
          <w:szCs w:val="21"/>
          <w:highlight w:val="none"/>
          <w:lang w:val="en-US" w:eastAsia="zh-CN"/>
        </w:rPr>
        <w:t>都</w:t>
      </w:r>
      <w:r>
        <w:rPr>
          <w:rFonts w:hint="eastAsia" w:ascii="宋体" w:hAnsi="宋体" w:eastAsia="宋体" w:cs="宋体"/>
          <w:sz w:val="21"/>
          <w:szCs w:val="21"/>
          <w:highlight w:val="none"/>
        </w:rPr>
        <w:t>不能提供的，采购人有权拒收并限期更换。</w:t>
      </w:r>
    </w:p>
    <w:p w14:paraId="7CB8FC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⑥</w:t>
      </w:r>
      <w:r>
        <w:rPr>
          <w:rFonts w:hint="eastAsia" w:ascii="宋体" w:hAnsi="宋体" w:eastAsia="宋体" w:cs="宋体"/>
          <w:sz w:val="21"/>
          <w:szCs w:val="21"/>
          <w:highlight w:val="none"/>
        </w:rPr>
        <w:t>304材质筛查：采购人有权使用检测药水现场筛查标注为“304不锈钢”的设备及部件。筛查不通过的，即视为材质存疑，采购人有权抽样送第三方检测（CMA/CNAS），费用由</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承担。检测不合格的，采购人有权拒收该批次全部产品并限期更换。304材质药水筛查及第三方检测的时间不计入第2条约定的5个工作日到货签收期，但检测期间不视为采购人已完成到货签收，</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不得以此为由要求顺延合同工期。药水筛查不通过的批次，采购人有权要求</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先行更换该批次全部产品，更换完成后再进行后续验收，由此产生的一切费用由</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承担。</w:t>
      </w:r>
    </w:p>
    <w:p w14:paraId="2771DD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⑦</w:t>
      </w:r>
      <w:r>
        <w:rPr>
          <w:rFonts w:hint="eastAsia" w:ascii="宋体" w:hAnsi="宋体" w:eastAsia="宋体" w:cs="宋体"/>
          <w:sz w:val="21"/>
          <w:szCs w:val="21"/>
          <w:highlight w:val="none"/>
        </w:rPr>
        <w:t>如《采购需求及技术参数表》中对特定设备或部件有更具体、更高标准或明确检测依据的，以《采购需求及技术参数表》中的要求为准。</w:t>
      </w:r>
    </w:p>
    <w:p w14:paraId="3B40A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rPr>
        <w:t>（</w:t>
      </w:r>
      <w:r>
        <w:rPr>
          <w:rFonts w:hint="eastAsia" w:ascii="宋体" w:hAnsi="宋体" w:eastAsia="宋体" w:cs="宋体"/>
          <w:b/>
          <w:bCs/>
          <w:sz w:val="21"/>
          <w:szCs w:val="21"/>
          <w:highlight w:val="none"/>
          <w:lang w:val="en-US" w:eastAsia="zh-CN"/>
        </w:rPr>
        <w:t>2</w:t>
      </w:r>
      <w:r>
        <w:rPr>
          <w:rFonts w:hint="eastAsia" w:ascii="宋体" w:hAnsi="宋体" w:eastAsia="宋体" w:cs="宋体"/>
          <w:b/>
          <w:bCs/>
          <w:sz w:val="21"/>
          <w:szCs w:val="21"/>
          <w:highlight w:val="none"/>
        </w:rPr>
        <w:t>）安装调试</w:t>
      </w:r>
      <w:r>
        <w:rPr>
          <w:rFonts w:hint="eastAsia" w:ascii="宋体" w:hAnsi="宋体" w:eastAsia="宋体" w:cs="宋体"/>
          <w:b/>
          <w:bCs/>
          <w:sz w:val="21"/>
          <w:szCs w:val="21"/>
          <w:highlight w:val="none"/>
          <w:lang w:val="en-US" w:eastAsia="zh-CN"/>
        </w:rPr>
        <w:t>及试运行</w:t>
      </w:r>
    </w:p>
    <w:p w14:paraId="3E1D2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大型设备（电磁灶、蒸饭柜、洗碗机等）安装调试完成后，须进行满载试运行，试运行时间不少于2小时，试运行期间设备各项功能、技术参数须达到采购文件要求及</w:t>
      </w:r>
      <w:r>
        <w:rPr>
          <w:rFonts w:hint="eastAsia" w:ascii="宋体" w:hAnsi="宋体" w:eastAsia="宋体" w:cs="宋体"/>
          <w:sz w:val="21"/>
          <w:szCs w:val="21"/>
          <w:highlight w:val="none"/>
          <w:lang w:eastAsia="zh-CN"/>
        </w:rPr>
        <w:t>响应文件</w:t>
      </w:r>
      <w:r>
        <w:rPr>
          <w:rFonts w:hint="eastAsia" w:ascii="宋体" w:hAnsi="宋体" w:eastAsia="宋体" w:cs="宋体"/>
          <w:sz w:val="21"/>
          <w:szCs w:val="21"/>
          <w:highlight w:val="none"/>
        </w:rPr>
        <w:t>承诺的标准。安装调试过程中发现设备存在质量问题的，</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须无条件更换，由此产生的一切费用及工期延误由</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承担。</w:t>
      </w:r>
    </w:p>
    <w:p w14:paraId="5CC64C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w:t>
      </w:r>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rPr>
        <w:t>）最终验收</w:t>
      </w:r>
    </w:p>
    <w:p w14:paraId="61BBC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①</w:t>
      </w:r>
      <w:r>
        <w:rPr>
          <w:rFonts w:hint="eastAsia" w:ascii="宋体" w:hAnsi="宋体" w:eastAsia="宋体" w:cs="宋体"/>
          <w:sz w:val="21"/>
          <w:szCs w:val="21"/>
          <w:highlight w:val="none"/>
        </w:rPr>
        <w:t>安装调试</w:t>
      </w:r>
      <w:r>
        <w:rPr>
          <w:rFonts w:hint="eastAsia" w:ascii="宋体" w:hAnsi="宋体" w:eastAsia="宋体" w:cs="宋体"/>
          <w:sz w:val="21"/>
          <w:szCs w:val="21"/>
          <w:highlight w:val="none"/>
          <w:lang w:val="en-US" w:eastAsia="zh-CN"/>
        </w:rPr>
        <w:t>及试运行全部合格后</w:t>
      </w:r>
      <w:r>
        <w:rPr>
          <w:rFonts w:hint="eastAsia" w:ascii="宋体" w:hAnsi="宋体" w:eastAsia="宋体" w:cs="宋体"/>
          <w:sz w:val="21"/>
          <w:szCs w:val="21"/>
          <w:highlight w:val="none"/>
        </w:rPr>
        <w:t>，由采购方</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监理（如有）共同签署最终验收报告。</w:t>
      </w:r>
    </w:p>
    <w:p w14:paraId="661955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②</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须对照</w:t>
      </w:r>
      <w:r>
        <w:rPr>
          <w:rFonts w:hint="eastAsia" w:ascii="宋体" w:hAnsi="宋体" w:eastAsia="宋体" w:cs="宋体"/>
          <w:sz w:val="21"/>
          <w:szCs w:val="21"/>
          <w:highlight w:val="none"/>
          <w:lang w:eastAsia="zh-CN"/>
        </w:rPr>
        <w:t>响应文件</w:t>
      </w:r>
      <w:r>
        <w:rPr>
          <w:rFonts w:hint="eastAsia" w:ascii="宋体" w:hAnsi="宋体" w:eastAsia="宋体" w:cs="宋体"/>
          <w:sz w:val="21"/>
          <w:szCs w:val="21"/>
          <w:highlight w:val="none"/>
        </w:rPr>
        <w:t>编制《技术参数响应逐项核对表》，作为验收依据之一提交采购人。采购人对照采购文件、投标承诺及国家/行业标准逐项核验设备功能、技术参数、材质及相关证明文件。</w:t>
      </w:r>
    </w:p>
    <w:p w14:paraId="45E966E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③</w:t>
      </w:r>
      <w:r>
        <w:rPr>
          <w:rFonts w:hint="eastAsia" w:ascii="宋体" w:hAnsi="宋体" w:eastAsia="宋体" w:cs="宋体"/>
          <w:sz w:val="21"/>
          <w:szCs w:val="21"/>
          <w:highlight w:val="none"/>
        </w:rPr>
        <w:t>最终验收不合格的，</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须在15日历日内完成整改并重新提交验收；逾期未完成或整改后仍不合格的，采购人有权解除合同，并追究</w:t>
      </w:r>
      <w:r>
        <w:rPr>
          <w:rFonts w:hint="eastAsia" w:ascii="宋体" w:hAnsi="宋体" w:eastAsia="宋体" w:cs="宋体"/>
          <w:sz w:val="21"/>
          <w:szCs w:val="21"/>
          <w:highlight w:val="none"/>
          <w:lang w:eastAsia="zh-CN"/>
        </w:rPr>
        <w:t>成交人</w:t>
      </w:r>
      <w:r>
        <w:rPr>
          <w:rFonts w:hint="eastAsia" w:ascii="宋体" w:hAnsi="宋体" w:eastAsia="宋体" w:cs="宋体"/>
          <w:sz w:val="21"/>
          <w:szCs w:val="21"/>
          <w:highlight w:val="none"/>
        </w:rPr>
        <w:t>违约责任。</w:t>
      </w:r>
    </w:p>
    <w:p w14:paraId="6B7CBE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④验收不合格期间，采购人有权拒付剩余款项；合同解除后，预付款的处理按本附件“五、付款方式”相关约定执行。</w:t>
      </w:r>
    </w:p>
    <w:p w14:paraId="36A629E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9.</w:t>
      </w:r>
      <w:r>
        <w:rPr>
          <w:rFonts w:hint="eastAsia" w:ascii="宋体" w:hAnsi="宋体" w:eastAsia="宋体" w:cs="宋体"/>
          <w:b/>
          <w:bCs/>
          <w:sz w:val="21"/>
          <w:szCs w:val="21"/>
          <w:highlight w:val="none"/>
        </w:rPr>
        <w:t>培训</w:t>
      </w:r>
    </w:p>
    <w:p w14:paraId="60C224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现场集中培训不少于4小时，内容包括：设备操作、日常保养、净化器清洗、隔油池排油清掏、常见故障处理。</w:t>
      </w:r>
    </w:p>
    <w:p w14:paraId="1EC465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10.违约责任</w:t>
      </w:r>
    </w:p>
    <w:p w14:paraId="7B2124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（1）</w:t>
      </w:r>
      <w:r>
        <w:rPr>
          <w:rFonts w:hint="eastAsia" w:ascii="宋体" w:hAnsi="宋体" w:eastAsia="宋体" w:cs="宋体"/>
          <w:sz w:val="21"/>
          <w:szCs w:val="21"/>
          <w:highlight w:val="none"/>
          <w:lang w:val="en-US" w:eastAsia="zh-CN"/>
        </w:rPr>
        <w:t>成交人逾期交货的，每逾期一日按合同总金额的万分之五向采购人支付违约金，</w:t>
      </w:r>
      <w:r>
        <w:rPr>
          <w:rFonts w:hint="eastAsia" w:ascii="宋体" w:hAnsi="宋体" w:eastAsia="宋体" w:cs="宋体"/>
          <w:b w:val="0"/>
          <w:bCs w:val="0"/>
          <w:i w:val="0"/>
          <w:iCs w:val="0"/>
          <w:caps w:val="0"/>
          <w:spacing w:val="0"/>
          <w:sz w:val="21"/>
          <w:szCs w:val="21"/>
          <w:highlight w:val="none"/>
          <w:shd w:val="clear"/>
        </w:rPr>
        <w:t>累计不超过违约货款额5%</w:t>
      </w:r>
      <w:r>
        <w:rPr>
          <w:rFonts w:hint="eastAsia" w:ascii="宋体" w:hAnsi="宋体" w:eastAsia="宋体" w:cs="宋体"/>
          <w:sz w:val="21"/>
          <w:szCs w:val="21"/>
          <w:highlight w:val="none"/>
          <w:lang w:val="en-US" w:eastAsia="zh-CN"/>
        </w:rPr>
        <w:t>。</w:t>
      </w:r>
    </w:p>
    <w:p w14:paraId="2EAC62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（2）</w:t>
      </w:r>
      <w:r>
        <w:rPr>
          <w:rFonts w:hint="eastAsia" w:ascii="宋体" w:hAnsi="宋体" w:eastAsia="宋体" w:cs="宋体"/>
          <w:sz w:val="21"/>
          <w:szCs w:val="21"/>
          <w:highlight w:val="none"/>
          <w:lang w:val="en-US" w:eastAsia="zh-CN"/>
        </w:rPr>
        <w:t>逾期超过15日的，采购人有权解除合同，并追究成交人违约责任。</w:t>
      </w:r>
    </w:p>
    <w:p w14:paraId="54525194">
      <w:pPr>
        <w:numPr>
          <w:ilvl w:val="0"/>
          <w:numId w:val="0"/>
        </w:numPr>
        <w:spacing w:line="360" w:lineRule="auto"/>
        <w:ind w:firstLine="420"/>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（3）</w:t>
      </w:r>
      <w:r>
        <w:rPr>
          <w:rFonts w:hint="eastAsia" w:ascii="宋体" w:hAnsi="宋体" w:eastAsia="宋体" w:cs="宋体"/>
          <w:sz w:val="21"/>
          <w:szCs w:val="21"/>
          <w:highlight w:val="none"/>
          <w:lang w:val="en-US" w:eastAsia="zh-CN"/>
        </w:rPr>
        <w:t>成交人所供货物不符合采购文件要求的，采购人有权拒收，并要求成交人承担由此造成的全部损失。</w:t>
      </w:r>
    </w:p>
    <w:p w14:paraId="53F1FC7B">
      <w:pPr>
        <w:rPr>
          <w:highlight w:val="none"/>
        </w:rPr>
      </w:pPr>
      <w:r>
        <w:rPr>
          <w:highlight w:val="none"/>
        </w:rPr>
        <w:br w:type="page"/>
      </w:r>
    </w:p>
    <w:p w14:paraId="230C0C58">
      <w:pPr>
        <w:numPr>
          <w:ilvl w:val="0"/>
          <w:numId w:val="0"/>
        </w:numPr>
        <w:spacing w:line="560" w:lineRule="exact"/>
        <w:jc w:val="center"/>
        <w:outlineLvl w:val="9"/>
        <w:rPr>
          <w:rFonts w:hint="eastAsia" w:asciiTheme="minorHAnsi" w:hAnsiTheme="minorHAnsi" w:eastAsiaTheme="minorEastAsia" w:cstheme="minorBidi"/>
          <w:b/>
          <w:bCs/>
          <w:sz w:val="44"/>
          <w:szCs w:val="44"/>
          <w:highlight w:val="none"/>
          <w:lang w:val="en-US" w:eastAsia="zh-CN"/>
        </w:rPr>
      </w:pPr>
      <w:r>
        <w:rPr>
          <w:rFonts w:hint="eastAsia" w:asciiTheme="minorHAnsi" w:hAnsiTheme="minorHAnsi" w:eastAsiaTheme="minorEastAsia" w:cstheme="minorBidi"/>
          <w:b/>
          <w:bCs/>
          <w:sz w:val="44"/>
          <w:szCs w:val="44"/>
          <w:highlight w:val="none"/>
          <w:lang w:val="en-US" w:eastAsia="zh-CN"/>
        </w:rPr>
        <w:t>响应文件</w:t>
      </w:r>
      <w:r>
        <w:rPr>
          <w:rFonts w:hint="eastAsia" w:cstheme="minorBidi"/>
          <w:b/>
          <w:bCs/>
          <w:sz w:val="44"/>
          <w:szCs w:val="44"/>
          <w:highlight w:val="none"/>
          <w:lang w:val="en-US" w:eastAsia="zh-CN"/>
        </w:rPr>
        <w:t>要求</w:t>
      </w:r>
    </w:p>
    <w:p w14:paraId="0F78D4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响应文件的组成</w:t>
      </w:r>
      <w:r>
        <w:rPr>
          <w:rFonts w:hint="eastAsia" w:ascii="宋体" w:hAnsi="宋体" w:eastAsia="宋体" w:cs="宋体"/>
          <w:sz w:val="21"/>
          <w:szCs w:val="21"/>
          <w:highlight w:val="none"/>
          <w:lang w:val="en-US" w:eastAsia="zh-CN"/>
        </w:rPr>
        <w:t>：</w:t>
      </w:r>
      <w:r>
        <w:rPr>
          <w:rFonts w:hint="default" w:ascii="宋体" w:hAnsi="宋体" w:eastAsia="宋体" w:cs="宋体"/>
          <w:sz w:val="21"/>
          <w:szCs w:val="21"/>
          <w:highlight w:val="none"/>
          <w:lang w:val="en-US" w:eastAsia="zh-CN"/>
        </w:rPr>
        <w:t>投标文件由资格文件、商务技术文件、采购报价文件三部份组成。</w:t>
      </w:r>
    </w:p>
    <w:p w14:paraId="594BEA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1.资格文件：</w:t>
      </w:r>
    </w:p>
    <w:p w14:paraId="4EAF27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（1）营业执照或者事业单位法人证书证明</w:t>
      </w:r>
      <w:r>
        <w:rPr>
          <w:rFonts w:hint="eastAsia" w:ascii="宋体" w:hAnsi="宋体" w:eastAsia="宋体" w:cs="宋体"/>
          <w:sz w:val="21"/>
          <w:szCs w:val="21"/>
          <w:highlight w:val="none"/>
          <w:lang w:val="en-US" w:eastAsia="zh-CN"/>
        </w:rPr>
        <w:t>材料</w:t>
      </w:r>
      <w:r>
        <w:rPr>
          <w:rFonts w:hint="default" w:ascii="宋体" w:hAnsi="宋体" w:eastAsia="宋体" w:cs="宋体"/>
          <w:sz w:val="21"/>
          <w:szCs w:val="21"/>
          <w:highlight w:val="none"/>
          <w:lang w:val="en-US" w:eastAsia="zh-CN"/>
        </w:rPr>
        <w:t>（必须提供）</w:t>
      </w:r>
    </w:p>
    <w:p w14:paraId="13255F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（2）供应商直接控股、管理关系信息表（格式后附）（必须提供）</w:t>
      </w:r>
    </w:p>
    <w:p w14:paraId="2A80EA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（3）竞标声明（格式后附）（必须提供）</w:t>
      </w:r>
    </w:p>
    <w:p w14:paraId="540342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（4）“信用中国”网站(www.creditchina.gov.cn) 、中国政府采购网(www.ccgp.gov.cn)查询结果截图（必须提供）</w:t>
      </w:r>
    </w:p>
    <w:p w14:paraId="686A83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（5）法定代表人授权委托书和委托代理人身份证扫描件或其他电子文件（格式后附）（必须提供）；当法定代表人参加投标时，必须提供法定代表人身份证扫描件或其他电子文件；</w:t>
      </w:r>
    </w:p>
    <w:p w14:paraId="72DFF7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6）投标截止之日前半年内供应商连续三个月的依法缴纳税费或依法免缴税费的证明（扫描件或其他电子文件，原件备查，格式自拟）（必须提供）；无纳税记录的，应提供由供应商所在地主管国税或地税部门出具的《依法纳税或依法免税证明》（格式自拟，扫描件或其他电子文件，原件备查）。</w:t>
      </w:r>
    </w:p>
    <w:p w14:paraId="0559F9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7）投标截止之日前半年内供应商连续三个月的依法缴纳社保费的缴费凭证（扫描件或其他电子文件，原件备查，格式自拟）（必须提供）；无缴费记录的，应提供由供应商所在地社保部门出具的《依法缴纳或依法免缴社保费证明》（格式自拟，扫描件或其他电子文件，原件备查）。</w:t>
      </w:r>
    </w:p>
    <w:p w14:paraId="305A4E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（8）财务状况报告（格式自拟，必须提供）；</w:t>
      </w:r>
    </w:p>
    <w:p w14:paraId="1F65C1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（9）具备履行合同所必需的设备和专业技术能力的证明材料（内容、格式自拟，必须提供）；</w:t>
      </w:r>
    </w:p>
    <w:p w14:paraId="277B71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2.商务技术文件</w:t>
      </w:r>
    </w:p>
    <w:p w14:paraId="749B11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 xml:space="preserve">（1）法定代表人(负责人)授权委托书原件和委托代理人身份证复印件或扫描件（格式后附，委托代理时必须提供）； </w:t>
      </w:r>
    </w:p>
    <w:p w14:paraId="7A0765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（2）法定代表人(负责人)的正面及反面身份证复印件或扫描件（必须提供）；</w:t>
      </w:r>
    </w:p>
    <w:p w14:paraId="4E8AFD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（3）技术、商务响应偏离情况说明表（格式后附，必须提供）；</w:t>
      </w:r>
    </w:p>
    <w:p w14:paraId="49DDB0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（4）售后服务承诺书（内容可以是提供的切实可行的售后服务、免费技术培训方案、技术支持、故障解决方案、定期维护和优惠承诺等）（格式自拟，必须提供）；</w:t>
      </w:r>
    </w:p>
    <w:p w14:paraId="7A1C65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（5）“货物采购需求”需提供的有效证明文件（《采购项目服务、技术及商务需求》要求提供的相关证明材料，如有要求，请按要求必须提供）；</w:t>
      </w:r>
    </w:p>
    <w:p w14:paraId="58ACC3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（6）具备法律、行政法规规定的其他条件的证明材料（如有，请提供）；</w:t>
      </w:r>
    </w:p>
    <w:p w14:paraId="1677A5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（7）供应商的信誉、荣誉证书（如有，请提供）；</w:t>
      </w:r>
    </w:p>
    <w:p w14:paraId="2C8D63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（8）供应商质量管理和质量保证体系等方面的认证证书（如有，请提供）；</w:t>
      </w:r>
    </w:p>
    <w:p w14:paraId="44042D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（9）节能产品证明文件、环保产品证明文件（如有，请提供）；</w:t>
      </w:r>
    </w:p>
    <w:p w14:paraId="2EB4FB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（10）供应商认为需要提供的有关资料（如有，请提供）。</w:t>
      </w:r>
    </w:p>
    <w:p w14:paraId="709D53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3.报价文件：</w:t>
      </w:r>
    </w:p>
    <w:p w14:paraId="4016C7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（1）采购报价明细表（格式后附，必须提供）；</w:t>
      </w:r>
    </w:p>
    <w:p w14:paraId="2A340F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（2）供应商针对报价需要说明的其他文件和说明（格式自拟）；</w:t>
      </w:r>
    </w:p>
    <w:p w14:paraId="6A549D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注：法定代表人授权委托书、投标声明书必须</w:t>
      </w:r>
      <w:r>
        <w:rPr>
          <w:rFonts w:hint="eastAsia" w:ascii="宋体" w:hAnsi="宋体" w:eastAsia="宋体" w:cs="宋体"/>
          <w:sz w:val="21"/>
          <w:szCs w:val="21"/>
          <w:highlight w:val="none"/>
          <w:lang w:val="en-US" w:eastAsia="zh-CN"/>
        </w:rPr>
        <w:t>按照响应文件的</w:t>
      </w:r>
      <w:r>
        <w:rPr>
          <w:rFonts w:hint="default" w:ascii="宋体" w:hAnsi="宋体" w:eastAsia="宋体" w:cs="宋体"/>
          <w:sz w:val="21"/>
          <w:szCs w:val="21"/>
          <w:highlight w:val="none"/>
          <w:lang w:val="en-US" w:eastAsia="zh-CN"/>
        </w:rPr>
        <w:t>格式要求签署和加盖单位公章。</w:t>
      </w:r>
      <w:bookmarkStart w:id="3" w:name="_GoBack"/>
      <w:bookmarkEnd w:id="3"/>
    </w:p>
    <w:p w14:paraId="0B1146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说明：</w:t>
      </w:r>
    </w:p>
    <w:p w14:paraId="07E24E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1.以上材料均需加盖公章，否则响应文件按无效响应处理。</w:t>
      </w:r>
    </w:p>
    <w:p w14:paraId="472BF0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2.采购声明必须由法定代表人在规定签章处签字并加盖供应商公章，否则响应文件按无效响应处理。</w:t>
      </w:r>
    </w:p>
    <w:p w14:paraId="5E3ED2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3.供应商直接控股、管理关系信息表必须由法定代表人或者委托代理人在规定签章处签字并加盖供应商公章，否则响应文件按无效</w:t>
      </w:r>
    </w:p>
    <w:p w14:paraId="065BDA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4.法定代表人授权委托书必须由法定代表人及委托代理人签字或盖章，并加盖供应商公章，否则响应文件按无效响应处理。</w:t>
      </w:r>
    </w:p>
    <w:p w14:paraId="11A88D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5.以上材料未附格式的，由供应商自行拟定。</w:t>
      </w:r>
    </w:p>
    <w:p w14:paraId="6783A8D9">
      <w:pPr>
        <w:rPr>
          <w:rFonts w:hint="default" w:ascii="宋体" w:hAnsi="宋体" w:eastAsia="宋体" w:cs="Times New Roman"/>
          <w:b/>
          <w:bCs w:val="0"/>
          <w:color w:val="auto"/>
          <w:sz w:val="24"/>
          <w:highlight w:val="none"/>
          <w:lang w:val="en-US" w:eastAsia="zh-CN"/>
        </w:rPr>
        <w:sectPr>
          <w:pgSz w:w="16838" w:h="11906" w:orient="landscape"/>
          <w:pgMar w:top="1800" w:right="1440" w:bottom="1800" w:left="1440" w:header="851" w:footer="992" w:gutter="0"/>
          <w:cols w:space="425" w:num="1"/>
          <w:docGrid w:type="lines" w:linePitch="312" w:charSpace="0"/>
        </w:sectPr>
      </w:pPr>
    </w:p>
    <w:p w14:paraId="5114417D">
      <w:pPr>
        <w:numPr>
          <w:ilvl w:val="0"/>
          <w:numId w:val="0"/>
        </w:numPr>
        <w:spacing w:line="560" w:lineRule="exact"/>
        <w:jc w:val="center"/>
        <w:outlineLvl w:val="9"/>
        <w:rPr>
          <w:rFonts w:hint="eastAsia" w:asciiTheme="minorHAnsi" w:hAnsiTheme="minorHAnsi" w:eastAsiaTheme="minorEastAsia" w:cstheme="minorBidi"/>
          <w:b/>
          <w:bCs/>
          <w:sz w:val="44"/>
          <w:szCs w:val="44"/>
          <w:highlight w:val="none"/>
          <w:lang w:val="en-US" w:eastAsia="zh-CN"/>
        </w:rPr>
      </w:pPr>
      <w:r>
        <w:rPr>
          <w:rFonts w:hint="eastAsia" w:asciiTheme="minorHAnsi" w:hAnsiTheme="minorHAnsi" w:eastAsiaTheme="minorEastAsia" w:cstheme="minorBidi"/>
          <w:b/>
          <w:bCs/>
          <w:sz w:val="44"/>
          <w:szCs w:val="44"/>
          <w:highlight w:val="none"/>
          <w:lang w:val="en-US" w:eastAsia="zh-CN"/>
        </w:rPr>
        <w:t>响应文件格式</w:t>
      </w:r>
    </w:p>
    <w:p w14:paraId="7D77A3CD">
      <w:pPr>
        <w:spacing w:line="560" w:lineRule="exact"/>
        <w:rPr>
          <w:rFonts w:ascii="宋体" w:hAnsi="宋体" w:eastAsia="宋体" w:cs="宋体"/>
          <w:b/>
          <w:sz w:val="28"/>
          <w:szCs w:val="28"/>
          <w:highlight w:val="none"/>
        </w:rPr>
      </w:pPr>
      <w:r>
        <w:rPr>
          <w:rFonts w:hint="eastAsia" w:ascii="宋体" w:hAnsi="宋体" w:eastAsia="宋体" w:cs="宋体"/>
          <w:b/>
          <w:sz w:val="28"/>
          <w:szCs w:val="28"/>
          <w:highlight w:val="none"/>
        </w:rPr>
        <w:t>（一）</w:t>
      </w:r>
      <w:r>
        <w:rPr>
          <w:rFonts w:hint="eastAsia" w:ascii="宋体" w:hAnsi="宋体" w:eastAsia="宋体" w:cs="宋体"/>
          <w:b/>
          <w:sz w:val="28"/>
          <w:szCs w:val="28"/>
          <w:highlight w:val="none"/>
          <w:lang w:eastAsia="zh-CN"/>
        </w:rPr>
        <w:t>响应文件</w:t>
      </w:r>
      <w:r>
        <w:rPr>
          <w:rFonts w:hint="eastAsia" w:ascii="宋体" w:hAnsi="宋体" w:eastAsia="宋体" w:cs="宋体"/>
          <w:b/>
          <w:sz w:val="28"/>
          <w:szCs w:val="28"/>
          <w:highlight w:val="none"/>
        </w:rPr>
        <w:t xml:space="preserve">封面格式： </w:t>
      </w:r>
    </w:p>
    <w:p w14:paraId="053032FB">
      <w:pPr>
        <w:snapToGrid w:val="0"/>
        <w:spacing w:before="156" w:beforeLines="50" w:after="50" w:line="560" w:lineRule="exact"/>
        <w:rPr>
          <w:rFonts w:hint="default" w:ascii="宋体" w:hAnsi="宋体" w:eastAsia="宋体" w:cs="宋体"/>
          <w:bCs/>
          <w:sz w:val="28"/>
          <w:szCs w:val="28"/>
          <w:highlight w:val="none"/>
          <w:lang w:val="en-US" w:eastAsia="zh-CN"/>
        </w:rPr>
      </w:pPr>
      <w:r>
        <w:rPr>
          <w:rFonts w:hint="eastAsia" w:ascii="宋体" w:hAnsi="宋体" w:eastAsia="宋体" w:cs="宋体"/>
          <w:sz w:val="28"/>
          <w:szCs w:val="28"/>
          <w:highlight w:val="none"/>
        </w:rPr>
        <w:t xml:space="preserve">                                                 </w:t>
      </w:r>
      <w:r>
        <w:rPr>
          <w:rFonts w:hint="eastAsia" w:ascii="宋体" w:hAnsi="宋体" w:eastAsia="宋体" w:cs="宋体"/>
          <w:sz w:val="28"/>
          <w:szCs w:val="28"/>
          <w:highlight w:val="none"/>
          <w:lang w:val="en-US" w:eastAsia="zh-CN"/>
        </w:rPr>
        <w:t xml:space="preserve">   </w:t>
      </w:r>
    </w:p>
    <w:p w14:paraId="0D097E48">
      <w:pPr>
        <w:snapToGrid w:val="0"/>
        <w:spacing w:before="156" w:beforeLines="50" w:after="50" w:line="560" w:lineRule="exact"/>
        <w:rPr>
          <w:rFonts w:ascii="宋体" w:hAnsi="宋体" w:eastAsia="宋体" w:cs="宋体"/>
          <w:sz w:val="28"/>
          <w:szCs w:val="28"/>
          <w:highlight w:val="none"/>
        </w:rPr>
      </w:pPr>
    </w:p>
    <w:p w14:paraId="405D44EC">
      <w:pPr>
        <w:snapToGrid w:val="0"/>
        <w:spacing w:before="156" w:beforeLines="50" w:after="50" w:line="560" w:lineRule="exact"/>
        <w:rPr>
          <w:rFonts w:ascii="宋体" w:hAnsi="宋体" w:eastAsia="宋体" w:cs="宋体"/>
          <w:sz w:val="28"/>
          <w:szCs w:val="28"/>
          <w:highlight w:val="none"/>
        </w:rPr>
      </w:pPr>
    </w:p>
    <w:p w14:paraId="1B3C0979">
      <w:pPr>
        <w:pStyle w:val="4"/>
        <w:spacing w:line="560" w:lineRule="exact"/>
        <w:rPr>
          <w:highlight w:val="none"/>
        </w:rPr>
      </w:pPr>
    </w:p>
    <w:p w14:paraId="6B4FADA6">
      <w:pPr>
        <w:snapToGrid w:val="0"/>
        <w:spacing w:before="156" w:beforeLines="50" w:after="50" w:line="560" w:lineRule="exact"/>
        <w:jc w:val="center"/>
        <w:rPr>
          <w:rFonts w:ascii="宋体" w:hAnsi="宋体" w:eastAsia="宋体" w:cs="宋体"/>
          <w:bCs/>
          <w:sz w:val="28"/>
          <w:szCs w:val="28"/>
          <w:highlight w:val="none"/>
        </w:rPr>
      </w:pPr>
      <w:r>
        <w:rPr>
          <w:rFonts w:hint="eastAsia" w:ascii="宋体" w:hAnsi="宋体" w:eastAsia="宋体" w:cs="宋体"/>
          <w:bCs/>
          <w:sz w:val="28"/>
          <w:szCs w:val="28"/>
          <w:highlight w:val="none"/>
          <w:lang w:val="en-US" w:eastAsia="zh-CN"/>
        </w:rPr>
        <w:t>响   应</w:t>
      </w:r>
      <w:r>
        <w:rPr>
          <w:rFonts w:hint="eastAsia" w:ascii="宋体" w:hAnsi="宋体" w:eastAsia="宋体" w:cs="宋体"/>
          <w:bCs/>
          <w:sz w:val="28"/>
          <w:szCs w:val="28"/>
          <w:highlight w:val="none"/>
        </w:rPr>
        <w:t xml:space="preserve">  文  件</w:t>
      </w:r>
    </w:p>
    <w:p w14:paraId="77A5AAED">
      <w:pPr>
        <w:snapToGrid w:val="0"/>
        <w:spacing w:before="156" w:beforeLines="50" w:after="50" w:line="560" w:lineRule="exact"/>
        <w:rPr>
          <w:rFonts w:ascii="宋体" w:hAnsi="宋体" w:eastAsia="宋体" w:cs="宋体"/>
          <w:bCs/>
          <w:sz w:val="28"/>
          <w:szCs w:val="28"/>
          <w:highlight w:val="none"/>
        </w:rPr>
      </w:pPr>
    </w:p>
    <w:p w14:paraId="3E16BA4F">
      <w:pPr>
        <w:snapToGrid w:val="0"/>
        <w:spacing w:before="156" w:beforeLines="50" w:after="50" w:line="560" w:lineRule="exact"/>
        <w:rPr>
          <w:rFonts w:ascii="宋体" w:hAnsi="宋体" w:eastAsia="宋体" w:cs="宋体"/>
          <w:bCs/>
          <w:sz w:val="28"/>
          <w:szCs w:val="28"/>
          <w:highlight w:val="none"/>
        </w:rPr>
      </w:pPr>
    </w:p>
    <w:p w14:paraId="26F957E3">
      <w:pPr>
        <w:snapToGrid w:val="0"/>
        <w:spacing w:before="156" w:beforeLines="50" w:after="50" w:line="560" w:lineRule="exact"/>
        <w:rPr>
          <w:rFonts w:ascii="宋体" w:hAnsi="宋体" w:eastAsia="宋体" w:cs="宋体"/>
          <w:bCs/>
          <w:sz w:val="28"/>
          <w:szCs w:val="28"/>
          <w:highlight w:val="none"/>
        </w:rPr>
      </w:pPr>
    </w:p>
    <w:p w14:paraId="0B4FD405">
      <w:pPr>
        <w:snapToGrid w:val="0"/>
        <w:spacing w:before="156" w:beforeLines="50" w:after="50" w:line="560" w:lineRule="exact"/>
        <w:rPr>
          <w:rFonts w:ascii="宋体" w:hAnsi="宋体" w:eastAsia="宋体" w:cs="宋体"/>
          <w:bCs/>
          <w:sz w:val="28"/>
          <w:szCs w:val="28"/>
          <w:highlight w:val="none"/>
        </w:rPr>
      </w:pPr>
    </w:p>
    <w:p w14:paraId="29C905C0">
      <w:pPr>
        <w:snapToGrid w:val="0"/>
        <w:spacing w:before="156" w:beforeLines="50" w:after="50" w:line="560" w:lineRule="exact"/>
        <w:ind w:firstLine="560" w:firstLineChars="200"/>
        <w:jc w:val="left"/>
        <w:rPr>
          <w:rFonts w:ascii="宋体" w:hAnsi="宋体" w:eastAsia="宋体" w:cs="宋体"/>
          <w:bCs/>
          <w:sz w:val="28"/>
          <w:szCs w:val="28"/>
          <w:highlight w:val="none"/>
        </w:rPr>
      </w:pPr>
      <w:r>
        <w:rPr>
          <w:rFonts w:hint="eastAsia" w:ascii="宋体" w:hAnsi="宋体" w:eastAsia="宋体" w:cs="宋体"/>
          <w:bCs/>
          <w:sz w:val="28"/>
          <w:szCs w:val="28"/>
          <w:highlight w:val="none"/>
        </w:rPr>
        <w:t>项目名称：</w:t>
      </w:r>
    </w:p>
    <w:p w14:paraId="5AFF3F2F">
      <w:pPr>
        <w:pStyle w:val="10"/>
        <w:spacing w:line="560" w:lineRule="exact"/>
        <w:rPr>
          <w:highlight w:val="none"/>
        </w:rPr>
      </w:pPr>
    </w:p>
    <w:p w14:paraId="3C8843E1">
      <w:pPr>
        <w:pStyle w:val="3"/>
        <w:snapToGrid w:val="0"/>
        <w:spacing w:before="50" w:after="50" w:line="560" w:lineRule="exact"/>
        <w:ind w:firstLine="560" w:firstLineChars="200"/>
        <w:jc w:val="left"/>
        <w:rPr>
          <w:rFonts w:ascii="宋体" w:hAnsi="宋体" w:eastAsia="宋体" w:cs="宋体"/>
          <w:bCs/>
          <w:sz w:val="28"/>
          <w:szCs w:val="28"/>
          <w:highlight w:val="none"/>
        </w:rPr>
      </w:pPr>
      <w:r>
        <w:rPr>
          <w:rFonts w:hint="eastAsia" w:ascii="宋体" w:hAnsi="宋体" w:eastAsia="宋体" w:cs="宋体"/>
          <w:bCs/>
          <w:sz w:val="28"/>
          <w:szCs w:val="28"/>
          <w:highlight w:val="none"/>
        </w:rPr>
        <w:t>供应商名称：</w:t>
      </w:r>
    </w:p>
    <w:p w14:paraId="325A6D90">
      <w:pPr>
        <w:pStyle w:val="4"/>
        <w:spacing w:line="560" w:lineRule="exact"/>
        <w:rPr>
          <w:highlight w:val="none"/>
        </w:rPr>
      </w:pPr>
    </w:p>
    <w:p w14:paraId="71B74F8F">
      <w:pPr>
        <w:pStyle w:val="3"/>
        <w:snapToGrid w:val="0"/>
        <w:spacing w:before="50" w:after="50" w:line="560" w:lineRule="exact"/>
        <w:ind w:firstLine="560" w:firstLineChars="200"/>
        <w:jc w:val="left"/>
        <w:rPr>
          <w:rFonts w:ascii="宋体" w:hAnsi="宋体" w:eastAsia="宋体" w:cs="宋体"/>
          <w:bCs/>
          <w:sz w:val="28"/>
          <w:szCs w:val="28"/>
          <w:highlight w:val="none"/>
        </w:rPr>
      </w:pPr>
      <w:r>
        <w:rPr>
          <w:rFonts w:hint="eastAsia" w:ascii="宋体" w:hAnsi="宋体" w:eastAsia="宋体" w:cs="宋体"/>
          <w:bCs/>
          <w:sz w:val="28"/>
          <w:szCs w:val="28"/>
          <w:highlight w:val="none"/>
        </w:rPr>
        <w:t>供应商地址：</w:t>
      </w:r>
    </w:p>
    <w:p w14:paraId="2A7F5BB9">
      <w:pPr>
        <w:pStyle w:val="3"/>
        <w:snapToGrid w:val="0"/>
        <w:spacing w:before="50" w:after="50" w:line="560" w:lineRule="exact"/>
        <w:ind w:firstLine="630" w:firstLineChars="225"/>
        <w:rPr>
          <w:rFonts w:ascii="宋体" w:hAnsi="宋体" w:eastAsia="宋体" w:cs="宋体"/>
          <w:bCs/>
          <w:sz w:val="28"/>
          <w:szCs w:val="28"/>
          <w:highlight w:val="none"/>
        </w:rPr>
      </w:pPr>
    </w:p>
    <w:p w14:paraId="785766BC">
      <w:pPr>
        <w:pStyle w:val="3"/>
        <w:snapToGrid w:val="0"/>
        <w:spacing w:before="50" w:after="50" w:line="560" w:lineRule="exact"/>
        <w:ind w:firstLine="1120" w:firstLineChars="400"/>
        <w:rPr>
          <w:rFonts w:ascii="宋体" w:hAnsi="宋体" w:eastAsia="宋体" w:cs="宋体"/>
          <w:bCs/>
          <w:sz w:val="28"/>
          <w:szCs w:val="28"/>
          <w:highlight w:val="none"/>
        </w:rPr>
      </w:pPr>
    </w:p>
    <w:p w14:paraId="4C1B99D8">
      <w:pPr>
        <w:snapToGrid w:val="0"/>
        <w:spacing w:before="156" w:beforeLines="50" w:after="50" w:line="560" w:lineRule="exact"/>
        <w:jc w:val="right"/>
        <w:rPr>
          <w:rFonts w:ascii="宋体" w:hAnsi="宋体" w:eastAsia="宋体" w:cs="宋体"/>
          <w:sz w:val="28"/>
          <w:szCs w:val="28"/>
          <w:highlight w:val="none"/>
        </w:rPr>
      </w:pPr>
      <w:r>
        <w:rPr>
          <w:rFonts w:hint="eastAsia" w:ascii="宋体" w:hAnsi="宋体" w:eastAsia="宋体" w:cs="宋体"/>
          <w:sz w:val="28"/>
          <w:szCs w:val="28"/>
          <w:highlight w:val="none"/>
        </w:rPr>
        <w:t>年    月    日</w:t>
      </w:r>
    </w:p>
    <w:p w14:paraId="1EFCA6E5">
      <w:pP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p>
    <w:p w14:paraId="77C739A2">
      <w:pPr>
        <w:snapToGrid w:val="0"/>
        <w:spacing w:before="156" w:beforeLines="50" w:after="50" w:line="560" w:lineRule="exact"/>
        <w:ind w:left="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（二）</w:t>
      </w:r>
      <w:r>
        <w:rPr>
          <w:rFonts w:hint="eastAsia" w:ascii="宋体" w:hAnsi="宋体" w:eastAsia="宋体" w:cs="宋体"/>
          <w:b/>
          <w:bCs/>
          <w:sz w:val="28"/>
          <w:szCs w:val="28"/>
          <w:highlight w:val="none"/>
          <w:lang w:eastAsia="zh-CN"/>
        </w:rPr>
        <w:t>响应文件</w:t>
      </w:r>
      <w:r>
        <w:rPr>
          <w:rFonts w:hint="eastAsia" w:ascii="宋体" w:hAnsi="宋体" w:eastAsia="宋体" w:cs="宋体"/>
          <w:b/>
          <w:bCs/>
          <w:sz w:val="28"/>
          <w:szCs w:val="28"/>
          <w:highlight w:val="none"/>
        </w:rPr>
        <w:t>目录</w:t>
      </w:r>
    </w:p>
    <w:p w14:paraId="370AE64C">
      <w:pPr>
        <w:spacing w:line="560" w:lineRule="exact"/>
        <w:jc w:val="left"/>
        <w:rPr>
          <w:highlight w:val="none"/>
        </w:rPr>
      </w:pPr>
      <w:r>
        <w:rPr>
          <w:rFonts w:hint="eastAsia" w:ascii="宋体" w:hAnsi="宋体" w:eastAsia="宋体" w:cs="宋体"/>
          <w:b/>
          <w:bCs/>
          <w:sz w:val="28"/>
          <w:szCs w:val="28"/>
          <w:highlight w:val="none"/>
        </w:rPr>
        <w:t>根据</w:t>
      </w:r>
      <w:r>
        <w:rPr>
          <w:rFonts w:hint="eastAsia" w:ascii="宋体" w:hAnsi="宋体" w:eastAsia="宋体" w:cs="宋体"/>
          <w:b/>
          <w:bCs/>
          <w:sz w:val="28"/>
          <w:szCs w:val="28"/>
          <w:highlight w:val="none"/>
          <w:lang w:eastAsia="zh-CN"/>
        </w:rPr>
        <w:t>响应文件</w:t>
      </w:r>
      <w:r>
        <w:rPr>
          <w:rFonts w:hint="eastAsia" w:ascii="宋体" w:hAnsi="宋体" w:eastAsia="宋体" w:cs="宋体"/>
          <w:b/>
          <w:bCs/>
          <w:sz w:val="28"/>
          <w:szCs w:val="28"/>
          <w:highlight w:val="none"/>
        </w:rPr>
        <w:t>规定及供应商提供的材料自行编写目录（部分材料格式后附）。</w:t>
      </w:r>
    </w:p>
    <w:p w14:paraId="6F59ED89">
      <w:pPr>
        <w:pStyle w:val="4"/>
        <w:spacing w:line="560" w:lineRule="exact"/>
        <w:rPr>
          <w:highlight w:val="none"/>
        </w:rPr>
      </w:pPr>
    </w:p>
    <w:p w14:paraId="6B661C91">
      <w:pPr>
        <w:spacing w:line="560" w:lineRule="exact"/>
        <w:rPr>
          <w:b/>
          <w:bCs/>
          <w:highlight w:val="none"/>
        </w:rPr>
      </w:pPr>
      <w:r>
        <w:rPr>
          <w:rFonts w:hint="eastAsia"/>
          <w:b/>
          <w:bCs/>
          <w:highlight w:val="none"/>
        </w:rPr>
        <w:br w:type="page"/>
      </w:r>
    </w:p>
    <w:p w14:paraId="39732C65">
      <w:pPr>
        <w:pStyle w:val="12"/>
        <w:spacing w:line="560" w:lineRule="exact"/>
        <w:ind w:left="0" w:leftChars="0"/>
        <w:rPr>
          <w:rFonts w:ascii="宋体" w:hAnsi="宋体" w:eastAsia="宋体" w:cs="宋体"/>
          <w:b/>
          <w:szCs w:val="21"/>
          <w:highlight w:val="none"/>
        </w:rPr>
      </w:pPr>
      <w:r>
        <w:rPr>
          <w:rFonts w:hint="eastAsia" w:ascii="宋体" w:hAnsi="宋体" w:eastAsia="宋体" w:cs="宋体"/>
          <w:b/>
          <w:szCs w:val="21"/>
          <w:highlight w:val="none"/>
        </w:rPr>
        <w:t>1.资格文件：</w:t>
      </w:r>
    </w:p>
    <w:p w14:paraId="1D638787">
      <w:pPr>
        <w:spacing w:line="56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zh-CN"/>
          <w14:textFill>
            <w14:solidFill>
              <w14:schemeClr w14:val="tx1"/>
            </w14:solidFill>
          </w14:textFill>
        </w:rPr>
        <w:t>）营业执照或者事业单位法人证书证明</w:t>
      </w:r>
      <w:r>
        <w:rPr>
          <w:rFonts w:hint="eastAsia" w:ascii="宋体" w:hAnsi="宋体" w:cs="宋体"/>
          <w:color w:val="000000" w:themeColor="text1"/>
          <w:szCs w:val="21"/>
          <w:highlight w:val="none"/>
          <w:lang w:val="en-US" w:eastAsia="zh-CN"/>
          <w14:textFill>
            <w14:solidFill>
              <w14:schemeClr w14:val="tx1"/>
            </w14:solidFill>
          </w14:textFill>
        </w:rPr>
        <w:t>材料</w:t>
      </w:r>
      <w:r>
        <w:rPr>
          <w:rFonts w:hint="eastAsia" w:ascii="宋体" w:hAnsi="宋体" w:cs="宋体"/>
          <w:color w:val="000000" w:themeColor="text1"/>
          <w:szCs w:val="21"/>
          <w:highlight w:val="none"/>
          <w14:textFill>
            <w14:solidFill>
              <w14:schemeClr w14:val="tx1"/>
            </w14:solidFill>
          </w14:textFill>
        </w:rPr>
        <w:t>（必须提供）</w:t>
      </w:r>
    </w:p>
    <w:p w14:paraId="408EF437">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0166BBA1">
      <w:pPr>
        <w:rPr>
          <w:highlight w:val="none"/>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直接控股、管理关系信息表（必须提供）</w:t>
      </w:r>
    </w:p>
    <w:p w14:paraId="4ADAD763">
      <w:pPr>
        <w:spacing w:line="560" w:lineRule="exact"/>
        <w:contextualSpacing/>
        <w:jc w:val="center"/>
        <w:rPr>
          <w:rFonts w:ascii="宋体" w:hAnsi="宋体"/>
          <w:b/>
          <w:color w:val="000000"/>
          <w:sz w:val="32"/>
          <w:szCs w:val="32"/>
          <w:highlight w:val="none"/>
        </w:rPr>
      </w:pPr>
      <w:r>
        <w:rPr>
          <w:rFonts w:hint="eastAsia" w:ascii="宋体" w:hAnsi="宋体"/>
          <w:b/>
          <w:color w:val="000000"/>
          <w:sz w:val="32"/>
          <w:szCs w:val="32"/>
          <w:highlight w:val="none"/>
          <w:lang w:eastAsia="zh-CN"/>
        </w:rPr>
        <w:t>供应商</w:t>
      </w:r>
      <w:r>
        <w:rPr>
          <w:rFonts w:hint="eastAsia" w:ascii="宋体" w:hAnsi="宋体"/>
          <w:b/>
          <w:color w:val="000000"/>
          <w:sz w:val="32"/>
          <w:szCs w:val="32"/>
          <w:highlight w:val="none"/>
        </w:rPr>
        <w:t>直接控股股东信息表</w:t>
      </w:r>
    </w:p>
    <w:p w14:paraId="0E034BA9">
      <w:pPr>
        <w:spacing w:line="560" w:lineRule="exact"/>
        <w:contextualSpacing/>
        <w:rPr>
          <w:rFonts w:ascii="宋体" w:hAnsi="宋体"/>
          <w:b/>
          <w:color w:val="000000"/>
          <w:sz w:val="24"/>
          <w:highlight w:val="none"/>
        </w:rPr>
      </w:pPr>
    </w:p>
    <w:tbl>
      <w:tblPr>
        <w:tblStyle w:val="13"/>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04EFCD52">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053A43">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CC727A">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9B8BBE">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0C423E">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D64DAC">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备注</w:t>
            </w:r>
          </w:p>
        </w:tc>
      </w:tr>
      <w:tr w14:paraId="680C48E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6F7655F">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D6F9AA7">
            <w:pPr>
              <w:spacing w:line="560" w:lineRule="exact"/>
              <w:contextualSpacing/>
              <w:jc w:val="center"/>
              <w:rPr>
                <w:rFonts w:ascii="宋体" w:hAnsi="宋体" w:cs="宋体"/>
                <w:color w:val="00000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95F0A2">
            <w:pPr>
              <w:spacing w:line="560" w:lineRule="exact"/>
              <w:contextualSpacing/>
              <w:jc w:val="center"/>
              <w:rPr>
                <w:rFonts w:ascii="宋体" w:hAnsi="宋体" w:cs="宋体"/>
                <w:color w:val="00000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E53AD3">
            <w:pPr>
              <w:spacing w:line="560" w:lineRule="exact"/>
              <w:contextualSpacing/>
              <w:jc w:val="center"/>
              <w:rPr>
                <w:rFonts w:ascii="宋体" w:hAnsi="宋体" w:cs="宋体"/>
                <w:color w:val="00000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99A188">
            <w:pPr>
              <w:spacing w:line="560" w:lineRule="exact"/>
              <w:contextualSpacing/>
              <w:jc w:val="center"/>
              <w:rPr>
                <w:rFonts w:ascii="宋体" w:hAnsi="宋体" w:cs="宋体"/>
                <w:color w:val="000000"/>
                <w:sz w:val="24"/>
                <w:highlight w:val="none"/>
              </w:rPr>
            </w:pPr>
          </w:p>
        </w:tc>
      </w:tr>
      <w:tr w14:paraId="2C1A3D8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0C21C1">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1EE86A">
            <w:pPr>
              <w:spacing w:line="560" w:lineRule="exact"/>
              <w:contextualSpacing/>
              <w:jc w:val="center"/>
              <w:rPr>
                <w:rFonts w:ascii="宋体" w:hAnsi="宋体" w:cs="宋体"/>
                <w:color w:val="00000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AC25C7">
            <w:pPr>
              <w:spacing w:line="560" w:lineRule="exact"/>
              <w:contextualSpacing/>
              <w:jc w:val="center"/>
              <w:rPr>
                <w:rFonts w:ascii="宋体" w:hAnsi="宋体" w:cs="宋体"/>
                <w:color w:val="00000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6F36AD">
            <w:pPr>
              <w:spacing w:line="560" w:lineRule="exact"/>
              <w:contextualSpacing/>
              <w:jc w:val="center"/>
              <w:rPr>
                <w:rFonts w:ascii="宋体" w:hAnsi="宋体" w:cs="宋体"/>
                <w:color w:val="00000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66FBA1">
            <w:pPr>
              <w:spacing w:line="560" w:lineRule="exact"/>
              <w:contextualSpacing/>
              <w:jc w:val="center"/>
              <w:rPr>
                <w:rFonts w:ascii="宋体" w:hAnsi="宋体" w:cs="宋体"/>
                <w:color w:val="000000"/>
                <w:sz w:val="24"/>
                <w:highlight w:val="none"/>
              </w:rPr>
            </w:pPr>
          </w:p>
        </w:tc>
      </w:tr>
      <w:tr w14:paraId="4C5A18D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3A5195">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43FD8D">
            <w:pPr>
              <w:spacing w:line="560" w:lineRule="exact"/>
              <w:contextualSpacing/>
              <w:jc w:val="center"/>
              <w:rPr>
                <w:rFonts w:ascii="宋体" w:hAnsi="宋体" w:cs="宋体"/>
                <w:color w:val="00000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FC7F78">
            <w:pPr>
              <w:spacing w:line="560" w:lineRule="exact"/>
              <w:contextualSpacing/>
              <w:jc w:val="center"/>
              <w:rPr>
                <w:rFonts w:ascii="宋体" w:hAnsi="宋体" w:cs="宋体"/>
                <w:color w:val="00000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35121D">
            <w:pPr>
              <w:spacing w:line="560" w:lineRule="exact"/>
              <w:contextualSpacing/>
              <w:jc w:val="center"/>
              <w:rPr>
                <w:rFonts w:ascii="宋体" w:hAnsi="宋体" w:cs="宋体"/>
                <w:color w:val="00000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756C50">
            <w:pPr>
              <w:spacing w:line="560" w:lineRule="exact"/>
              <w:contextualSpacing/>
              <w:jc w:val="center"/>
              <w:rPr>
                <w:rFonts w:ascii="宋体" w:hAnsi="宋体" w:cs="宋体"/>
                <w:color w:val="000000"/>
                <w:sz w:val="24"/>
                <w:highlight w:val="none"/>
              </w:rPr>
            </w:pPr>
          </w:p>
        </w:tc>
      </w:tr>
      <w:tr w14:paraId="6717D80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622072">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F0AD8D">
            <w:pPr>
              <w:spacing w:line="560" w:lineRule="exact"/>
              <w:contextualSpacing/>
              <w:jc w:val="center"/>
              <w:rPr>
                <w:rFonts w:ascii="宋体" w:hAnsi="宋体" w:cs="宋体"/>
                <w:color w:val="00000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F2FEF81">
            <w:pPr>
              <w:spacing w:line="560" w:lineRule="exact"/>
              <w:contextualSpacing/>
              <w:jc w:val="center"/>
              <w:rPr>
                <w:rFonts w:ascii="宋体" w:hAnsi="宋体" w:cs="宋体"/>
                <w:color w:val="00000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88659F">
            <w:pPr>
              <w:spacing w:line="560" w:lineRule="exact"/>
              <w:contextualSpacing/>
              <w:jc w:val="center"/>
              <w:rPr>
                <w:rFonts w:ascii="宋体" w:hAnsi="宋体" w:cs="宋体"/>
                <w:color w:val="00000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A609D9">
            <w:pPr>
              <w:spacing w:line="560" w:lineRule="exact"/>
              <w:contextualSpacing/>
              <w:jc w:val="center"/>
              <w:rPr>
                <w:rFonts w:ascii="宋体" w:hAnsi="宋体" w:cs="宋体"/>
                <w:color w:val="000000"/>
                <w:sz w:val="24"/>
                <w:highlight w:val="none"/>
              </w:rPr>
            </w:pPr>
          </w:p>
        </w:tc>
      </w:tr>
    </w:tbl>
    <w:p w14:paraId="4AB325AF">
      <w:pPr>
        <w:spacing w:before="156" w:beforeLines="50" w:line="560" w:lineRule="exact"/>
        <w:contextualSpacing/>
        <w:rPr>
          <w:rFonts w:ascii="宋体" w:hAnsi="宋体" w:cs="宋体"/>
          <w:color w:val="000000"/>
          <w:sz w:val="24"/>
          <w:highlight w:val="none"/>
        </w:rPr>
      </w:pPr>
      <w:r>
        <w:rPr>
          <w:rFonts w:hint="eastAsia" w:ascii="宋体" w:hAnsi="宋体" w:cs="宋体"/>
          <w:color w:val="000000"/>
          <w:sz w:val="24"/>
          <w:highlight w:val="none"/>
        </w:rPr>
        <w:t>注：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D7312C3">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2.本表所指的控股关系仅限于直接控股关系，不包括间接的控股关系。公司实际控制人与公司之间的关系不属于本表所指的直接控股关系。</w:t>
      </w:r>
    </w:p>
    <w:p w14:paraId="2F9D99BA">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3.</w:t>
      </w:r>
      <w:r>
        <w:rPr>
          <w:rFonts w:hint="eastAsia" w:ascii="宋体" w:hAnsi="宋体" w:cs="宋体"/>
          <w:color w:val="000000"/>
          <w:sz w:val="24"/>
          <w:highlight w:val="none"/>
          <w:lang w:eastAsia="zh-CN"/>
        </w:rPr>
        <w:t>供应商</w:t>
      </w:r>
      <w:r>
        <w:rPr>
          <w:rFonts w:hint="eastAsia" w:ascii="宋体" w:hAnsi="宋体" w:cs="宋体"/>
          <w:color w:val="000000"/>
          <w:sz w:val="24"/>
          <w:highlight w:val="none"/>
        </w:rPr>
        <w:t>不存在直接控股股东的，则填“无”。</w:t>
      </w:r>
    </w:p>
    <w:p w14:paraId="3AFC9781">
      <w:pPr>
        <w:pStyle w:val="8"/>
        <w:rPr>
          <w:color w:val="000000"/>
          <w:highlight w:val="none"/>
        </w:rPr>
      </w:pPr>
    </w:p>
    <w:p w14:paraId="4B4A1A63">
      <w:pPr>
        <w:spacing w:before="156" w:beforeLines="50" w:line="560" w:lineRule="exact"/>
        <w:ind w:right="480" w:firstLine="1920" w:firstLineChars="800"/>
        <w:rPr>
          <w:rFonts w:ascii="宋体" w:hAnsi="宋体" w:cs="宋体"/>
          <w:color w:val="000000"/>
          <w:sz w:val="24"/>
          <w:highlight w:val="none"/>
          <w:u w:val="single"/>
        </w:rPr>
      </w:pPr>
      <w:r>
        <w:rPr>
          <w:rFonts w:hint="eastAsia" w:ascii="宋体" w:hAnsi="宋体" w:cs="宋体"/>
          <w:color w:val="000000"/>
          <w:sz w:val="24"/>
          <w:highlight w:val="none"/>
        </w:rPr>
        <w:t>法定代表人或者委托代理人签字：</w:t>
      </w:r>
      <w:r>
        <w:rPr>
          <w:rFonts w:hint="eastAsia" w:ascii="宋体" w:hAnsi="宋体" w:cs="宋体"/>
          <w:color w:val="000000"/>
          <w:sz w:val="24"/>
          <w:highlight w:val="none"/>
          <w:u w:val="single"/>
        </w:rPr>
        <w:t xml:space="preserve">                </w:t>
      </w:r>
    </w:p>
    <w:p w14:paraId="1D8A7E7C">
      <w:pPr>
        <w:spacing w:before="156" w:beforeLines="50" w:after="50" w:line="560" w:lineRule="exact"/>
        <w:ind w:right="480" w:firstLine="3000" w:firstLineChars="1250"/>
        <w:rPr>
          <w:rFonts w:ascii="宋体" w:hAnsi="宋体" w:cs="宋体"/>
          <w:color w:val="000000"/>
          <w:sz w:val="24"/>
          <w:highlight w:val="none"/>
          <w:u w:val="single"/>
        </w:rPr>
      </w:pPr>
      <w:r>
        <w:rPr>
          <w:rFonts w:hint="eastAsia" w:ascii="宋体" w:hAnsi="宋体" w:cs="宋体"/>
          <w:color w:val="000000"/>
          <w:sz w:val="24"/>
          <w:highlight w:val="none"/>
          <w:lang w:eastAsia="zh-CN"/>
        </w:rPr>
        <w:t>供应商</w:t>
      </w:r>
      <w:r>
        <w:rPr>
          <w:rFonts w:hint="eastAsia" w:ascii="宋体" w:hAnsi="宋体" w:cs="宋体"/>
          <w:color w:val="000000"/>
          <w:sz w:val="24"/>
          <w:highlight w:val="none"/>
        </w:rPr>
        <w:t>（盖章 ）：</w:t>
      </w:r>
      <w:r>
        <w:rPr>
          <w:rFonts w:hint="eastAsia" w:ascii="宋体" w:hAnsi="宋体" w:cs="宋体"/>
          <w:color w:val="000000"/>
          <w:sz w:val="24"/>
          <w:highlight w:val="none"/>
          <w:u w:val="single"/>
        </w:rPr>
        <w:t xml:space="preserve">                              </w:t>
      </w:r>
    </w:p>
    <w:p w14:paraId="61469DA7">
      <w:pPr>
        <w:spacing w:before="156" w:beforeLines="50" w:after="50" w:line="560" w:lineRule="exact"/>
        <w:ind w:right="480" w:firstLine="5280" w:firstLineChars="2200"/>
        <w:rPr>
          <w:rFonts w:ascii="宋体" w:hAnsi="宋体" w:cs="宋体"/>
          <w:color w:val="000000"/>
          <w:sz w:val="28"/>
          <w:szCs w:val="28"/>
          <w:highlight w:val="none"/>
        </w:rPr>
      </w:pPr>
      <w:r>
        <w:rPr>
          <w:rFonts w:hint="eastAsia" w:ascii="宋体" w:hAnsi="宋体" w:cs="宋体"/>
          <w:color w:val="000000"/>
          <w:sz w:val="24"/>
          <w:highlight w:val="none"/>
        </w:rPr>
        <w:t>年    月    日</w:t>
      </w:r>
    </w:p>
    <w:p w14:paraId="66C15F1C">
      <w:pPr>
        <w:spacing w:line="560" w:lineRule="exact"/>
        <w:jc w:val="center"/>
        <w:rPr>
          <w:rFonts w:ascii="宋体" w:hAnsi="宋体"/>
          <w:b/>
          <w:color w:val="000000"/>
          <w:sz w:val="28"/>
          <w:szCs w:val="28"/>
          <w:highlight w:val="none"/>
        </w:rPr>
      </w:pPr>
      <w:r>
        <w:rPr>
          <w:rFonts w:ascii="宋体" w:hAnsi="宋体"/>
          <w:b/>
          <w:color w:val="000000"/>
          <w:sz w:val="28"/>
          <w:szCs w:val="28"/>
          <w:highlight w:val="none"/>
        </w:rPr>
        <w:br w:type="page"/>
      </w:r>
    </w:p>
    <w:p w14:paraId="1D421866">
      <w:pPr>
        <w:spacing w:line="560" w:lineRule="exact"/>
        <w:jc w:val="center"/>
        <w:rPr>
          <w:rFonts w:ascii="宋体" w:hAnsi="宋体"/>
          <w:b/>
          <w:color w:val="000000"/>
          <w:sz w:val="32"/>
          <w:szCs w:val="32"/>
          <w:highlight w:val="none"/>
        </w:rPr>
      </w:pPr>
      <w:r>
        <w:rPr>
          <w:rFonts w:hint="eastAsia" w:ascii="宋体" w:hAnsi="宋体"/>
          <w:b/>
          <w:color w:val="000000"/>
          <w:sz w:val="32"/>
          <w:szCs w:val="32"/>
          <w:highlight w:val="none"/>
          <w:lang w:eastAsia="zh-CN"/>
        </w:rPr>
        <w:t>供应商</w:t>
      </w:r>
      <w:r>
        <w:rPr>
          <w:rFonts w:hint="eastAsia" w:ascii="宋体" w:hAnsi="宋体"/>
          <w:b/>
          <w:color w:val="000000"/>
          <w:sz w:val="32"/>
          <w:szCs w:val="32"/>
          <w:highlight w:val="none"/>
        </w:rPr>
        <w:t>直接管理关系信息表</w:t>
      </w:r>
    </w:p>
    <w:p w14:paraId="49F10C16">
      <w:pPr>
        <w:spacing w:line="560" w:lineRule="exact"/>
        <w:jc w:val="center"/>
        <w:rPr>
          <w:rFonts w:ascii="宋体" w:hAnsi="宋体"/>
          <w:b/>
          <w:color w:val="000000"/>
          <w:sz w:val="24"/>
          <w:highlight w:val="none"/>
        </w:rPr>
      </w:pPr>
    </w:p>
    <w:tbl>
      <w:tblPr>
        <w:tblStyle w:val="13"/>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50258ED5">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D5CB7EB">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4D55F5B">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C91E4B">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70F08F">
            <w:pPr>
              <w:spacing w:line="560" w:lineRule="exact"/>
              <w:contextualSpacing/>
              <w:jc w:val="center"/>
              <w:rPr>
                <w:rFonts w:ascii="宋体" w:hAnsi="宋体" w:cs="宋体"/>
                <w:b/>
                <w:bCs/>
                <w:color w:val="000000"/>
                <w:sz w:val="24"/>
                <w:highlight w:val="none"/>
              </w:rPr>
            </w:pPr>
            <w:r>
              <w:rPr>
                <w:rFonts w:hint="eastAsia" w:ascii="宋体" w:hAnsi="宋体" w:cs="宋体"/>
                <w:b/>
                <w:bCs/>
                <w:color w:val="000000"/>
                <w:sz w:val="24"/>
                <w:highlight w:val="none"/>
              </w:rPr>
              <w:t>备注</w:t>
            </w:r>
          </w:p>
        </w:tc>
      </w:tr>
      <w:tr w14:paraId="08EB95D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F43419">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9505BA6">
            <w:pPr>
              <w:spacing w:line="560" w:lineRule="exact"/>
              <w:contextualSpacing/>
              <w:jc w:val="center"/>
              <w:rPr>
                <w:rFonts w:ascii="宋体" w:hAnsi="宋体" w:cs="宋体"/>
                <w:color w:val="00000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B1F494">
            <w:pPr>
              <w:spacing w:line="560" w:lineRule="exact"/>
              <w:contextualSpacing/>
              <w:jc w:val="center"/>
              <w:rPr>
                <w:rFonts w:ascii="宋体" w:hAnsi="宋体" w:cs="宋体"/>
                <w:color w:val="00000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1DEDA7">
            <w:pPr>
              <w:spacing w:line="560" w:lineRule="exact"/>
              <w:contextualSpacing/>
              <w:jc w:val="center"/>
              <w:rPr>
                <w:rFonts w:ascii="宋体" w:hAnsi="宋体" w:cs="宋体"/>
                <w:color w:val="000000"/>
                <w:sz w:val="24"/>
                <w:highlight w:val="none"/>
              </w:rPr>
            </w:pPr>
          </w:p>
        </w:tc>
      </w:tr>
      <w:tr w14:paraId="189E37F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F51370">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2F6380">
            <w:pPr>
              <w:spacing w:line="560" w:lineRule="exact"/>
              <w:contextualSpacing/>
              <w:jc w:val="center"/>
              <w:rPr>
                <w:rFonts w:ascii="宋体" w:hAnsi="宋体" w:cs="宋体"/>
                <w:color w:val="00000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8F1601">
            <w:pPr>
              <w:spacing w:line="560" w:lineRule="exact"/>
              <w:contextualSpacing/>
              <w:jc w:val="center"/>
              <w:rPr>
                <w:rFonts w:ascii="宋体" w:hAnsi="宋体" w:cs="宋体"/>
                <w:color w:val="00000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97990D">
            <w:pPr>
              <w:spacing w:line="560" w:lineRule="exact"/>
              <w:contextualSpacing/>
              <w:jc w:val="center"/>
              <w:rPr>
                <w:rFonts w:ascii="宋体" w:hAnsi="宋体" w:cs="宋体"/>
                <w:color w:val="000000"/>
                <w:sz w:val="24"/>
                <w:highlight w:val="none"/>
              </w:rPr>
            </w:pPr>
          </w:p>
        </w:tc>
      </w:tr>
      <w:tr w14:paraId="67D86A7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D4CCF6">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458C6E">
            <w:pPr>
              <w:spacing w:line="560" w:lineRule="exact"/>
              <w:contextualSpacing/>
              <w:jc w:val="center"/>
              <w:rPr>
                <w:rFonts w:ascii="宋体" w:hAnsi="宋体" w:cs="宋体"/>
                <w:color w:val="00000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C75BB1">
            <w:pPr>
              <w:spacing w:line="560" w:lineRule="exact"/>
              <w:contextualSpacing/>
              <w:jc w:val="center"/>
              <w:rPr>
                <w:rFonts w:ascii="宋体" w:hAnsi="宋体" w:cs="宋体"/>
                <w:color w:val="00000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730B9D">
            <w:pPr>
              <w:spacing w:line="560" w:lineRule="exact"/>
              <w:contextualSpacing/>
              <w:jc w:val="center"/>
              <w:rPr>
                <w:rFonts w:ascii="宋体" w:hAnsi="宋体" w:cs="宋体"/>
                <w:color w:val="000000"/>
                <w:sz w:val="24"/>
                <w:highlight w:val="none"/>
              </w:rPr>
            </w:pPr>
          </w:p>
        </w:tc>
      </w:tr>
      <w:tr w14:paraId="10A4C2D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D95F9D9">
            <w:pPr>
              <w:spacing w:line="560" w:lineRule="exact"/>
              <w:contextualSpacing/>
              <w:jc w:val="center"/>
              <w:rPr>
                <w:rFonts w:ascii="宋体" w:hAnsi="宋体" w:cs="宋体"/>
                <w:color w:val="000000"/>
                <w:sz w:val="24"/>
                <w:highlight w:val="none"/>
              </w:rPr>
            </w:pPr>
            <w:r>
              <w:rPr>
                <w:rFonts w:hint="eastAsia" w:ascii="宋体" w:hAnsi="宋体" w:cs="宋体"/>
                <w:color w:val="00000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E4BEC0">
            <w:pPr>
              <w:spacing w:line="560" w:lineRule="exact"/>
              <w:contextualSpacing/>
              <w:jc w:val="center"/>
              <w:rPr>
                <w:rFonts w:ascii="宋体" w:hAnsi="宋体" w:cs="宋体"/>
                <w:color w:val="00000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761BF83">
            <w:pPr>
              <w:spacing w:line="560" w:lineRule="exact"/>
              <w:contextualSpacing/>
              <w:jc w:val="center"/>
              <w:rPr>
                <w:rFonts w:ascii="宋体" w:hAnsi="宋体" w:cs="宋体"/>
                <w:color w:val="00000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C98742">
            <w:pPr>
              <w:spacing w:line="560" w:lineRule="exact"/>
              <w:contextualSpacing/>
              <w:jc w:val="center"/>
              <w:rPr>
                <w:rFonts w:ascii="宋体" w:hAnsi="宋体" w:cs="宋体"/>
                <w:color w:val="000000"/>
                <w:sz w:val="24"/>
                <w:highlight w:val="none"/>
              </w:rPr>
            </w:pPr>
          </w:p>
        </w:tc>
      </w:tr>
    </w:tbl>
    <w:p w14:paraId="6DF497C4">
      <w:pPr>
        <w:spacing w:line="560" w:lineRule="exact"/>
        <w:contextualSpacing/>
        <w:rPr>
          <w:rFonts w:ascii="宋体" w:hAnsi="宋体"/>
          <w:color w:val="000000"/>
          <w:sz w:val="24"/>
          <w:highlight w:val="none"/>
        </w:rPr>
      </w:pPr>
      <w:r>
        <w:rPr>
          <w:rFonts w:hint="eastAsia" w:ascii="宋体" w:hAnsi="宋体"/>
          <w:color w:val="000000"/>
          <w:sz w:val="24"/>
          <w:highlight w:val="none"/>
        </w:rPr>
        <w:t>注：</w:t>
      </w:r>
    </w:p>
    <w:p w14:paraId="3315E4E2">
      <w:pPr>
        <w:spacing w:line="560" w:lineRule="exact"/>
        <w:ind w:firstLine="480" w:firstLineChars="200"/>
        <w:contextualSpacing/>
        <w:rPr>
          <w:rFonts w:ascii="宋体" w:hAnsi="宋体"/>
          <w:color w:val="000000"/>
          <w:sz w:val="24"/>
          <w:highlight w:val="none"/>
        </w:rPr>
      </w:pPr>
      <w:r>
        <w:rPr>
          <w:rFonts w:hint="eastAsia" w:ascii="宋体" w:hAnsi="宋体"/>
          <w:color w:val="000000"/>
          <w:sz w:val="24"/>
          <w:highlight w:val="none"/>
        </w:rPr>
        <w:t>1.管理关系：是指不具有出资持股关系的其他单位之间存在的管理与被管理关系，如一些上下级关系的事业单位和团体组织。</w:t>
      </w:r>
    </w:p>
    <w:p w14:paraId="0331B1CF">
      <w:pPr>
        <w:spacing w:line="560" w:lineRule="exact"/>
        <w:ind w:firstLine="480" w:firstLineChars="200"/>
        <w:contextualSpacing/>
        <w:rPr>
          <w:rFonts w:ascii="宋体" w:hAnsi="宋体"/>
          <w:color w:val="000000"/>
          <w:sz w:val="24"/>
          <w:highlight w:val="none"/>
        </w:rPr>
      </w:pPr>
      <w:r>
        <w:rPr>
          <w:rFonts w:hint="eastAsia" w:ascii="宋体" w:hAnsi="宋体"/>
          <w:color w:val="000000"/>
          <w:sz w:val="24"/>
          <w:highlight w:val="none"/>
        </w:rPr>
        <w:t>2.</w:t>
      </w:r>
      <w:r>
        <w:rPr>
          <w:rFonts w:hint="eastAsia" w:ascii="宋体" w:hAnsi="宋体"/>
          <w:color w:val="000000"/>
          <w:spacing w:val="-6"/>
          <w:sz w:val="24"/>
          <w:highlight w:val="none"/>
        </w:rPr>
        <w:t>本表所指的管理关系仅限于直接管理关系，不包括间接的管理关系。</w:t>
      </w:r>
    </w:p>
    <w:p w14:paraId="31837E2F">
      <w:pPr>
        <w:spacing w:line="560" w:lineRule="exact"/>
        <w:ind w:firstLine="480" w:firstLineChars="200"/>
        <w:contextualSpacing/>
        <w:rPr>
          <w:rFonts w:ascii="宋体" w:hAnsi="宋体"/>
          <w:color w:val="000000"/>
          <w:sz w:val="24"/>
          <w:highlight w:val="none"/>
        </w:rPr>
      </w:pPr>
      <w:r>
        <w:rPr>
          <w:rFonts w:hint="eastAsia" w:ascii="宋体" w:hAnsi="宋体"/>
          <w:color w:val="000000"/>
          <w:sz w:val="24"/>
          <w:highlight w:val="none"/>
        </w:rPr>
        <w:t>3.</w:t>
      </w:r>
      <w:r>
        <w:rPr>
          <w:rFonts w:hint="eastAsia" w:ascii="宋体" w:hAnsi="宋体"/>
          <w:color w:val="000000"/>
          <w:sz w:val="24"/>
          <w:highlight w:val="none"/>
          <w:lang w:eastAsia="zh-CN"/>
        </w:rPr>
        <w:t>供应商</w:t>
      </w:r>
      <w:r>
        <w:rPr>
          <w:rFonts w:hint="eastAsia" w:ascii="宋体" w:hAnsi="宋体"/>
          <w:color w:val="000000"/>
          <w:sz w:val="24"/>
          <w:highlight w:val="none"/>
        </w:rPr>
        <w:t>不存在直接管理关系的，则填“无”。</w:t>
      </w:r>
    </w:p>
    <w:p w14:paraId="6819AA1B">
      <w:pPr>
        <w:spacing w:line="560" w:lineRule="exact"/>
        <w:contextualSpacing/>
        <w:rPr>
          <w:rFonts w:ascii="宋体" w:hAnsi="宋体"/>
          <w:color w:val="000000"/>
          <w:sz w:val="24"/>
          <w:highlight w:val="none"/>
        </w:rPr>
      </w:pPr>
    </w:p>
    <w:p w14:paraId="3D3F57FF">
      <w:pPr>
        <w:spacing w:line="560" w:lineRule="exact"/>
        <w:contextualSpacing/>
        <w:rPr>
          <w:rFonts w:ascii="宋体" w:hAnsi="宋体"/>
          <w:color w:val="000000"/>
          <w:sz w:val="24"/>
          <w:highlight w:val="none"/>
        </w:rPr>
      </w:pPr>
    </w:p>
    <w:p w14:paraId="4D735173">
      <w:pPr>
        <w:spacing w:line="560" w:lineRule="exact"/>
        <w:contextualSpacing/>
        <w:rPr>
          <w:rFonts w:ascii="宋体" w:hAnsi="宋体"/>
          <w:color w:val="000000"/>
          <w:sz w:val="24"/>
          <w:highlight w:val="none"/>
        </w:rPr>
      </w:pPr>
    </w:p>
    <w:p w14:paraId="689DFF42">
      <w:pPr>
        <w:spacing w:line="560" w:lineRule="exact"/>
        <w:ind w:right="480" w:firstLine="2160" w:firstLineChars="900"/>
        <w:contextualSpacing/>
        <w:rPr>
          <w:rFonts w:ascii="宋体" w:hAnsi="宋体"/>
          <w:color w:val="000000"/>
          <w:sz w:val="24"/>
          <w:highlight w:val="none"/>
          <w:u w:val="single"/>
        </w:rPr>
      </w:pPr>
      <w:r>
        <w:rPr>
          <w:rFonts w:hint="eastAsia" w:ascii="宋体" w:hAnsi="宋体"/>
          <w:color w:val="000000"/>
          <w:sz w:val="24"/>
          <w:highlight w:val="none"/>
        </w:rPr>
        <w:t>法定代表人或者委托代理人签字：</w:t>
      </w:r>
      <w:r>
        <w:rPr>
          <w:rFonts w:hint="eastAsia" w:ascii="宋体" w:hAnsi="宋体"/>
          <w:color w:val="000000"/>
          <w:sz w:val="24"/>
          <w:highlight w:val="none"/>
          <w:u w:val="single"/>
        </w:rPr>
        <w:t xml:space="preserve">               </w:t>
      </w:r>
    </w:p>
    <w:p w14:paraId="4CC7B527">
      <w:pPr>
        <w:spacing w:line="560" w:lineRule="exact"/>
        <w:ind w:right="480" w:firstLine="3360" w:firstLineChars="1400"/>
        <w:contextualSpacing/>
        <w:rPr>
          <w:rFonts w:ascii="宋体" w:hAnsi="宋体"/>
          <w:color w:val="000000"/>
          <w:sz w:val="24"/>
          <w:highlight w:val="none"/>
        </w:rPr>
      </w:pPr>
      <w:r>
        <w:rPr>
          <w:rFonts w:hint="eastAsia" w:ascii="宋体" w:hAnsi="宋体"/>
          <w:color w:val="000000"/>
          <w:sz w:val="24"/>
          <w:highlight w:val="none"/>
          <w:lang w:eastAsia="zh-CN"/>
        </w:rPr>
        <w:t>供应商</w:t>
      </w:r>
      <w:r>
        <w:rPr>
          <w:rFonts w:hint="eastAsia" w:ascii="宋体" w:hAnsi="宋体"/>
          <w:color w:val="000000"/>
          <w:sz w:val="24"/>
          <w:highlight w:val="none"/>
        </w:rPr>
        <w:t>（</w:t>
      </w:r>
      <w:r>
        <w:rPr>
          <w:rFonts w:hint="eastAsia" w:ascii="宋体" w:hAnsi="宋体" w:cs="宋体"/>
          <w:color w:val="000000"/>
          <w:sz w:val="24"/>
          <w:highlight w:val="none"/>
        </w:rPr>
        <w:t>盖章</w:t>
      </w:r>
      <w:r>
        <w:rPr>
          <w:rFonts w:hint="eastAsia" w:ascii="宋体" w:hAnsi="宋体"/>
          <w:color w:val="000000"/>
          <w:sz w:val="24"/>
          <w:highlight w:val="none"/>
        </w:rPr>
        <w:t>）：</w:t>
      </w:r>
      <w:r>
        <w:rPr>
          <w:rFonts w:hint="eastAsia" w:ascii="宋体" w:hAnsi="宋体"/>
          <w:color w:val="000000"/>
          <w:sz w:val="24"/>
          <w:highlight w:val="none"/>
          <w:u w:val="single"/>
        </w:rPr>
        <w:t xml:space="preserve">                </w:t>
      </w:r>
    </w:p>
    <w:p w14:paraId="5ED60639">
      <w:pPr>
        <w:spacing w:line="560" w:lineRule="exact"/>
        <w:ind w:right="480" w:firstLine="240" w:firstLineChars="100"/>
        <w:contextualSpacing/>
        <w:jc w:val="center"/>
        <w:rPr>
          <w:rFonts w:ascii="宋体" w:hAnsi="宋体"/>
          <w:color w:val="000000"/>
          <w:sz w:val="28"/>
          <w:szCs w:val="28"/>
          <w:highlight w:val="none"/>
        </w:rPr>
      </w:pPr>
      <w:r>
        <w:rPr>
          <w:rFonts w:hint="eastAsia" w:ascii="宋体" w:hAnsi="宋体"/>
          <w:color w:val="000000"/>
          <w:sz w:val="24"/>
          <w:highlight w:val="none"/>
        </w:rPr>
        <w:t xml:space="preserve">                                        年    月    日</w:t>
      </w:r>
    </w:p>
    <w:p w14:paraId="11547C11">
      <w:pPr>
        <w:rPr>
          <w:rFonts w:ascii="宋体" w:hAnsi="宋体" w:cs="宋体"/>
          <w:color w:val="000000" w:themeColor="text1"/>
          <w:szCs w:val="21"/>
          <w:highlight w:val="none"/>
          <w14:textFill>
            <w14:solidFill>
              <w14:schemeClr w14:val="tx1"/>
            </w14:solidFill>
          </w14:textFill>
        </w:rPr>
      </w:pPr>
    </w:p>
    <w:p w14:paraId="14165599">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76746CF2">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（3）竞标声明（必须提供）</w:t>
      </w:r>
    </w:p>
    <w:p w14:paraId="5A0655E6">
      <w:pPr>
        <w:spacing w:line="560" w:lineRule="exact"/>
        <w:jc w:val="center"/>
        <w:rPr>
          <w:rFonts w:ascii="宋体" w:hAnsi="宋体"/>
          <w:b/>
          <w:color w:val="000000"/>
          <w:sz w:val="32"/>
          <w:szCs w:val="32"/>
          <w:highlight w:val="none"/>
        </w:rPr>
      </w:pPr>
      <w:r>
        <w:rPr>
          <w:rFonts w:hint="eastAsia" w:ascii="宋体" w:hAnsi="宋体"/>
          <w:b/>
          <w:color w:val="000000"/>
          <w:sz w:val="32"/>
          <w:szCs w:val="32"/>
          <w:highlight w:val="none"/>
        </w:rPr>
        <w:t>竞标声明</w:t>
      </w:r>
    </w:p>
    <w:p w14:paraId="65122A32">
      <w:pPr>
        <w:spacing w:line="560" w:lineRule="exact"/>
        <w:jc w:val="center"/>
        <w:rPr>
          <w:rFonts w:ascii="宋体" w:hAnsi="宋体"/>
          <w:color w:val="000000"/>
          <w:sz w:val="24"/>
          <w:szCs w:val="20"/>
          <w:highlight w:val="none"/>
        </w:rPr>
      </w:pPr>
    </w:p>
    <w:p w14:paraId="2E31A6C3">
      <w:pPr>
        <w:spacing w:line="560" w:lineRule="exact"/>
        <w:contextualSpacing/>
        <w:rPr>
          <w:rFonts w:ascii="宋体" w:hAnsi="宋体" w:cs="宋体"/>
          <w:color w:val="000000"/>
          <w:sz w:val="24"/>
          <w:highlight w:val="none"/>
        </w:rPr>
      </w:pPr>
      <w:r>
        <w:rPr>
          <w:rFonts w:hint="eastAsia" w:ascii="宋体" w:hAnsi="宋体" w:cs="宋体"/>
          <w:color w:val="000000"/>
          <w:sz w:val="24"/>
          <w:highlight w:val="none"/>
        </w:rPr>
        <w:t>致：</w:t>
      </w:r>
      <w:r>
        <w:rPr>
          <w:rFonts w:hint="eastAsia" w:ascii="宋体" w:hAnsi="宋体" w:cs="宋体"/>
          <w:color w:val="000000"/>
          <w:sz w:val="24"/>
          <w:highlight w:val="none"/>
          <w:u w:val="single"/>
        </w:rPr>
        <w:t>（采购人名称）</w:t>
      </w:r>
      <w:r>
        <w:rPr>
          <w:rFonts w:hint="eastAsia" w:ascii="宋体" w:hAnsi="宋体" w:cs="宋体"/>
          <w:color w:val="000000"/>
          <w:sz w:val="24"/>
          <w:highlight w:val="none"/>
        </w:rPr>
        <w:t>：</w:t>
      </w:r>
    </w:p>
    <w:p w14:paraId="78134309">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eastAsia="zh-CN"/>
        </w:rPr>
        <w:t>供应商</w:t>
      </w:r>
      <w:r>
        <w:rPr>
          <w:rFonts w:hint="eastAsia" w:ascii="宋体" w:hAnsi="宋体" w:cs="宋体"/>
          <w:color w:val="000000"/>
          <w:sz w:val="24"/>
          <w:highlight w:val="none"/>
          <w:u w:val="single"/>
        </w:rPr>
        <w:t>名称）</w:t>
      </w:r>
      <w:r>
        <w:rPr>
          <w:rFonts w:hint="eastAsia" w:ascii="宋体" w:hAnsi="宋体" w:cs="宋体"/>
          <w:color w:val="000000"/>
          <w:sz w:val="24"/>
          <w:highlight w:val="none"/>
        </w:rPr>
        <w:t>系中华人民共和国合法</w:t>
      </w:r>
      <w:r>
        <w:rPr>
          <w:rFonts w:hint="eastAsia" w:ascii="宋体" w:hAnsi="宋体" w:cs="宋体"/>
          <w:color w:val="000000"/>
          <w:sz w:val="24"/>
          <w:highlight w:val="none"/>
          <w:lang w:eastAsia="zh-CN"/>
        </w:rPr>
        <w:t>供应商</w:t>
      </w:r>
      <w:r>
        <w:rPr>
          <w:rFonts w:hint="eastAsia" w:ascii="宋体" w:hAnsi="宋体" w:cs="宋体"/>
          <w:color w:val="000000"/>
          <w:sz w:val="24"/>
          <w:highlight w:val="none"/>
        </w:rPr>
        <w:t>，经营地址</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w:t>
      </w:r>
    </w:p>
    <w:p w14:paraId="26FCA268">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我方愿意参加贵方组织的</w:t>
      </w:r>
      <w:r>
        <w:rPr>
          <w:rFonts w:hint="eastAsia" w:ascii="宋体" w:hAnsi="宋体" w:cs="宋体"/>
          <w:color w:val="000000"/>
          <w:sz w:val="24"/>
          <w:highlight w:val="none"/>
          <w:u w:val="single"/>
        </w:rPr>
        <w:t>（    项目名称    ）</w:t>
      </w:r>
      <w:r>
        <w:rPr>
          <w:rFonts w:hint="eastAsia" w:ascii="宋体" w:hAnsi="宋体" w:cs="宋体"/>
          <w:color w:val="000000"/>
          <w:sz w:val="24"/>
          <w:highlight w:val="none"/>
        </w:rPr>
        <w:t>项目的竞标，为便于贵方公正、择优地确定成交</w:t>
      </w:r>
      <w:r>
        <w:rPr>
          <w:rFonts w:hint="eastAsia" w:ascii="宋体" w:hAnsi="宋体" w:cs="宋体"/>
          <w:color w:val="000000"/>
          <w:sz w:val="24"/>
          <w:highlight w:val="none"/>
          <w:lang w:eastAsia="zh-CN"/>
        </w:rPr>
        <w:t>供应商</w:t>
      </w:r>
      <w:r>
        <w:rPr>
          <w:rFonts w:hint="eastAsia" w:ascii="宋体" w:hAnsi="宋体" w:cs="宋体"/>
          <w:color w:val="000000"/>
          <w:sz w:val="24"/>
          <w:highlight w:val="none"/>
        </w:rPr>
        <w:t>及其竞标产品和服务，我方就本次竞标有关事项郑重声明如下：</w:t>
      </w:r>
    </w:p>
    <w:p w14:paraId="1D37D5A2">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1.我方向贵方提交的所有响应文件、资料都是准确的和真实的。</w:t>
      </w:r>
    </w:p>
    <w:p w14:paraId="1AE23E6A">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2.我方不是采购人的附属机构；不是为本次采购项目提供整体设计、规范编制或者项目管理、监理、检测等服务的</w:t>
      </w:r>
      <w:r>
        <w:rPr>
          <w:rFonts w:hint="eastAsia" w:ascii="宋体" w:hAnsi="宋体" w:cs="宋体"/>
          <w:color w:val="000000"/>
          <w:sz w:val="24"/>
          <w:highlight w:val="none"/>
          <w:lang w:eastAsia="zh-CN"/>
        </w:rPr>
        <w:t>供应商</w:t>
      </w:r>
      <w:r>
        <w:rPr>
          <w:rFonts w:hint="eastAsia" w:ascii="宋体" w:hAnsi="宋体" w:cs="宋体"/>
          <w:color w:val="000000"/>
          <w:sz w:val="24"/>
          <w:highlight w:val="none"/>
        </w:rPr>
        <w:t>；在获知本项目采购信息后，与采购人聘请的为此项目提供咨询服务的公司及其附属机构没有任何联系。</w:t>
      </w:r>
    </w:p>
    <w:p w14:paraId="4B0C145E">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3.在此，我方宣布同意如下：</w:t>
      </w:r>
    </w:p>
    <w:p w14:paraId="68F13C17">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（1）将按</w:t>
      </w:r>
      <w:r>
        <w:rPr>
          <w:rFonts w:hint="eastAsia" w:ascii="宋体" w:hAnsi="宋体" w:cs="宋体"/>
          <w:color w:val="000000"/>
          <w:sz w:val="24"/>
          <w:highlight w:val="none"/>
          <w:lang w:val="en-US" w:eastAsia="zh-CN"/>
        </w:rPr>
        <w:t>响应文件文件</w:t>
      </w:r>
      <w:r>
        <w:rPr>
          <w:rFonts w:hint="eastAsia" w:ascii="宋体" w:hAnsi="宋体" w:cs="宋体"/>
          <w:color w:val="000000"/>
          <w:sz w:val="24"/>
          <w:highlight w:val="none"/>
        </w:rPr>
        <w:t>的约定履行合同责任和义务；</w:t>
      </w:r>
    </w:p>
    <w:p w14:paraId="3284389C">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（2）已详细审查全部</w:t>
      </w:r>
      <w:r>
        <w:rPr>
          <w:rFonts w:hint="eastAsia" w:ascii="宋体" w:hAnsi="宋体" w:cs="宋体"/>
          <w:color w:val="000000"/>
          <w:sz w:val="24"/>
          <w:highlight w:val="none"/>
          <w:lang w:val="en-US" w:eastAsia="zh-CN"/>
        </w:rPr>
        <w:t>响应文件及在线询价公告</w:t>
      </w:r>
      <w:r>
        <w:rPr>
          <w:rFonts w:hint="eastAsia" w:ascii="宋体" w:hAnsi="宋体" w:cs="宋体"/>
          <w:color w:val="000000"/>
          <w:sz w:val="24"/>
          <w:highlight w:val="none"/>
        </w:rPr>
        <w:t>，包括澄清或者更正公告（如有）；</w:t>
      </w:r>
    </w:p>
    <w:p w14:paraId="290F1FCD">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（3）同意提供按照贵方可能要求的与</w:t>
      </w:r>
      <w:r>
        <w:rPr>
          <w:rFonts w:hint="eastAsia" w:ascii="宋体" w:hAnsi="宋体" w:cs="宋体"/>
          <w:color w:val="000000"/>
          <w:sz w:val="24"/>
          <w:highlight w:val="none"/>
          <w:lang w:val="en-US" w:eastAsia="zh-CN"/>
        </w:rPr>
        <w:t>本项目</w:t>
      </w:r>
      <w:r>
        <w:rPr>
          <w:rFonts w:hint="eastAsia" w:ascii="宋体" w:hAnsi="宋体" w:cs="宋体"/>
          <w:color w:val="000000"/>
          <w:sz w:val="24"/>
          <w:highlight w:val="none"/>
        </w:rPr>
        <w:t>有关的一切数据或者资料；</w:t>
      </w:r>
    </w:p>
    <w:p w14:paraId="2E6AFB6D">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（4）</w:t>
      </w:r>
      <w:r>
        <w:rPr>
          <w:rFonts w:hint="eastAsia" w:ascii="宋体" w:hAnsi="宋体" w:cs="宋体"/>
          <w:color w:val="000000"/>
          <w:sz w:val="24"/>
          <w:highlight w:val="none"/>
          <w:lang w:val="en-US" w:eastAsia="zh-CN"/>
        </w:rPr>
        <w:t>本项目公告</w:t>
      </w:r>
      <w:r>
        <w:rPr>
          <w:rFonts w:hint="eastAsia" w:ascii="宋体" w:hAnsi="宋体" w:cs="宋体"/>
          <w:color w:val="000000"/>
          <w:sz w:val="24"/>
          <w:highlight w:val="none"/>
        </w:rPr>
        <w:t>规定的竞标有效期。</w:t>
      </w:r>
    </w:p>
    <w:p w14:paraId="4110324F">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4.我方承诺符合《中华人民共和国政府采购法》第二十二条规定：</w:t>
      </w:r>
    </w:p>
    <w:p w14:paraId="774111D2">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（1）具有独立承担民事责任的能力；</w:t>
      </w:r>
    </w:p>
    <w:p w14:paraId="5703ED3C">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（2）具有良好的商业信誉和健全的财务会计制度；</w:t>
      </w:r>
    </w:p>
    <w:p w14:paraId="2DF11AD0">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（3）具有履行合同所必需的设备和专业技术能力；</w:t>
      </w:r>
    </w:p>
    <w:p w14:paraId="53A389D0">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（4）有依法缴纳税收和社会保障资金的良好记录；</w:t>
      </w:r>
    </w:p>
    <w:p w14:paraId="38A2B313">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（5）参加政府采购活动前三年内，在经营活动中没有重大违法记录；</w:t>
      </w:r>
    </w:p>
    <w:p w14:paraId="14C682DE">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（6）法律、行政法规规定的其他条件。</w:t>
      </w:r>
    </w:p>
    <w:p w14:paraId="1F502059">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5.我方在此声明，我方在参加本项目的政府采购活动前三年内，在经营活动中没有重大违法记录（重大违法记录是指</w:t>
      </w:r>
      <w:r>
        <w:rPr>
          <w:rFonts w:hint="eastAsia" w:ascii="宋体" w:hAnsi="宋体" w:cs="宋体"/>
          <w:color w:val="000000"/>
          <w:sz w:val="24"/>
          <w:highlight w:val="none"/>
          <w:lang w:eastAsia="zh-CN"/>
        </w:rPr>
        <w:t>供应商</w:t>
      </w:r>
      <w:r>
        <w:rPr>
          <w:rFonts w:hint="eastAsia" w:ascii="宋体" w:hAnsi="宋体" w:cs="宋体"/>
          <w:color w:val="000000"/>
          <w:sz w:val="24"/>
          <w:highlight w:val="none"/>
        </w:rPr>
        <w:t>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w:t>
      </w:r>
      <w:r>
        <w:rPr>
          <w:rFonts w:hint="eastAsia" w:ascii="宋体" w:hAnsi="宋体" w:cs="宋体"/>
          <w:color w:val="000000"/>
          <w:sz w:val="24"/>
          <w:highlight w:val="none"/>
          <w:lang w:eastAsia="zh-CN"/>
        </w:rPr>
        <w:t>供应商</w:t>
      </w:r>
      <w:r>
        <w:rPr>
          <w:rFonts w:hint="eastAsia" w:ascii="宋体" w:hAnsi="宋体" w:cs="宋体"/>
          <w:color w:val="000000"/>
          <w:sz w:val="24"/>
          <w:highlight w:val="none"/>
        </w:rPr>
        <w:t>资格条件，我方对此声明负全部法律责任。</w:t>
      </w:r>
    </w:p>
    <w:p w14:paraId="35835583">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02EDF9A">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□我方本次响应文件内容中未涉及商业秘密；</w:t>
      </w:r>
    </w:p>
    <w:p w14:paraId="11DBA84B">
      <w:pPr>
        <w:spacing w:line="560" w:lineRule="exact"/>
        <w:ind w:firstLine="480" w:firstLineChars="200"/>
        <w:contextualSpacing/>
        <w:rPr>
          <w:rFonts w:ascii="宋体" w:hAnsi="宋体" w:cs="宋体"/>
          <w:color w:val="000000"/>
          <w:sz w:val="24"/>
          <w:highlight w:val="none"/>
        </w:rPr>
      </w:pPr>
      <w:r>
        <w:rPr>
          <w:rFonts w:hint="eastAsia" w:ascii="宋体" w:hAnsi="宋体" w:cs="宋体"/>
          <w:color w:val="000000"/>
          <w:sz w:val="24"/>
          <w:highlight w:val="none"/>
        </w:rPr>
        <w:t>□我方本次响应文件涉及商业秘密的内容有：</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w:t>
      </w:r>
    </w:p>
    <w:p w14:paraId="575C3643">
      <w:pPr>
        <w:pStyle w:val="4"/>
        <w:spacing w:line="560" w:lineRule="exact"/>
        <w:ind w:firstLine="480" w:firstLineChars="200"/>
        <w:contextualSpacing/>
        <w:rPr>
          <w:rFonts w:hAnsi="宋体" w:cs="宋体"/>
          <w:color w:val="000000"/>
          <w:sz w:val="24"/>
          <w:szCs w:val="24"/>
          <w:highlight w:val="none"/>
          <w:u w:val="single"/>
        </w:rPr>
      </w:pPr>
      <w:r>
        <w:rPr>
          <w:rFonts w:hint="eastAsia" w:hAnsi="宋体" w:cs="宋体"/>
          <w:color w:val="000000"/>
          <w:sz w:val="24"/>
          <w:szCs w:val="24"/>
          <w:highlight w:val="none"/>
        </w:rPr>
        <w:t>7.与本投标有关的一切正式往来信函请寄：</w:t>
      </w:r>
      <w:r>
        <w:rPr>
          <w:rFonts w:hint="eastAsia" w:hAnsi="宋体" w:cs="宋体"/>
          <w:color w:val="000000"/>
          <w:sz w:val="24"/>
          <w:szCs w:val="24"/>
          <w:highlight w:val="none"/>
          <w:u w:val="single"/>
        </w:rPr>
        <w:t xml:space="preserve">                  </w:t>
      </w:r>
      <w:r>
        <w:rPr>
          <w:rFonts w:hint="eastAsia" w:hAnsi="宋体" w:cs="宋体"/>
          <w:color w:val="000000"/>
          <w:sz w:val="24"/>
          <w:szCs w:val="24"/>
          <w:highlight w:val="none"/>
        </w:rPr>
        <w:t>邮政编号：</w:t>
      </w:r>
      <w:r>
        <w:rPr>
          <w:rFonts w:hint="eastAsia" w:hAnsi="宋体" w:cs="宋体"/>
          <w:color w:val="000000"/>
          <w:sz w:val="24"/>
          <w:szCs w:val="24"/>
          <w:highlight w:val="none"/>
          <w:u w:val="single"/>
        </w:rPr>
        <w:t xml:space="preserve">        </w:t>
      </w:r>
    </w:p>
    <w:p w14:paraId="35004917">
      <w:pPr>
        <w:pStyle w:val="4"/>
        <w:spacing w:line="560" w:lineRule="exact"/>
        <w:ind w:firstLine="480" w:firstLineChars="200"/>
        <w:contextualSpacing/>
        <w:rPr>
          <w:rFonts w:hAnsi="宋体" w:cs="宋体"/>
          <w:color w:val="000000"/>
          <w:sz w:val="24"/>
          <w:szCs w:val="24"/>
          <w:highlight w:val="none"/>
        </w:rPr>
      </w:pPr>
      <w:r>
        <w:rPr>
          <w:rFonts w:hint="eastAsia" w:hAnsi="宋体" w:cs="宋体"/>
          <w:color w:val="000000"/>
          <w:sz w:val="24"/>
          <w:szCs w:val="24"/>
          <w:highlight w:val="none"/>
        </w:rPr>
        <w:t>电话/传真：</w:t>
      </w:r>
      <w:r>
        <w:rPr>
          <w:rFonts w:hint="eastAsia" w:hAnsi="宋体" w:cs="宋体"/>
          <w:color w:val="000000"/>
          <w:sz w:val="24"/>
          <w:szCs w:val="24"/>
          <w:highlight w:val="none"/>
          <w:u w:val="single"/>
        </w:rPr>
        <w:t xml:space="preserve">                        </w:t>
      </w:r>
      <w:r>
        <w:rPr>
          <w:rFonts w:hint="eastAsia" w:hAnsi="宋体" w:cs="宋体"/>
          <w:color w:val="000000"/>
          <w:sz w:val="24"/>
          <w:szCs w:val="24"/>
          <w:highlight w:val="none"/>
        </w:rPr>
        <w:t xml:space="preserve"> 电子函件：</w:t>
      </w:r>
      <w:r>
        <w:rPr>
          <w:rFonts w:hint="eastAsia" w:hAnsi="宋体" w:cs="宋体"/>
          <w:color w:val="000000"/>
          <w:sz w:val="24"/>
          <w:szCs w:val="24"/>
          <w:highlight w:val="none"/>
          <w:u w:val="single"/>
        </w:rPr>
        <w:t xml:space="preserve">                            </w:t>
      </w:r>
      <w:r>
        <w:rPr>
          <w:rFonts w:hint="eastAsia" w:hAnsi="宋体" w:cs="宋体"/>
          <w:color w:val="000000"/>
          <w:sz w:val="24"/>
          <w:szCs w:val="24"/>
          <w:highlight w:val="none"/>
        </w:rPr>
        <w:t xml:space="preserve">    </w:t>
      </w:r>
    </w:p>
    <w:p w14:paraId="535E439C">
      <w:pPr>
        <w:pStyle w:val="9"/>
        <w:tabs>
          <w:tab w:val="left" w:pos="939"/>
        </w:tabs>
        <w:spacing w:line="560" w:lineRule="exact"/>
        <w:ind w:left="141" w:leftChars="67" w:firstLine="360" w:firstLineChars="150"/>
        <w:rPr>
          <w:rFonts w:ascii="宋体" w:hAnsi="宋体" w:cs="宋体"/>
          <w:color w:val="000000"/>
          <w:sz w:val="24"/>
          <w:highlight w:val="none"/>
        </w:rPr>
      </w:pPr>
      <w:r>
        <w:rPr>
          <w:rFonts w:hint="eastAsia" w:ascii="宋体" w:hAnsi="宋体" w:cs="宋体"/>
          <w:color w:val="000000"/>
          <w:sz w:val="24"/>
          <w:highlight w:val="none"/>
        </w:rPr>
        <w:t>开户银行：</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 xml:space="preserve">  帐号：</w:t>
      </w:r>
      <w:r>
        <w:rPr>
          <w:rFonts w:hint="eastAsia" w:ascii="宋体" w:hAnsi="宋体" w:cs="宋体"/>
          <w:color w:val="000000"/>
          <w:sz w:val="24"/>
          <w:highlight w:val="none"/>
          <w:u w:val="single"/>
        </w:rPr>
        <w:t xml:space="preserve">                               </w:t>
      </w:r>
    </w:p>
    <w:p w14:paraId="4284A161">
      <w:pPr>
        <w:pStyle w:val="9"/>
        <w:tabs>
          <w:tab w:val="left" w:pos="939"/>
        </w:tabs>
        <w:spacing w:line="560" w:lineRule="exact"/>
        <w:ind w:left="0" w:leftChars="0" w:firstLine="480" w:firstLineChars="200"/>
        <w:rPr>
          <w:rFonts w:ascii="宋体" w:hAnsi="宋体" w:cs="宋体"/>
          <w:color w:val="000000"/>
          <w:sz w:val="24"/>
          <w:highlight w:val="none"/>
        </w:rPr>
      </w:pPr>
      <w:r>
        <w:rPr>
          <w:rFonts w:hint="eastAsia" w:ascii="宋体" w:hAnsi="宋体" w:cs="宋体"/>
          <w:color w:val="000000"/>
          <w:sz w:val="24"/>
          <w:highlight w:val="none"/>
        </w:rPr>
        <w:t>8.以上事项如有虚假或者隐瞒，我方愿意承担一切后果，并不再寻求任何旨在减轻或者免除法律责任的辩解。</w:t>
      </w:r>
    </w:p>
    <w:p w14:paraId="702D78E3">
      <w:pPr>
        <w:pStyle w:val="9"/>
        <w:tabs>
          <w:tab w:val="left" w:pos="939"/>
        </w:tabs>
        <w:spacing w:line="560" w:lineRule="exact"/>
        <w:ind w:left="141" w:leftChars="67" w:firstLine="360" w:firstLineChars="150"/>
        <w:rPr>
          <w:rFonts w:ascii="宋体" w:hAnsi="宋体" w:cs="宋体"/>
          <w:color w:val="000000"/>
          <w:sz w:val="24"/>
          <w:highlight w:val="none"/>
        </w:rPr>
      </w:pPr>
      <w:r>
        <w:rPr>
          <w:rFonts w:hint="eastAsia" w:ascii="宋体" w:hAnsi="宋体" w:cs="宋体"/>
          <w:color w:val="000000"/>
          <w:sz w:val="24"/>
          <w:highlight w:val="none"/>
        </w:rPr>
        <w:t>特此承诺。</w:t>
      </w:r>
    </w:p>
    <w:p w14:paraId="5803AA39">
      <w:pPr>
        <w:pStyle w:val="9"/>
        <w:tabs>
          <w:tab w:val="left" w:pos="939"/>
        </w:tabs>
        <w:spacing w:line="560" w:lineRule="exact"/>
        <w:ind w:left="0" w:leftChars="0" w:firstLine="480" w:firstLineChars="200"/>
        <w:rPr>
          <w:rFonts w:ascii="宋体" w:hAnsi="宋体" w:cs="宋体"/>
          <w:color w:val="000000"/>
          <w:sz w:val="24"/>
          <w:highlight w:val="none"/>
        </w:rPr>
      </w:pPr>
      <w:r>
        <w:rPr>
          <w:rFonts w:hint="eastAsia" w:ascii="宋体" w:hAnsi="宋体" w:cs="宋体"/>
          <w:color w:val="000000"/>
          <w:sz w:val="24"/>
          <w:highlight w:val="none"/>
        </w:rPr>
        <w:t>注：如为联合体竞标，盖章处须加盖联合体各方公章并由联合体各方法定代表人签署，否则其响应文件按无效响应处理。</w:t>
      </w:r>
    </w:p>
    <w:p w14:paraId="1E6371D1">
      <w:pPr>
        <w:spacing w:line="560" w:lineRule="exact"/>
        <w:ind w:firstLine="4320" w:firstLineChars="1800"/>
        <w:contextualSpacing/>
        <w:rPr>
          <w:color w:val="000000"/>
          <w:sz w:val="24"/>
          <w:highlight w:val="none"/>
        </w:rPr>
      </w:pPr>
      <w:r>
        <w:rPr>
          <w:rFonts w:hint="eastAsia"/>
          <w:color w:val="000000"/>
          <w:sz w:val="24"/>
          <w:highlight w:val="none"/>
        </w:rPr>
        <w:t>法定代表人（签字）：</w:t>
      </w:r>
      <w:r>
        <w:rPr>
          <w:rFonts w:hint="eastAsia"/>
          <w:color w:val="000000"/>
          <w:sz w:val="24"/>
          <w:highlight w:val="none"/>
          <w:u w:val="single"/>
        </w:rPr>
        <w:t xml:space="preserve">                             </w:t>
      </w:r>
      <w:r>
        <w:rPr>
          <w:rFonts w:hint="eastAsia"/>
          <w:color w:val="000000"/>
          <w:sz w:val="24"/>
          <w:highlight w:val="none"/>
        </w:rPr>
        <w:t xml:space="preserve">                                     </w:t>
      </w:r>
    </w:p>
    <w:p w14:paraId="5C2DDA11">
      <w:pPr>
        <w:spacing w:line="560" w:lineRule="exact"/>
        <w:ind w:firstLine="4320" w:firstLineChars="1800"/>
        <w:contextualSpacing/>
        <w:rPr>
          <w:rFonts w:ascii="宋体" w:hAnsi="宋体" w:cs="宋体"/>
          <w:color w:val="000000"/>
          <w:sz w:val="24"/>
          <w:highlight w:val="none"/>
          <w:u w:val="single"/>
        </w:rPr>
      </w:pPr>
      <w:r>
        <w:rPr>
          <w:rFonts w:hint="eastAsia"/>
          <w:color w:val="000000"/>
          <w:sz w:val="24"/>
          <w:highlight w:val="none"/>
          <w:lang w:eastAsia="zh-CN"/>
        </w:rPr>
        <w:t>供应商</w:t>
      </w:r>
      <w:r>
        <w:rPr>
          <w:rFonts w:hint="eastAsia"/>
          <w:color w:val="000000"/>
          <w:sz w:val="24"/>
          <w:highlight w:val="none"/>
        </w:rPr>
        <w:t>（</w:t>
      </w:r>
      <w:r>
        <w:rPr>
          <w:rFonts w:hint="eastAsia" w:ascii="宋体" w:hAnsi="宋体" w:cs="宋体"/>
          <w:color w:val="000000"/>
          <w:sz w:val="24"/>
          <w:highlight w:val="none"/>
        </w:rPr>
        <w:t>盖章</w:t>
      </w:r>
      <w:r>
        <w:rPr>
          <w:rFonts w:hint="eastAsia"/>
          <w:color w:val="000000"/>
          <w:sz w:val="24"/>
          <w:highlight w:val="none"/>
        </w:rPr>
        <w:t>）：</w:t>
      </w:r>
      <w:r>
        <w:rPr>
          <w:rFonts w:hint="eastAsia"/>
          <w:color w:val="000000"/>
          <w:sz w:val="24"/>
          <w:highlight w:val="none"/>
          <w:u w:val="single"/>
        </w:rPr>
        <w:t xml:space="preserve">                               </w:t>
      </w:r>
      <w:r>
        <w:rPr>
          <w:rFonts w:hint="eastAsia"/>
          <w:color w:val="000000"/>
          <w:sz w:val="24"/>
          <w:highlight w:val="none"/>
        </w:rPr>
        <w:t xml:space="preserve">       </w:t>
      </w:r>
      <w:r>
        <w:rPr>
          <w:rFonts w:hint="eastAsia" w:ascii="宋体" w:hAnsi="宋体" w:cs="宋体"/>
          <w:color w:val="000000"/>
          <w:sz w:val="24"/>
          <w:highlight w:val="none"/>
        </w:rPr>
        <w:t xml:space="preserve">    </w:t>
      </w:r>
    </w:p>
    <w:p w14:paraId="63FB13E0">
      <w:pPr>
        <w:spacing w:line="560" w:lineRule="exact"/>
        <w:ind w:right="480" w:firstLine="240" w:firstLineChars="100"/>
        <w:contextualSpacing/>
        <w:jc w:val="center"/>
        <w:rPr>
          <w:rFonts w:ascii="宋体" w:hAnsi="宋体"/>
          <w:color w:val="000000"/>
          <w:sz w:val="28"/>
          <w:szCs w:val="28"/>
          <w:highlight w:val="none"/>
        </w:rPr>
      </w:pPr>
      <w:r>
        <w:rPr>
          <w:rFonts w:hint="eastAsia" w:ascii="宋体" w:hAnsi="宋体" w:cs="宋体"/>
          <w:color w:val="000000"/>
          <w:sz w:val="24"/>
          <w:highlight w:val="none"/>
        </w:rPr>
        <w:t xml:space="preserve">                                                 </w:t>
      </w:r>
      <w:r>
        <w:rPr>
          <w:rFonts w:hint="eastAsia"/>
          <w:color w:val="000000"/>
          <w:sz w:val="24"/>
          <w:highlight w:val="none"/>
        </w:rPr>
        <w:t>年    月    日</w:t>
      </w:r>
    </w:p>
    <w:p w14:paraId="3EF8C9CB">
      <w:pPr>
        <w:rPr>
          <w:highlight w:val="none"/>
        </w:rPr>
      </w:pPr>
      <w:r>
        <w:rPr>
          <w:rFonts w:hint="eastAsia" w:ascii="宋体" w:hAnsi="宋体" w:cs="宋体"/>
          <w:color w:val="000000" w:themeColor="text1"/>
          <w:szCs w:val="21"/>
          <w:highlight w:val="none"/>
          <w14:textFill>
            <w14:solidFill>
              <w14:schemeClr w14:val="tx1"/>
            </w14:solidFill>
          </w14:textFill>
        </w:rPr>
        <w:br w:type="page"/>
      </w:r>
    </w:p>
    <w:p w14:paraId="7764949B">
      <w:pPr>
        <w:pStyle w:val="12"/>
        <w:spacing w:line="560" w:lineRule="exact"/>
        <w:ind w:left="0" w:leftChars="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（4）“信用中国”网站(www.creditchina.gov.cn) 、中国政府采购网(www.ccgp.gov.cn)查询结果截图（必须提供）</w:t>
      </w:r>
    </w:p>
    <w:p w14:paraId="3048156D">
      <w:pPr>
        <w:rPr>
          <w:rFonts w:ascii="宋体" w:hAnsi="宋体"/>
          <w:b/>
          <w:szCs w:val="21"/>
          <w:highlight w:val="none"/>
        </w:rPr>
      </w:pPr>
      <w:r>
        <w:rPr>
          <w:rFonts w:hint="eastAsia" w:ascii="宋体" w:hAnsi="宋体"/>
          <w:b/>
          <w:szCs w:val="21"/>
          <w:highlight w:val="none"/>
        </w:rPr>
        <w:br w:type="page"/>
      </w:r>
    </w:p>
    <w:p w14:paraId="01DF1E6D">
      <w:pPr>
        <w:snapToGrid w:val="0"/>
        <w:spacing w:before="50" w:after="156" w:afterLines="50" w:line="340" w:lineRule="exact"/>
        <w:jc w:val="left"/>
        <w:rPr>
          <w:rFonts w:ascii="宋体" w:hAnsi="宋体"/>
          <w:b/>
          <w:szCs w:val="21"/>
          <w:highlight w:val="none"/>
        </w:rPr>
      </w:pPr>
      <w:r>
        <w:rPr>
          <w:rFonts w:hint="eastAsia" w:ascii="宋体" w:hAnsi="宋体"/>
          <w:b/>
          <w:szCs w:val="21"/>
          <w:highlight w:val="none"/>
        </w:rPr>
        <w:t>（</w:t>
      </w:r>
      <w:r>
        <w:rPr>
          <w:rFonts w:hint="eastAsia" w:ascii="宋体" w:hAnsi="宋体"/>
          <w:b/>
          <w:szCs w:val="21"/>
          <w:highlight w:val="none"/>
          <w:lang w:val="en-US" w:eastAsia="zh-CN"/>
        </w:rPr>
        <w:t>5</w:t>
      </w:r>
      <w:r>
        <w:rPr>
          <w:rFonts w:hint="eastAsia" w:ascii="宋体" w:hAnsi="宋体"/>
          <w:b/>
          <w:szCs w:val="21"/>
          <w:highlight w:val="none"/>
        </w:rPr>
        <w:t>）法定代表人授权委托书格式：</w:t>
      </w:r>
    </w:p>
    <w:p w14:paraId="314C8E8D">
      <w:pPr>
        <w:spacing w:beforeLines="100" w:afterLines="50"/>
        <w:ind w:left="540"/>
        <w:jc w:val="center"/>
        <w:rPr>
          <w:rFonts w:ascii="仿宋" w:hAnsi="仿宋" w:eastAsia="仿宋" w:cs="仿宋"/>
          <w:sz w:val="28"/>
          <w:szCs w:val="28"/>
          <w:highlight w:val="none"/>
        </w:rPr>
      </w:pPr>
      <w:r>
        <w:rPr>
          <w:rFonts w:hint="eastAsia" w:ascii="仿宋" w:hAnsi="仿宋" w:eastAsia="仿宋" w:cs="仿宋"/>
          <w:b/>
          <w:sz w:val="32"/>
          <w:szCs w:val="32"/>
          <w:highlight w:val="none"/>
        </w:rPr>
        <w:t>法定代表人身份证明</w:t>
      </w:r>
    </w:p>
    <w:p w14:paraId="399DD56B">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竞 标 人：</w:t>
      </w:r>
    </w:p>
    <w:p w14:paraId="6736DCF9">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单位性质：</w:t>
      </w:r>
    </w:p>
    <w:p w14:paraId="73AB2093">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地    址：</w:t>
      </w:r>
    </w:p>
    <w:p w14:paraId="697D8F94">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成立时间：年月日</w:t>
      </w:r>
    </w:p>
    <w:p w14:paraId="3B72C5AF">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经营期限：</w:t>
      </w:r>
    </w:p>
    <w:p w14:paraId="59AE4838">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姓    名：                性      别：</w:t>
      </w:r>
    </w:p>
    <w:p w14:paraId="04B1A8CC">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年    龄：                职      务：</w:t>
      </w:r>
    </w:p>
    <w:p w14:paraId="0DCCAF39">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身份证号码：</w:t>
      </w:r>
      <w:r>
        <w:rPr>
          <w:rFonts w:hint="eastAsia" w:ascii="宋体" w:hAnsi="宋体"/>
          <w:szCs w:val="21"/>
          <w:highlight w:val="none"/>
          <w:u w:val="single"/>
          <w:lang w:val="en-US" w:eastAsia="zh-CN"/>
        </w:rPr>
        <w:t xml:space="preserve">                     </w:t>
      </w:r>
      <w:r>
        <w:rPr>
          <w:rFonts w:hint="eastAsia" w:ascii="宋体" w:hAnsi="宋体"/>
          <w:szCs w:val="21"/>
          <w:highlight w:val="none"/>
          <w:lang w:eastAsia="zh-CN"/>
        </w:rPr>
        <w:t>系（竞标人名称）的法定代表人。</w:t>
      </w:r>
    </w:p>
    <w:p w14:paraId="3F481A4A">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特此证明。</w:t>
      </w:r>
    </w:p>
    <w:p w14:paraId="325E31BB">
      <w:pPr>
        <w:snapToGrid w:val="0"/>
        <w:spacing w:before="156" w:beforeLines="50" w:after="50" w:line="340" w:lineRule="exact"/>
        <w:ind w:firstLine="5670" w:firstLineChars="2700"/>
        <w:jc w:val="left"/>
        <w:rPr>
          <w:rFonts w:hint="eastAsia" w:ascii="宋体" w:hAnsi="宋体"/>
          <w:szCs w:val="21"/>
          <w:highlight w:val="none"/>
          <w:lang w:eastAsia="zh-CN"/>
        </w:rPr>
      </w:pPr>
    </w:p>
    <w:p w14:paraId="2A81EC00">
      <w:pPr>
        <w:snapToGrid w:val="0"/>
        <w:spacing w:before="156" w:beforeLines="50" w:after="50" w:line="340" w:lineRule="exact"/>
        <w:jc w:val="left"/>
        <w:rPr>
          <w:rFonts w:hint="eastAsia" w:ascii="宋体" w:hAnsi="宋体"/>
          <w:szCs w:val="21"/>
          <w:highlight w:val="none"/>
          <w:lang w:eastAsia="zh-CN"/>
        </w:rPr>
      </w:pPr>
      <w:r>
        <w:rPr>
          <w:rFonts w:hint="eastAsia" w:ascii="宋体" w:hAnsi="宋体"/>
          <w:szCs w:val="21"/>
          <w:highlight w:val="none"/>
          <w:lang w:eastAsia="zh-CN"/>
        </w:rPr>
        <w:t>附件：法定代表人有效身份证正反面复印件</w:t>
      </w:r>
    </w:p>
    <w:p w14:paraId="4302ADBC">
      <w:pPr>
        <w:spacing w:line="500" w:lineRule="exact"/>
        <w:ind w:left="540"/>
        <w:rPr>
          <w:rFonts w:ascii="仿宋" w:hAnsi="仿宋" w:eastAsia="仿宋" w:cs="仿宋"/>
          <w:sz w:val="24"/>
          <w:highlight w:val="none"/>
        </w:rPr>
      </w:pPr>
    </w:p>
    <w:p w14:paraId="3203B0A3">
      <w:pPr>
        <w:snapToGrid w:val="0"/>
        <w:spacing w:before="156" w:beforeLines="50" w:after="50" w:line="340" w:lineRule="exact"/>
        <w:ind w:firstLine="5670" w:firstLineChars="2700"/>
        <w:rPr>
          <w:rFonts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公章：</w:t>
      </w:r>
    </w:p>
    <w:p w14:paraId="6FE9A01D">
      <w:pPr>
        <w:snapToGrid w:val="0"/>
        <w:spacing w:before="156" w:beforeLines="50" w:after="50" w:line="340" w:lineRule="exact"/>
        <w:jc w:val="center"/>
        <w:rPr>
          <w:rFonts w:ascii="宋体" w:hAnsi="宋体"/>
          <w:szCs w:val="21"/>
          <w:highlight w:val="none"/>
        </w:rPr>
      </w:pPr>
      <w:r>
        <w:rPr>
          <w:rFonts w:hint="eastAsia" w:ascii="宋体" w:hAnsi="宋体"/>
          <w:szCs w:val="21"/>
          <w:highlight w:val="none"/>
        </w:rPr>
        <w:t xml:space="preserve">                                        年    月    日</w:t>
      </w:r>
    </w:p>
    <w:p w14:paraId="1D30C404">
      <w:pPr>
        <w:snapToGrid w:val="0"/>
        <w:spacing w:beforeLines="50" w:after="50"/>
        <w:ind w:left="540"/>
        <w:jc w:val="right"/>
        <w:rPr>
          <w:rFonts w:ascii="仿宋" w:hAnsi="仿宋" w:eastAsia="仿宋" w:cs="仿宋"/>
          <w:sz w:val="30"/>
          <w:szCs w:val="20"/>
          <w:highlight w:val="none"/>
        </w:rPr>
      </w:pPr>
    </w:p>
    <w:p w14:paraId="5CBBBD33">
      <w:pPr>
        <w:snapToGrid w:val="0"/>
        <w:spacing w:before="156" w:beforeLines="50" w:after="50" w:line="340" w:lineRule="exact"/>
        <w:jc w:val="center"/>
        <w:rPr>
          <w:rFonts w:ascii="仿宋_GB2312" w:hAnsi="宋体" w:eastAsia="仿宋_GB2312"/>
          <w:b/>
          <w:sz w:val="30"/>
          <w:szCs w:val="30"/>
          <w:highlight w:val="none"/>
        </w:rPr>
      </w:pPr>
    </w:p>
    <w:p w14:paraId="2F5D37EE">
      <w:pPr>
        <w:rPr>
          <w:rFonts w:hint="eastAsia" w:ascii="仿宋_GB2312" w:hAnsi="宋体" w:eastAsia="仿宋_GB2312"/>
          <w:b/>
          <w:sz w:val="30"/>
          <w:szCs w:val="30"/>
          <w:highlight w:val="none"/>
        </w:rPr>
      </w:pPr>
      <w:r>
        <w:rPr>
          <w:rFonts w:hint="eastAsia" w:ascii="仿宋_GB2312" w:hAnsi="宋体" w:eastAsia="仿宋_GB2312"/>
          <w:b/>
          <w:sz w:val="30"/>
          <w:szCs w:val="30"/>
          <w:highlight w:val="none"/>
        </w:rPr>
        <w:br w:type="page"/>
      </w:r>
    </w:p>
    <w:p w14:paraId="4D7915BB">
      <w:pPr>
        <w:snapToGrid w:val="0"/>
        <w:spacing w:before="156" w:beforeLines="50" w:after="50" w:line="340" w:lineRule="exact"/>
        <w:jc w:val="center"/>
        <w:rPr>
          <w:rFonts w:ascii="仿宋_GB2312" w:hAnsi="宋体" w:eastAsia="仿宋_GB2312"/>
          <w:b/>
          <w:sz w:val="30"/>
          <w:szCs w:val="30"/>
          <w:highlight w:val="none"/>
        </w:rPr>
      </w:pPr>
      <w:r>
        <w:rPr>
          <w:rFonts w:hint="eastAsia" w:ascii="仿宋_GB2312" w:hAnsi="宋体" w:eastAsia="仿宋_GB2312"/>
          <w:b/>
          <w:sz w:val="30"/>
          <w:szCs w:val="30"/>
          <w:highlight w:val="none"/>
        </w:rPr>
        <w:t>法定代表人授权委托书</w:t>
      </w:r>
    </w:p>
    <w:p w14:paraId="5BF7F02C">
      <w:pPr>
        <w:snapToGrid w:val="0"/>
        <w:spacing w:before="156" w:beforeLines="50" w:after="50" w:line="340" w:lineRule="exact"/>
        <w:rPr>
          <w:rFonts w:ascii="宋体" w:hAnsi="宋体"/>
          <w:b/>
          <w:bCs/>
          <w:szCs w:val="21"/>
          <w:highlight w:val="none"/>
        </w:rPr>
      </w:pPr>
      <w:r>
        <w:rPr>
          <w:rFonts w:hint="eastAsia" w:ascii="宋体" w:hAnsi="宋体"/>
          <w:bCs/>
          <w:szCs w:val="21"/>
          <w:highlight w:val="none"/>
        </w:rPr>
        <w:t>致：</w:t>
      </w:r>
      <w:r>
        <w:rPr>
          <w:rFonts w:hint="eastAsia"/>
          <w:highlight w:val="none"/>
          <w:u w:val="single"/>
        </w:rPr>
        <w:t xml:space="preserve">                      </w:t>
      </w:r>
      <w:r>
        <w:rPr>
          <w:rFonts w:hint="eastAsia" w:ascii="宋体" w:hAnsi="宋体"/>
          <w:szCs w:val="21"/>
          <w:highlight w:val="none"/>
        </w:rPr>
        <w:t>：</w:t>
      </w:r>
    </w:p>
    <w:p w14:paraId="00792CC8">
      <w:pPr>
        <w:snapToGrid w:val="0"/>
        <w:spacing w:before="156" w:beforeLines="50" w:after="50" w:line="340" w:lineRule="exact"/>
        <w:ind w:firstLine="630" w:firstLineChars="300"/>
        <w:rPr>
          <w:rFonts w:ascii="宋体" w:hAnsi="宋体"/>
          <w:szCs w:val="21"/>
          <w:highlight w:val="none"/>
        </w:rPr>
      </w:pPr>
      <w:r>
        <w:rPr>
          <w:rFonts w:hint="eastAsia" w:ascii="宋体" w:hAnsi="宋体"/>
          <w:szCs w:val="21"/>
          <w:highlight w:val="none"/>
        </w:rPr>
        <w:t>我</w:t>
      </w:r>
      <w:r>
        <w:rPr>
          <w:rFonts w:hint="eastAsia" w:ascii="宋体" w:hAnsi="宋体"/>
          <w:szCs w:val="21"/>
          <w:highlight w:val="none"/>
          <w:u w:val="single"/>
        </w:rPr>
        <w:t xml:space="preserve">             </w:t>
      </w:r>
      <w:r>
        <w:rPr>
          <w:rFonts w:hint="eastAsia" w:ascii="宋体" w:hAnsi="宋体"/>
          <w:szCs w:val="21"/>
          <w:highlight w:val="none"/>
        </w:rPr>
        <w:t>（姓名）系</w:t>
      </w:r>
      <w:r>
        <w:rPr>
          <w:rFonts w:hint="eastAsia" w:ascii="宋体" w:hAnsi="宋体"/>
          <w:szCs w:val="21"/>
          <w:highlight w:val="none"/>
          <w:u w:val="single"/>
        </w:rPr>
        <w:t xml:space="preserve">             </w:t>
      </w:r>
      <w:r>
        <w:rPr>
          <w:rFonts w:hint="eastAsia" w:ascii="宋体" w:hAnsi="宋体"/>
          <w:szCs w:val="21"/>
          <w:highlight w:val="none"/>
        </w:rPr>
        <w:t>（</w:t>
      </w:r>
      <w:r>
        <w:rPr>
          <w:rFonts w:hint="eastAsia" w:ascii="宋体" w:hAnsi="宋体"/>
          <w:szCs w:val="21"/>
          <w:highlight w:val="none"/>
          <w:lang w:eastAsia="zh-CN"/>
        </w:rPr>
        <w:t>供应商</w:t>
      </w:r>
      <w:r>
        <w:rPr>
          <w:rFonts w:hint="eastAsia" w:ascii="宋体" w:hAnsi="宋体"/>
          <w:szCs w:val="21"/>
          <w:highlight w:val="none"/>
        </w:rPr>
        <w:t xml:space="preserve">名称）的法定代表人，现授权委托本单位在职职工 </w:t>
      </w:r>
      <w:r>
        <w:rPr>
          <w:rFonts w:hint="eastAsia" w:ascii="宋体" w:hAnsi="宋体"/>
          <w:szCs w:val="21"/>
          <w:highlight w:val="none"/>
          <w:u w:val="single"/>
        </w:rPr>
        <w:t xml:space="preserve">               </w:t>
      </w:r>
      <w:r>
        <w:rPr>
          <w:rFonts w:hint="eastAsia" w:ascii="宋体" w:hAnsi="宋体"/>
          <w:szCs w:val="21"/>
          <w:highlight w:val="none"/>
        </w:rPr>
        <w:t>（姓名）以我方的名义参加</w:t>
      </w:r>
      <w:r>
        <w:rPr>
          <w:rFonts w:hint="eastAsia" w:ascii="宋体" w:hAnsi="宋体"/>
          <w:szCs w:val="21"/>
          <w:highlight w:val="none"/>
          <w:u w:val="single"/>
        </w:rPr>
        <w:t xml:space="preserve">             </w:t>
      </w:r>
      <w:r>
        <w:rPr>
          <w:rFonts w:hint="eastAsia" w:ascii="宋体" w:hAnsi="宋体"/>
          <w:szCs w:val="21"/>
          <w:highlight w:val="none"/>
        </w:rPr>
        <w:t>项目的</w:t>
      </w:r>
      <w:r>
        <w:rPr>
          <w:rFonts w:hint="eastAsia" w:ascii="宋体" w:hAnsi="宋体"/>
          <w:szCs w:val="21"/>
          <w:highlight w:val="none"/>
          <w:lang w:val="en-US" w:eastAsia="zh-CN"/>
        </w:rPr>
        <w:t>采购</w:t>
      </w:r>
      <w:r>
        <w:rPr>
          <w:rFonts w:hint="eastAsia" w:ascii="宋体" w:hAnsi="宋体"/>
          <w:szCs w:val="21"/>
          <w:highlight w:val="none"/>
        </w:rPr>
        <w:t>活动，并代表我方全权办理针对上述项目的</w:t>
      </w:r>
      <w:r>
        <w:rPr>
          <w:rFonts w:hint="eastAsia" w:ascii="宋体" w:hAnsi="宋体"/>
          <w:szCs w:val="21"/>
          <w:highlight w:val="none"/>
          <w:lang w:val="en-US" w:eastAsia="zh-CN"/>
        </w:rPr>
        <w:t>报价</w:t>
      </w:r>
      <w:r>
        <w:rPr>
          <w:rFonts w:hint="eastAsia" w:ascii="宋体" w:hAnsi="宋体"/>
          <w:szCs w:val="21"/>
          <w:highlight w:val="none"/>
        </w:rPr>
        <w:t>、</w:t>
      </w:r>
      <w:r>
        <w:rPr>
          <w:rFonts w:hint="eastAsia" w:ascii="宋体" w:hAnsi="宋体"/>
          <w:szCs w:val="21"/>
          <w:highlight w:val="none"/>
          <w:lang w:val="en-US" w:eastAsia="zh-CN"/>
        </w:rPr>
        <w:t>响应、签约</w:t>
      </w:r>
      <w:r>
        <w:rPr>
          <w:rFonts w:hint="eastAsia" w:ascii="宋体" w:hAnsi="宋体"/>
          <w:szCs w:val="21"/>
          <w:highlight w:val="none"/>
        </w:rPr>
        <w:t>等具体事务和签署相关文件。</w:t>
      </w:r>
    </w:p>
    <w:p w14:paraId="57B28F05">
      <w:pPr>
        <w:snapToGrid w:val="0"/>
        <w:spacing w:before="156" w:beforeLines="50" w:after="50" w:line="340" w:lineRule="exact"/>
        <w:rPr>
          <w:rFonts w:ascii="宋体" w:hAnsi="宋体"/>
          <w:szCs w:val="21"/>
          <w:highlight w:val="none"/>
        </w:rPr>
      </w:pPr>
      <w:r>
        <w:rPr>
          <w:rFonts w:hint="eastAsia" w:ascii="宋体" w:hAnsi="宋体"/>
          <w:szCs w:val="21"/>
          <w:highlight w:val="none"/>
        </w:rPr>
        <w:t xml:space="preserve">    我方对被授权人的签字事项负全部责任。</w:t>
      </w:r>
    </w:p>
    <w:p w14:paraId="575A02F3">
      <w:pPr>
        <w:snapToGrid w:val="0"/>
        <w:spacing w:before="156" w:beforeLines="50" w:after="50" w:line="340" w:lineRule="exact"/>
        <w:ind w:firstLine="480"/>
        <w:rPr>
          <w:rFonts w:ascii="宋体" w:hAnsi="宋体"/>
          <w:szCs w:val="21"/>
          <w:highlight w:val="none"/>
        </w:rPr>
      </w:pPr>
      <w:r>
        <w:rPr>
          <w:rFonts w:hint="eastAsia" w:ascii="宋体" w:hAnsi="宋体"/>
          <w:szCs w:val="21"/>
          <w:highlight w:val="none"/>
          <w:u w:val="single"/>
        </w:rPr>
        <w:t>在撤销授权的书面通知以前，本授权书一直有效。</w:t>
      </w:r>
      <w:r>
        <w:rPr>
          <w:rFonts w:hint="eastAsia" w:ascii="宋体" w:hAnsi="宋体"/>
          <w:szCs w:val="21"/>
          <w:highlight w:val="none"/>
        </w:rPr>
        <w:t>被授权人在授权书有效期内签署的所有文件不因授权的撤销而失效。</w:t>
      </w:r>
    </w:p>
    <w:p w14:paraId="6DABA91B">
      <w:pPr>
        <w:snapToGrid w:val="0"/>
        <w:spacing w:before="156" w:beforeLines="50" w:after="50" w:line="340" w:lineRule="exact"/>
        <w:ind w:firstLine="480"/>
        <w:rPr>
          <w:rFonts w:ascii="宋体" w:hAnsi="宋体"/>
          <w:szCs w:val="21"/>
          <w:highlight w:val="none"/>
        </w:rPr>
      </w:pPr>
      <w:r>
        <w:rPr>
          <w:rFonts w:hint="eastAsia" w:ascii="宋体" w:hAnsi="宋体"/>
          <w:szCs w:val="21"/>
          <w:highlight w:val="none"/>
        </w:rPr>
        <w:t>被授权人无转委托权，特此委托。</w:t>
      </w:r>
    </w:p>
    <w:p w14:paraId="47D48265">
      <w:pPr>
        <w:snapToGrid w:val="0"/>
        <w:spacing w:before="156" w:beforeLines="50" w:after="50" w:line="340" w:lineRule="exact"/>
        <w:rPr>
          <w:rFonts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r>
        <w:rPr>
          <w:rFonts w:hint="eastAsia" w:ascii="宋体" w:hAnsi="宋体"/>
          <w:szCs w:val="21"/>
          <w:highlight w:val="none"/>
        </w:rPr>
        <w:t xml:space="preserve">                           法定代表人签字：</w:t>
      </w:r>
      <w:r>
        <w:rPr>
          <w:rFonts w:hint="eastAsia" w:ascii="宋体" w:hAnsi="宋体"/>
          <w:szCs w:val="21"/>
          <w:highlight w:val="none"/>
          <w:u w:val="single"/>
        </w:rPr>
        <w:t xml:space="preserve">            </w:t>
      </w:r>
    </w:p>
    <w:p w14:paraId="290C2E85">
      <w:pPr>
        <w:snapToGrid w:val="0"/>
        <w:spacing w:before="156" w:beforeLines="50" w:after="50" w:line="340" w:lineRule="exact"/>
        <w:rPr>
          <w:rFonts w:ascii="宋体" w:hAnsi="宋体"/>
          <w:szCs w:val="21"/>
          <w:highlight w:val="none"/>
        </w:rPr>
      </w:pPr>
      <w:r>
        <w:rPr>
          <w:rFonts w:hint="eastAsia" w:ascii="宋体" w:hAnsi="宋体"/>
          <w:szCs w:val="21"/>
          <w:highlight w:val="none"/>
        </w:rPr>
        <w:t>所在部门职务：</w:t>
      </w:r>
      <w:r>
        <w:rPr>
          <w:rFonts w:hint="eastAsia" w:ascii="宋体" w:hAnsi="宋体"/>
          <w:szCs w:val="21"/>
          <w:highlight w:val="none"/>
          <w:u w:val="single"/>
        </w:rPr>
        <w:t xml:space="preserve">           </w:t>
      </w:r>
      <w:r>
        <w:rPr>
          <w:rFonts w:hint="eastAsia" w:ascii="宋体" w:hAnsi="宋体"/>
          <w:szCs w:val="21"/>
          <w:highlight w:val="none"/>
        </w:rPr>
        <w:t xml:space="preserve">                          职务：</w:t>
      </w:r>
      <w:r>
        <w:rPr>
          <w:rFonts w:hint="eastAsia" w:ascii="宋体" w:hAnsi="宋体"/>
          <w:szCs w:val="21"/>
          <w:highlight w:val="none"/>
          <w:u w:val="single"/>
        </w:rPr>
        <w:t xml:space="preserve">           </w:t>
      </w:r>
    </w:p>
    <w:p w14:paraId="1D3D1789">
      <w:pPr>
        <w:snapToGrid w:val="0"/>
        <w:spacing w:before="156" w:beforeLines="50" w:after="50" w:line="340" w:lineRule="exact"/>
        <w:rPr>
          <w:rFonts w:ascii="宋体" w:hAnsi="宋体"/>
          <w:szCs w:val="21"/>
          <w:highlight w:val="none"/>
        </w:rPr>
      </w:pPr>
      <w:r>
        <w:rPr>
          <w:rFonts w:hint="eastAsia" w:ascii="宋体" w:hAnsi="宋体"/>
          <w:szCs w:val="21"/>
          <w:highlight w:val="none"/>
        </w:rPr>
        <w:t>被授权人身份证号码：</w:t>
      </w:r>
      <w:r>
        <w:rPr>
          <w:rFonts w:hint="eastAsia" w:ascii="宋体" w:hAnsi="宋体"/>
          <w:szCs w:val="21"/>
          <w:highlight w:val="none"/>
          <w:u w:val="single"/>
        </w:rPr>
        <w:t xml:space="preserve">                             </w:t>
      </w:r>
      <w:r>
        <w:rPr>
          <w:rFonts w:hint="eastAsia" w:ascii="宋体" w:hAnsi="宋体"/>
          <w:szCs w:val="21"/>
          <w:highlight w:val="none"/>
        </w:rPr>
        <w:t xml:space="preserve"> </w:t>
      </w:r>
    </w:p>
    <w:p w14:paraId="6878A1BF">
      <w:pPr>
        <w:snapToGrid w:val="0"/>
        <w:spacing w:before="156" w:beforeLines="50" w:after="50" w:line="340" w:lineRule="exact"/>
        <w:rPr>
          <w:rFonts w:ascii="宋体" w:hAnsi="宋体"/>
          <w:szCs w:val="21"/>
          <w:highlight w:val="none"/>
        </w:rPr>
      </w:pPr>
      <w:r>
        <w:rPr>
          <w:rFonts w:hint="eastAsia" w:ascii="宋体" w:hAnsi="宋体"/>
          <w:szCs w:val="21"/>
          <w:highlight w:val="none"/>
        </w:rPr>
        <w:t>贴附“委托代理人身份证扫描件正反两面）</w:t>
      </w:r>
    </w:p>
    <w:p w14:paraId="5E32B2B2">
      <w:pPr>
        <w:snapToGrid w:val="0"/>
        <w:spacing w:before="156" w:beforeLines="50" w:after="50" w:line="340" w:lineRule="exact"/>
        <w:ind w:firstLine="4620" w:firstLineChars="2200"/>
        <w:rPr>
          <w:rFonts w:ascii="宋体" w:hAnsi="宋体"/>
          <w:szCs w:val="21"/>
          <w:highlight w:val="none"/>
        </w:rPr>
      </w:pPr>
      <w:r>
        <w:rPr>
          <w:rFonts w:hint="eastAsia" w:ascii="宋体" w:hAnsi="宋体"/>
          <w:szCs w:val="21"/>
          <w:highlight w:val="none"/>
        </w:rPr>
        <w:t xml:space="preserve">    </w:t>
      </w:r>
      <w:r>
        <w:rPr>
          <w:rFonts w:hint="eastAsia" w:ascii="宋体" w:hAnsi="宋体"/>
          <w:szCs w:val="21"/>
          <w:highlight w:val="none"/>
          <w:lang w:eastAsia="zh-CN"/>
        </w:rPr>
        <w:t>供应商</w:t>
      </w:r>
      <w:r>
        <w:rPr>
          <w:rFonts w:hint="eastAsia" w:ascii="宋体" w:hAnsi="宋体"/>
          <w:szCs w:val="21"/>
          <w:highlight w:val="none"/>
        </w:rPr>
        <w:t>公章：</w:t>
      </w:r>
    </w:p>
    <w:p w14:paraId="0B65A9C6">
      <w:pPr>
        <w:snapToGrid w:val="0"/>
        <w:spacing w:before="156" w:beforeLines="50" w:after="50" w:line="340" w:lineRule="exact"/>
        <w:jc w:val="center"/>
        <w:rPr>
          <w:rFonts w:ascii="宋体" w:hAnsi="宋体"/>
          <w:szCs w:val="21"/>
          <w:highlight w:val="none"/>
        </w:rPr>
      </w:pPr>
      <w:r>
        <w:rPr>
          <w:rFonts w:hint="eastAsia" w:ascii="宋体" w:hAnsi="宋体"/>
          <w:szCs w:val="21"/>
          <w:highlight w:val="none"/>
        </w:rPr>
        <w:t xml:space="preserve">                                        年    月    日</w:t>
      </w:r>
    </w:p>
    <w:p w14:paraId="7390064A">
      <w:pPr>
        <w:snapToGrid w:val="0"/>
        <w:spacing w:line="360" w:lineRule="exact"/>
        <w:jc w:val="left"/>
        <w:rPr>
          <w:rFonts w:ascii="宋体" w:hAnsi="宋体"/>
          <w:b/>
          <w:szCs w:val="21"/>
          <w:highlight w:val="none"/>
        </w:rPr>
      </w:pPr>
    </w:p>
    <w:p w14:paraId="195572F5">
      <w:pPr>
        <w:snapToGrid w:val="0"/>
        <w:spacing w:before="50" w:after="156" w:afterLines="50" w:line="360" w:lineRule="exact"/>
        <w:jc w:val="left"/>
        <w:rPr>
          <w:rFonts w:ascii="宋体" w:hAnsi="宋体"/>
          <w:b/>
          <w:szCs w:val="21"/>
          <w:highlight w:val="none"/>
        </w:rPr>
      </w:pPr>
      <w:r>
        <w:rPr>
          <w:rFonts w:hint="eastAsia" w:ascii="宋体" w:hAnsi="宋体"/>
          <w:b/>
          <w:szCs w:val="21"/>
          <w:highlight w:val="none"/>
        </w:rPr>
        <w:t>（</w:t>
      </w:r>
      <w:r>
        <w:rPr>
          <w:rFonts w:hint="eastAsia" w:ascii="宋体" w:hAnsi="宋体"/>
          <w:b/>
          <w:szCs w:val="21"/>
          <w:highlight w:val="none"/>
          <w:lang w:val="en-US" w:eastAsia="zh-CN"/>
        </w:rPr>
        <w:t>6</w:t>
      </w:r>
      <w:r>
        <w:rPr>
          <w:rFonts w:hint="eastAsia" w:ascii="宋体" w:hAnsi="宋体"/>
          <w:b/>
          <w:szCs w:val="21"/>
          <w:highlight w:val="none"/>
        </w:rPr>
        <w:t>）投标截止之日前半年内</w:t>
      </w:r>
      <w:r>
        <w:rPr>
          <w:rFonts w:hint="eastAsia" w:ascii="宋体" w:hAnsi="宋体"/>
          <w:b/>
          <w:szCs w:val="21"/>
          <w:highlight w:val="none"/>
          <w:lang w:eastAsia="zh-CN"/>
        </w:rPr>
        <w:t>供应商</w:t>
      </w:r>
      <w:r>
        <w:rPr>
          <w:rFonts w:hint="eastAsia" w:ascii="宋体" w:hAnsi="宋体"/>
          <w:b/>
          <w:szCs w:val="21"/>
          <w:highlight w:val="none"/>
        </w:rPr>
        <w:t>连续三个月的依法缴纳税费或依法免缴税费的证明（扫描件或其他电子文件，原件备查，格式自拟）（</w:t>
      </w:r>
      <w:r>
        <w:rPr>
          <w:rFonts w:hint="eastAsia" w:ascii="宋体" w:hAnsi="宋体"/>
          <w:b/>
          <w:szCs w:val="21"/>
          <w:highlight w:val="none"/>
          <w:u w:val="single"/>
        </w:rPr>
        <w:t>必须提供</w:t>
      </w:r>
      <w:r>
        <w:rPr>
          <w:rFonts w:hint="eastAsia" w:ascii="宋体" w:hAnsi="宋体"/>
          <w:b/>
          <w:szCs w:val="21"/>
          <w:highlight w:val="none"/>
        </w:rPr>
        <w:t>）；</w:t>
      </w:r>
      <w:r>
        <w:rPr>
          <w:rFonts w:hint="eastAsia" w:ascii="宋体" w:hAnsi="宋体"/>
          <w:szCs w:val="21"/>
          <w:highlight w:val="none"/>
        </w:rPr>
        <w:t>无纳税记录的，应提供由</w:t>
      </w:r>
      <w:r>
        <w:rPr>
          <w:rFonts w:hint="eastAsia" w:ascii="宋体" w:hAnsi="宋体"/>
          <w:szCs w:val="21"/>
          <w:highlight w:val="none"/>
          <w:lang w:eastAsia="zh-CN"/>
        </w:rPr>
        <w:t>供应商</w:t>
      </w:r>
      <w:r>
        <w:rPr>
          <w:rFonts w:hint="eastAsia" w:ascii="宋体" w:hAnsi="宋体"/>
          <w:szCs w:val="21"/>
          <w:highlight w:val="none"/>
        </w:rPr>
        <w:t>所在地主管国税或地税部门出具的《依法纳税或依法免税证明》（格式自拟，扫描件或其他电子文件，原件备查）。</w:t>
      </w:r>
    </w:p>
    <w:p w14:paraId="5C98D098">
      <w:pPr>
        <w:snapToGrid w:val="0"/>
        <w:spacing w:before="50" w:after="156" w:afterLines="50" w:line="360" w:lineRule="exact"/>
        <w:jc w:val="left"/>
        <w:rPr>
          <w:rFonts w:ascii="宋体" w:hAnsi="宋体"/>
          <w:szCs w:val="21"/>
          <w:highlight w:val="none"/>
        </w:rPr>
      </w:pPr>
      <w:r>
        <w:rPr>
          <w:rFonts w:hint="eastAsia" w:ascii="宋体" w:hAnsi="宋体"/>
          <w:b/>
          <w:szCs w:val="21"/>
          <w:highlight w:val="none"/>
        </w:rPr>
        <w:t>（</w:t>
      </w:r>
      <w:r>
        <w:rPr>
          <w:rFonts w:hint="eastAsia" w:ascii="宋体" w:hAnsi="宋体"/>
          <w:b/>
          <w:szCs w:val="21"/>
          <w:highlight w:val="none"/>
          <w:lang w:val="en-US" w:eastAsia="zh-CN"/>
        </w:rPr>
        <w:t>7</w:t>
      </w:r>
      <w:r>
        <w:rPr>
          <w:rFonts w:hint="eastAsia" w:ascii="宋体" w:hAnsi="宋体"/>
          <w:b/>
          <w:szCs w:val="21"/>
          <w:highlight w:val="none"/>
        </w:rPr>
        <w:t>）投标截止之日前半年内</w:t>
      </w:r>
      <w:r>
        <w:rPr>
          <w:rFonts w:hint="eastAsia" w:ascii="宋体" w:hAnsi="宋体"/>
          <w:b/>
          <w:szCs w:val="21"/>
          <w:highlight w:val="none"/>
          <w:lang w:eastAsia="zh-CN"/>
        </w:rPr>
        <w:t>供应商</w:t>
      </w:r>
      <w:r>
        <w:rPr>
          <w:rFonts w:hint="eastAsia" w:ascii="宋体" w:hAnsi="宋体"/>
          <w:b/>
          <w:szCs w:val="21"/>
          <w:highlight w:val="none"/>
        </w:rPr>
        <w:t>连续三个月的依法缴纳社保费的缴费凭证</w:t>
      </w:r>
      <w:r>
        <w:rPr>
          <w:rFonts w:hint="eastAsia" w:ascii="宋体" w:hAnsi="宋体"/>
          <w:szCs w:val="21"/>
          <w:highlight w:val="none"/>
        </w:rPr>
        <w:t>（</w:t>
      </w:r>
      <w:r>
        <w:rPr>
          <w:rFonts w:hint="eastAsia" w:ascii="宋体" w:hAnsi="宋体"/>
          <w:b/>
          <w:szCs w:val="21"/>
          <w:highlight w:val="none"/>
        </w:rPr>
        <w:t>扫描件或其他电子文件，原件备查，格式自拟）（</w:t>
      </w:r>
      <w:r>
        <w:rPr>
          <w:rFonts w:hint="eastAsia" w:ascii="宋体" w:hAnsi="宋体"/>
          <w:b/>
          <w:szCs w:val="21"/>
          <w:highlight w:val="none"/>
          <w:u w:val="single"/>
        </w:rPr>
        <w:t>必须提供</w:t>
      </w:r>
      <w:r>
        <w:rPr>
          <w:rFonts w:hint="eastAsia" w:ascii="宋体" w:hAnsi="宋体"/>
          <w:b/>
          <w:szCs w:val="21"/>
          <w:highlight w:val="none"/>
        </w:rPr>
        <w:t>）；</w:t>
      </w:r>
      <w:r>
        <w:rPr>
          <w:rFonts w:hint="eastAsia" w:ascii="宋体" w:hAnsi="宋体"/>
          <w:szCs w:val="21"/>
          <w:highlight w:val="none"/>
        </w:rPr>
        <w:t>无缴费记录的，应提供由</w:t>
      </w:r>
      <w:r>
        <w:rPr>
          <w:rFonts w:hint="eastAsia" w:ascii="宋体" w:hAnsi="宋体"/>
          <w:szCs w:val="21"/>
          <w:highlight w:val="none"/>
          <w:lang w:eastAsia="zh-CN"/>
        </w:rPr>
        <w:t>供应商</w:t>
      </w:r>
      <w:r>
        <w:rPr>
          <w:rFonts w:hint="eastAsia" w:ascii="宋体" w:hAnsi="宋体"/>
          <w:szCs w:val="21"/>
          <w:highlight w:val="none"/>
        </w:rPr>
        <w:t>所在地社保部门出具的《依法缴纳或依法免缴社保费证明》（格式自拟，扫描件或其他电子文件，原件备查）。</w:t>
      </w:r>
    </w:p>
    <w:p w14:paraId="3DBBCBCE">
      <w:pPr>
        <w:snapToGrid w:val="0"/>
        <w:spacing w:before="50" w:after="156" w:afterLines="50" w:line="360" w:lineRule="exact"/>
        <w:jc w:val="left"/>
        <w:rPr>
          <w:rFonts w:ascii="宋体" w:hAnsi="宋体"/>
          <w:b/>
          <w:szCs w:val="21"/>
          <w:highlight w:val="none"/>
        </w:rPr>
      </w:pPr>
      <w:r>
        <w:rPr>
          <w:rFonts w:hint="eastAsia" w:ascii="宋体" w:hAnsi="宋体"/>
          <w:b/>
          <w:szCs w:val="21"/>
          <w:highlight w:val="none"/>
        </w:rPr>
        <w:t>（</w:t>
      </w:r>
      <w:r>
        <w:rPr>
          <w:rFonts w:hint="eastAsia" w:ascii="宋体" w:hAnsi="宋体"/>
          <w:b/>
          <w:szCs w:val="21"/>
          <w:highlight w:val="none"/>
          <w:lang w:val="en-US" w:eastAsia="zh-CN"/>
        </w:rPr>
        <w:t>8</w:t>
      </w:r>
      <w:r>
        <w:rPr>
          <w:rFonts w:hint="eastAsia" w:ascii="宋体" w:hAnsi="宋体"/>
          <w:b/>
          <w:szCs w:val="21"/>
          <w:highlight w:val="none"/>
        </w:rPr>
        <w:t>）</w:t>
      </w:r>
      <w:r>
        <w:rPr>
          <w:rFonts w:ascii="宋体" w:hAnsi="宋体"/>
          <w:b/>
          <w:szCs w:val="21"/>
          <w:highlight w:val="none"/>
        </w:rPr>
        <w:t>财务状况报告</w:t>
      </w:r>
      <w:r>
        <w:rPr>
          <w:rFonts w:hint="eastAsia" w:ascii="宋体" w:hAnsi="宋体"/>
          <w:b/>
          <w:szCs w:val="21"/>
          <w:highlight w:val="none"/>
        </w:rPr>
        <w:t>；（</w:t>
      </w:r>
      <w:r>
        <w:rPr>
          <w:rFonts w:hint="eastAsia" w:ascii="宋体" w:hAnsi="宋体"/>
          <w:b/>
          <w:szCs w:val="21"/>
          <w:highlight w:val="none"/>
          <w:u w:val="single"/>
        </w:rPr>
        <w:t>格式自拟，必须提供</w:t>
      </w:r>
      <w:r>
        <w:rPr>
          <w:rFonts w:hint="eastAsia" w:ascii="宋体" w:hAnsi="宋体"/>
          <w:b/>
          <w:szCs w:val="21"/>
          <w:highlight w:val="none"/>
        </w:rPr>
        <w:t>）</w:t>
      </w:r>
    </w:p>
    <w:p w14:paraId="36DB05BB">
      <w:pPr>
        <w:snapToGrid w:val="0"/>
        <w:spacing w:before="50" w:after="156" w:afterLines="50" w:line="360" w:lineRule="exact"/>
        <w:jc w:val="left"/>
        <w:rPr>
          <w:rFonts w:hint="eastAsia" w:ascii="宋体" w:hAnsi="宋体"/>
          <w:b/>
          <w:szCs w:val="21"/>
          <w:highlight w:val="none"/>
        </w:rPr>
      </w:pPr>
      <w:r>
        <w:rPr>
          <w:rFonts w:hint="eastAsia" w:ascii="宋体" w:hAnsi="宋体" w:cs="宋体"/>
          <w:b/>
          <w:kern w:val="0"/>
          <w:szCs w:val="21"/>
          <w:highlight w:val="none"/>
        </w:rPr>
        <w:t>（</w:t>
      </w:r>
      <w:r>
        <w:rPr>
          <w:rFonts w:hint="eastAsia" w:ascii="宋体" w:hAnsi="宋体" w:cs="宋体"/>
          <w:b/>
          <w:kern w:val="0"/>
          <w:szCs w:val="21"/>
          <w:highlight w:val="none"/>
          <w:lang w:val="en-US" w:eastAsia="zh-CN"/>
        </w:rPr>
        <w:t>9</w:t>
      </w:r>
      <w:r>
        <w:rPr>
          <w:rFonts w:hint="eastAsia" w:ascii="宋体" w:hAnsi="宋体" w:cs="宋体"/>
          <w:b/>
          <w:kern w:val="0"/>
          <w:szCs w:val="21"/>
          <w:highlight w:val="none"/>
        </w:rPr>
        <w:t>）</w:t>
      </w:r>
      <w:r>
        <w:rPr>
          <w:rFonts w:ascii="宋体" w:hAnsi="宋体"/>
          <w:b/>
          <w:szCs w:val="21"/>
          <w:highlight w:val="none"/>
        </w:rPr>
        <w:t>具备履行合同所必需的设备和专业技术能力的证明材料</w:t>
      </w:r>
      <w:r>
        <w:rPr>
          <w:rFonts w:hint="eastAsia" w:ascii="宋体" w:hAnsi="宋体" w:cs="宋体"/>
          <w:b/>
          <w:kern w:val="0"/>
          <w:szCs w:val="21"/>
          <w:highlight w:val="none"/>
        </w:rPr>
        <w:t>；</w:t>
      </w:r>
      <w:r>
        <w:rPr>
          <w:rFonts w:hint="eastAsia" w:ascii="宋体" w:hAnsi="宋体"/>
          <w:b/>
          <w:szCs w:val="21"/>
          <w:highlight w:val="none"/>
        </w:rPr>
        <w:t>（</w:t>
      </w:r>
      <w:r>
        <w:rPr>
          <w:rFonts w:hint="eastAsia" w:ascii="宋体" w:hAnsi="宋体"/>
          <w:b/>
          <w:szCs w:val="21"/>
          <w:highlight w:val="none"/>
          <w:u w:val="single"/>
        </w:rPr>
        <w:t>内容、格式自拟，必须提供</w:t>
      </w:r>
      <w:r>
        <w:rPr>
          <w:rFonts w:hint="eastAsia" w:ascii="宋体" w:hAnsi="宋体"/>
          <w:b/>
          <w:szCs w:val="21"/>
          <w:highlight w:val="none"/>
        </w:rPr>
        <w:t>）</w:t>
      </w:r>
    </w:p>
    <w:p w14:paraId="26B4D4B7">
      <w:pPr>
        <w:snapToGrid w:val="0"/>
        <w:spacing w:before="50" w:after="156" w:afterLines="50" w:line="360" w:lineRule="exact"/>
        <w:jc w:val="left"/>
        <w:rPr>
          <w:rFonts w:hint="default" w:ascii="宋体" w:hAnsi="宋体"/>
          <w:b/>
          <w:szCs w:val="21"/>
          <w:highlight w:val="none"/>
          <w:lang w:val="en-US" w:eastAsia="zh-CN"/>
        </w:rPr>
      </w:pPr>
      <w:r>
        <w:rPr>
          <w:rFonts w:hint="eastAsia" w:ascii="宋体" w:hAnsi="宋体"/>
          <w:b/>
          <w:szCs w:val="21"/>
          <w:highlight w:val="none"/>
          <w:lang w:val="en-US" w:eastAsia="zh-CN"/>
        </w:rPr>
        <w:t>（11）其他材料（如有）</w:t>
      </w:r>
    </w:p>
    <w:p w14:paraId="1B857054">
      <w:pPr>
        <w:snapToGrid w:val="0"/>
        <w:spacing w:before="50" w:after="156" w:afterLines="50" w:line="360" w:lineRule="exact"/>
        <w:jc w:val="left"/>
        <w:rPr>
          <w:rFonts w:ascii="宋体" w:hAnsi="宋体"/>
          <w:szCs w:val="21"/>
          <w:highlight w:val="none"/>
        </w:rPr>
      </w:pPr>
      <w:r>
        <w:rPr>
          <w:rFonts w:hint="eastAsia" w:ascii="宋体" w:hAnsi="宋体"/>
          <w:szCs w:val="21"/>
          <w:highlight w:val="none"/>
        </w:rPr>
        <w:t>税务登记证扫描件或其他电子文件（副本）（按要求提供）</w:t>
      </w:r>
    </w:p>
    <w:p w14:paraId="77C9CD9F">
      <w:pPr>
        <w:snapToGrid w:val="0"/>
        <w:spacing w:before="50" w:after="156" w:afterLines="50" w:line="360" w:lineRule="exact"/>
        <w:jc w:val="left"/>
        <w:rPr>
          <w:rFonts w:ascii="宋体" w:hAnsi="宋体"/>
          <w:szCs w:val="21"/>
          <w:highlight w:val="none"/>
        </w:rPr>
      </w:pPr>
      <w:r>
        <w:rPr>
          <w:rFonts w:hint="eastAsia" w:ascii="宋体" w:hAnsi="宋体"/>
          <w:szCs w:val="21"/>
          <w:highlight w:val="none"/>
        </w:rPr>
        <w:t>产品销售许可证扫描件或其他电子文件（按要求提供）</w:t>
      </w:r>
    </w:p>
    <w:p w14:paraId="7E4A1869">
      <w:pPr>
        <w:snapToGrid w:val="0"/>
        <w:spacing w:before="50" w:after="156" w:afterLines="50" w:line="360" w:lineRule="exact"/>
        <w:jc w:val="left"/>
        <w:rPr>
          <w:rFonts w:ascii="宋体" w:hAnsi="宋体"/>
          <w:szCs w:val="21"/>
          <w:highlight w:val="none"/>
        </w:rPr>
      </w:pPr>
      <w:r>
        <w:rPr>
          <w:rFonts w:hint="eastAsia" w:ascii="宋体" w:hAnsi="宋体"/>
          <w:szCs w:val="21"/>
          <w:highlight w:val="none"/>
        </w:rPr>
        <w:t>安全生产许可证扫描件或其他电子文件、产品代理资格证明文件扫描件或其他电子文件；（按要求提供）</w:t>
      </w:r>
    </w:p>
    <w:p w14:paraId="1B799516">
      <w:pPr>
        <w:rPr>
          <w:rFonts w:ascii="黑体" w:hAnsi="宋体" w:eastAsia="黑体"/>
          <w:bCs/>
          <w:sz w:val="24"/>
          <w:highlight w:val="none"/>
        </w:rPr>
      </w:pPr>
      <w:r>
        <w:rPr>
          <w:rFonts w:ascii="黑体" w:hAnsi="宋体" w:eastAsia="黑体"/>
          <w:bCs/>
          <w:sz w:val="24"/>
          <w:highlight w:val="none"/>
        </w:rPr>
        <w:br w:type="page"/>
      </w:r>
    </w:p>
    <w:p w14:paraId="39AEE164">
      <w:pPr>
        <w:snapToGrid w:val="0"/>
        <w:spacing w:before="156" w:beforeLines="50" w:after="50" w:line="360" w:lineRule="exact"/>
        <w:jc w:val="both"/>
        <w:outlineLvl w:val="1"/>
        <w:rPr>
          <w:rFonts w:ascii="黑体" w:hAnsi="宋体" w:eastAsia="黑体"/>
          <w:bCs/>
          <w:sz w:val="24"/>
          <w:highlight w:val="none"/>
        </w:rPr>
      </w:pPr>
    </w:p>
    <w:p w14:paraId="288254F9">
      <w:pPr>
        <w:snapToGrid w:val="0"/>
        <w:spacing w:before="50" w:line="360" w:lineRule="exact"/>
        <w:jc w:val="left"/>
        <w:rPr>
          <w:rFonts w:hint="default" w:ascii="宋体" w:hAnsi="宋体" w:eastAsiaTheme="minorEastAsia"/>
          <w:b/>
          <w:szCs w:val="21"/>
          <w:highlight w:val="none"/>
          <w:lang w:val="en-US" w:eastAsia="zh-CN"/>
        </w:rPr>
      </w:pPr>
      <w:r>
        <w:rPr>
          <w:rFonts w:hint="eastAsia" w:ascii="宋体" w:hAnsi="宋体"/>
          <w:b/>
          <w:szCs w:val="21"/>
          <w:highlight w:val="none"/>
          <w:lang w:val="en-US" w:eastAsia="zh-CN"/>
        </w:rPr>
        <w:t>2、商务技术文件</w:t>
      </w:r>
    </w:p>
    <w:p w14:paraId="3C9F7C64">
      <w:pPr>
        <w:snapToGrid w:val="0"/>
        <w:spacing w:before="50" w:line="360" w:lineRule="exact"/>
        <w:jc w:val="left"/>
        <w:rPr>
          <w:rFonts w:hint="eastAsia" w:ascii="宋体" w:hAnsi="宋体"/>
          <w:b/>
          <w:szCs w:val="21"/>
          <w:highlight w:val="none"/>
        </w:rPr>
      </w:pPr>
      <w:r>
        <w:rPr>
          <w:rFonts w:hint="eastAsia" w:ascii="宋体" w:hAnsi="宋体"/>
          <w:b/>
          <w:szCs w:val="21"/>
          <w:highlight w:val="none"/>
        </w:rPr>
        <w:t xml:space="preserve">（1）技术、商务响应偏离情况说明表（必须提供）；商务及其他要求响应表 </w:t>
      </w:r>
    </w:p>
    <w:p w14:paraId="459FA934">
      <w:pPr>
        <w:snapToGrid w:val="0"/>
        <w:spacing w:before="50" w:line="360" w:lineRule="exact"/>
        <w:jc w:val="left"/>
        <w:rPr>
          <w:rFonts w:ascii="宋体" w:hAnsi="宋体"/>
          <w:b/>
          <w:szCs w:val="21"/>
          <w:highlight w:val="none"/>
        </w:rPr>
      </w:pPr>
      <w:r>
        <w:rPr>
          <w:rFonts w:hint="eastAsia" w:ascii="宋体" w:hAnsi="宋体"/>
          <w:b/>
          <w:szCs w:val="21"/>
          <w:highlight w:val="none"/>
          <w:lang w:val="en-US" w:eastAsia="zh-CN"/>
        </w:rPr>
        <w:t>技术响应偏离表（</w:t>
      </w:r>
      <w:r>
        <w:rPr>
          <w:rFonts w:hint="eastAsia" w:ascii="宋体" w:hAnsi="宋体"/>
          <w:szCs w:val="21"/>
          <w:highlight w:val="none"/>
        </w:rPr>
        <w:t>格式</w:t>
      </w:r>
      <w:r>
        <w:rPr>
          <w:rFonts w:hint="eastAsia" w:ascii="宋体" w:hAnsi="宋体"/>
          <w:b/>
          <w:szCs w:val="21"/>
          <w:highlight w:val="none"/>
          <w:lang w:val="en-US" w:eastAsia="zh-CN"/>
        </w:rPr>
        <w:t>）</w:t>
      </w:r>
      <w:r>
        <w:rPr>
          <w:rFonts w:hint="eastAsia" w:ascii="宋体" w:hAnsi="宋体"/>
          <w:szCs w:val="21"/>
          <w:highlight w:val="none"/>
        </w:rPr>
        <w:t>：</w:t>
      </w:r>
      <w:r>
        <w:rPr>
          <w:rFonts w:hint="eastAsia" w:ascii="宋体" w:hAnsi="宋体"/>
          <w:b/>
          <w:szCs w:val="21"/>
          <w:highlight w:val="none"/>
        </w:rPr>
        <w:t xml:space="preserve"> </w:t>
      </w:r>
    </w:p>
    <w:tbl>
      <w:tblPr>
        <w:tblStyle w:val="13"/>
        <w:tblW w:w="9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2261"/>
        <w:gridCol w:w="2296"/>
        <w:gridCol w:w="2388"/>
        <w:gridCol w:w="1403"/>
      </w:tblGrid>
      <w:tr w14:paraId="7D83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14:paraId="17539258">
            <w:pPr>
              <w:pStyle w:val="4"/>
              <w:spacing w:line="400" w:lineRule="exact"/>
              <w:jc w:val="center"/>
              <w:rPr>
                <w:rFonts w:hAnsi="宋体"/>
                <w:highlight w:val="none"/>
              </w:rPr>
            </w:pPr>
            <w:r>
              <w:rPr>
                <w:rFonts w:hint="eastAsia" w:hAnsi="宋体"/>
                <w:highlight w:val="none"/>
              </w:rPr>
              <w:t>项号</w:t>
            </w:r>
          </w:p>
        </w:tc>
        <w:tc>
          <w:tcPr>
            <w:tcW w:w="2261" w:type="dxa"/>
            <w:tcBorders>
              <w:top w:val="single" w:color="auto" w:sz="4" w:space="0"/>
              <w:left w:val="single" w:color="auto" w:sz="4" w:space="0"/>
              <w:bottom w:val="single" w:color="auto" w:sz="4" w:space="0"/>
              <w:right w:val="single" w:color="auto" w:sz="4" w:space="0"/>
            </w:tcBorders>
            <w:vAlign w:val="center"/>
          </w:tcPr>
          <w:p w14:paraId="4C961906">
            <w:pPr>
              <w:pStyle w:val="4"/>
              <w:spacing w:line="400" w:lineRule="exact"/>
              <w:jc w:val="center"/>
              <w:rPr>
                <w:rFonts w:ascii="Times New Roman" w:hAnsi="Times New Roman"/>
                <w:highlight w:val="none"/>
              </w:rPr>
            </w:pPr>
            <w:r>
              <w:rPr>
                <w:rFonts w:hint="default" w:ascii="Times New Roman" w:hAnsi="Times New Roman" w:eastAsiaTheme="minorEastAsia" w:cstheme="minorBidi"/>
                <w:b w:val="0"/>
                <w:bCs w:val="0"/>
                <w:i w:val="0"/>
                <w:iCs w:val="0"/>
                <w:kern w:val="2"/>
                <w:sz w:val="18"/>
                <w:szCs w:val="18"/>
                <w:highlight w:val="none"/>
                <w:u w:val="none"/>
                <w:lang w:val="en-US" w:eastAsia="zh-CN" w:bidi="ar"/>
              </w:rPr>
              <w:t>技术参数及配备要求</w:t>
            </w:r>
          </w:p>
        </w:tc>
        <w:tc>
          <w:tcPr>
            <w:tcW w:w="2296" w:type="dxa"/>
            <w:tcBorders>
              <w:top w:val="single" w:color="auto" w:sz="4" w:space="0"/>
              <w:left w:val="single" w:color="auto" w:sz="4" w:space="0"/>
              <w:bottom w:val="single" w:color="auto" w:sz="4" w:space="0"/>
              <w:right w:val="single" w:color="auto" w:sz="4" w:space="0"/>
            </w:tcBorders>
            <w:vAlign w:val="center"/>
          </w:tcPr>
          <w:p w14:paraId="3BE69D2B">
            <w:pPr>
              <w:pStyle w:val="4"/>
              <w:spacing w:line="400" w:lineRule="exact"/>
              <w:jc w:val="center"/>
              <w:rPr>
                <w:rFonts w:ascii="Times New Roman" w:hAnsi="Times New Roman"/>
                <w:highlight w:val="none"/>
              </w:rPr>
            </w:pPr>
            <w:r>
              <w:rPr>
                <w:rFonts w:hint="eastAsia" w:ascii="Times New Roman" w:hAnsi="Times New Roman"/>
                <w:highlight w:val="none"/>
                <w:lang w:val="en-US" w:eastAsia="zh-CN"/>
              </w:rPr>
              <w:t>响应</w:t>
            </w:r>
            <w:r>
              <w:rPr>
                <w:rFonts w:hint="eastAsia" w:ascii="Times New Roman" w:hAnsi="Times New Roman"/>
                <w:highlight w:val="none"/>
              </w:rPr>
              <w:t>情况</w:t>
            </w:r>
          </w:p>
        </w:tc>
        <w:tc>
          <w:tcPr>
            <w:tcW w:w="2388" w:type="dxa"/>
            <w:tcBorders>
              <w:top w:val="single" w:color="auto" w:sz="4" w:space="0"/>
              <w:left w:val="single" w:color="auto" w:sz="4" w:space="0"/>
              <w:bottom w:val="single" w:color="auto" w:sz="4" w:space="0"/>
              <w:right w:val="single" w:color="auto" w:sz="4" w:space="0"/>
            </w:tcBorders>
            <w:vAlign w:val="center"/>
          </w:tcPr>
          <w:p w14:paraId="374EB9A7">
            <w:pPr>
              <w:pStyle w:val="4"/>
              <w:spacing w:line="400" w:lineRule="exact"/>
              <w:jc w:val="center"/>
              <w:rPr>
                <w:rFonts w:ascii="Times New Roman" w:hAnsi="Times New Roman"/>
                <w:highlight w:val="none"/>
              </w:rPr>
            </w:pPr>
            <w:r>
              <w:rPr>
                <w:rFonts w:hint="eastAsia" w:ascii="Times New Roman" w:hAnsi="Times New Roman"/>
                <w:highlight w:val="none"/>
              </w:rPr>
              <w:t>偏离说明</w:t>
            </w:r>
          </w:p>
        </w:tc>
        <w:tc>
          <w:tcPr>
            <w:tcW w:w="1403" w:type="dxa"/>
            <w:tcBorders>
              <w:top w:val="single" w:color="auto" w:sz="4" w:space="0"/>
              <w:left w:val="single" w:color="auto" w:sz="4" w:space="0"/>
              <w:bottom w:val="single" w:color="auto" w:sz="4" w:space="0"/>
              <w:right w:val="single" w:color="auto" w:sz="4" w:space="0"/>
            </w:tcBorders>
            <w:vAlign w:val="center"/>
          </w:tcPr>
          <w:p w14:paraId="41414BA0">
            <w:pPr>
              <w:pStyle w:val="4"/>
              <w:spacing w:line="400" w:lineRule="exact"/>
              <w:jc w:val="center"/>
              <w:rPr>
                <w:rFonts w:hint="default" w:ascii="Times New Roman" w:hAnsi="Times New Roman" w:eastAsiaTheme="minorEastAsia"/>
                <w:highlight w:val="none"/>
                <w:lang w:val="en-US" w:eastAsia="zh-CN"/>
              </w:rPr>
            </w:pPr>
            <w:r>
              <w:rPr>
                <w:rFonts w:hint="eastAsia" w:ascii="Times New Roman" w:hAnsi="Times New Roman"/>
                <w:highlight w:val="none"/>
                <w:lang w:val="en-US" w:eastAsia="zh-CN"/>
              </w:rPr>
              <w:t>佐证材料页码</w:t>
            </w:r>
          </w:p>
        </w:tc>
      </w:tr>
      <w:tr w14:paraId="664A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58C1DAE9">
            <w:pPr>
              <w:pStyle w:val="4"/>
              <w:spacing w:line="600" w:lineRule="exact"/>
              <w:ind w:left="5250"/>
              <w:jc w:val="center"/>
              <w:rPr>
                <w:rFonts w:ascii="Times New Roman" w:hAnsi="Times New Roman"/>
                <w:highlight w:val="none"/>
              </w:rPr>
            </w:pPr>
          </w:p>
        </w:tc>
        <w:tc>
          <w:tcPr>
            <w:tcW w:w="2261" w:type="dxa"/>
            <w:tcBorders>
              <w:top w:val="single" w:color="auto" w:sz="4" w:space="0"/>
              <w:left w:val="single" w:color="auto" w:sz="4" w:space="0"/>
              <w:bottom w:val="single" w:color="auto" w:sz="4" w:space="0"/>
              <w:right w:val="single" w:color="auto" w:sz="4" w:space="0"/>
            </w:tcBorders>
            <w:vAlign w:val="center"/>
          </w:tcPr>
          <w:p w14:paraId="6FFE3278">
            <w:pPr>
              <w:pStyle w:val="4"/>
              <w:spacing w:line="600" w:lineRule="exact"/>
              <w:ind w:left="5250"/>
              <w:jc w:val="center"/>
              <w:rPr>
                <w:rFonts w:ascii="Times New Roman" w:hAnsi="Times New Roman"/>
                <w:highlight w:val="none"/>
              </w:rPr>
            </w:pPr>
          </w:p>
        </w:tc>
        <w:tc>
          <w:tcPr>
            <w:tcW w:w="2296" w:type="dxa"/>
            <w:tcBorders>
              <w:top w:val="single" w:color="auto" w:sz="4" w:space="0"/>
              <w:left w:val="single" w:color="auto" w:sz="4" w:space="0"/>
              <w:bottom w:val="single" w:color="auto" w:sz="4" w:space="0"/>
              <w:right w:val="single" w:color="auto" w:sz="4" w:space="0"/>
            </w:tcBorders>
            <w:vAlign w:val="center"/>
          </w:tcPr>
          <w:p w14:paraId="04C20E28">
            <w:pPr>
              <w:pStyle w:val="4"/>
              <w:spacing w:line="600" w:lineRule="exact"/>
              <w:ind w:left="5250"/>
              <w:jc w:val="center"/>
              <w:rPr>
                <w:rFonts w:ascii="Times New Roman" w:hAnsi="Times New Roman"/>
                <w:highlight w:val="none"/>
              </w:rPr>
            </w:pPr>
          </w:p>
        </w:tc>
        <w:tc>
          <w:tcPr>
            <w:tcW w:w="2388" w:type="dxa"/>
            <w:tcBorders>
              <w:top w:val="single" w:color="auto" w:sz="4" w:space="0"/>
              <w:left w:val="single" w:color="auto" w:sz="4" w:space="0"/>
              <w:bottom w:val="single" w:color="auto" w:sz="4" w:space="0"/>
              <w:right w:val="single" w:color="auto" w:sz="4" w:space="0"/>
            </w:tcBorders>
            <w:vAlign w:val="center"/>
          </w:tcPr>
          <w:p w14:paraId="1AB2CF87">
            <w:pPr>
              <w:pStyle w:val="4"/>
              <w:spacing w:line="600" w:lineRule="exact"/>
              <w:ind w:left="5250"/>
              <w:jc w:val="center"/>
              <w:rPr>
                <w:rFonts w:ascii="Times New Roman" w:hAnsi="Times New Roman"/>
                <w:highlight w:val="none"/>
              </w:rPr>
            </w:pPr>
          </w:p>
        </w:tc>
        <w:tc>
          <w:tcPr>
            <w:tcW w:w="1403" w:type="dxa"/>
            <w:tcBorders>
              <w:top w:val="single" w:color="auto" w:sz="4" w:space="0"/>
              <w:left w:val="single" w:color="auto" w:sz="4" w:space="0"/>
              <w:bottom w:val="single" w:color="auto" w:sz="4" w:space="0"/>
              <w:right w:val="single" w:color="auto" w:sz="4" w:space="0"/>
            </w:tcBorders>
            <w:vAlign w:val="center"/>
          </w:tcPr>
          <w:p w14:paraId="7A95993F">
            <w:pPr>
              <w:pStyle w:val="4"/>
              <w:spacing w:line="600" w:lineRule="exact"/>
              <w:ind w:left="5250"/>
              <w:jc w:val="center"/>
              <w:rPr>
                <w:rFonts w:ascii="Times New Roman" w:hAnsi="Times New Roman"/>
                <w:highlight w:val="none"/>
              </w:rPr>
            </w:pPr>
          </w:p>
        </w:tc>
      </w:tr>
      <w:tr w14:paraId="2E92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0AD5FCB5">
            <w:pPr>
              <w:pStyle w:val="4"/>
              <w:spacing w:line="600" w:lineRule="exact"/>
              <w:ind w:left="5250"/>
              <w:rPr>
                <w:rFonts w:ascii="Times New Roman" w:hAnsi="Times New Roman"/>
                <w:highlight w:val="none"/>
              </w:rPr>
            </w:pPr>
          </w:p>
        </w:tc>
        <w:tc>
          <w:tcPr>
            <w:tcW w:w="2261" w:type="dxa"/>
            <w:tcBorders>
              <w:top w:val="single" w:color="auto" w:sz="4" w:space="0"/>
              <w:left w:val="single" w:color="auto" w:sz="4" w:space="0"/>
              <w:bottom w:val="single" w:color="auto" w:sz="4" w:space="0"/>
              <w:right w:val="single" w:color="auto" w:sz="4" w:space="0"/>
            </w:tcBorders>
          </w:tcPr>
          <w:p w14:paraId="5D6C463F">
            <w:pPr>
              <w:pStyle w:val="4"/>
              <w:spacing w:line="600" w:lineRule="exact"/>
              <w:ind w:left="5250"/>
              <w:rPr>
                <w:rFonts w:ascii="Times New Roman" w:hAnsi="Times New Roman"/>
                <w:highlight w:val="none"/>
              </w:rPr>
            </w:pPr>
          </w:p>
        </w:tc>
        <w:tc>
          <w:tcPr>
            <w:tcW w:w="2296" w:type="dxa"/>
            <w:tcBorders>
              <w:top w:val="single" w:color="auto" w:sz="4" w:space="0"/>
              <w:left w:val="single" w:color="auto" w:sz="4" w:space="0"/>
              <w:bottom w:val="single" w:color="auto" w:sz="4" w:space="0"/>
              <w:right w:val="single" w:color="auto" w:sz="4" w:space="0"/>
            </w:tcBorders>
          </w:tcPr>
          <w:p w14:paraId="37846474">
            <w:pPr>
              <w:pStyle w:val="4"/>
              <w:spacing w:line="600" w:lineRule="exact"/>
              <w:ind w:left="5250"/>
              <w:rPr>
                <w:rFonts w:ascii="Times New Roman" w:hAnsi="Times New Roman"/>
                <w:highlight w:val="none"/>
              </w:rPr>
            </w:pPr>
          </w:p>
        </w:tc>
        <w:tc>
          <w:tcPr>
            <w:tcW w:w="2388" w:type="dxa"/>
            <w:tcBorders>
              <w:top w:val="single" w:color="auto" w:sz="4" w:space="0"/>
              <w:left w:val="single" w:color="auto" w:sz="4" w:space="0"/>
              <w:bottom w:val="single" w:color="auto" w:sz="4" w:space="0"/>
              <w:right w:val="single" w:color="auto" w:sz="4" w:space="0"/>
            </w:tcBorders>
          </w:tcPr>
          <w:p w14:paraId="554160C3">
            <w:pPr>
              <w:pStyle w:val="4"/>
              <w:spacing w:line="600" w:lineRule="exact"/>
              <w:ind w:left="5250"/>
              <w:rPr>
                <w:rFonts w:ascii="Times New Roman" w:hAnsi="Times New Roman"/>
                <w:highlight w:val="none"/>
              </w:rPr>
            </w:pPr>
          </w:p>
        </w:tc>
        <w:tc>
          <w:tcPr>
            <w:tcW w:w="1403" w:type="dxa"/>
            <w:tcBorders>
              <w:top w:val="single" w:color="auto" w:sz="4" w:space="0"/>
              <w:left w:val="single" w:color="auto" w:sz="4" w:space="0"/>
              <w:bottom w:val="single" w:color="auto" w:sz="4" w:space="0"/>
              <w:right w:val="single" w:color="auto" w:sz="4" w:space="0"/>
            </w:tcBorders>
          </w:tcPr>
          <w:p w14:paraId="7A2D794C">
            <w:pPr>
              <w:pStyle w:val="4"/>
              <w:spacing w:line="600" w:lineRule="exact"/>
              <w:ind w:left="5250"/>
              <w:rPr>
                <w:rFonts w:ascii="Times New Roman" w:hAnsi="Times New Roman"/>
                <w:highlight w:val="none"/>
              </w:rPr>
            </w:pPr>
          </w:p>
        </w:tc>
      </w:tr>
      <w:tr w14:paraId="02EC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23415CA6">
            <w:pPr>
              <w:pStyle w:val="4"/>
              <w:spacing w:line="600" w:lineRule="exact"/>
              <w:ind w:left="5250"/>
              <w:rPr>
                <w:rFonts w:ascii="Times New Roman" w:hAnsi="Times New Roman"/>
                <w:highlight w:val="none"/>
              </w:rPr>
            </w:pPr>
          </w:p>
        </w:tc>
        <w:tc>
          <w:tcPr>
            <w:tcW w:w="2261" w:type="dxa"/>
            <w:tcBorders>
              <w:top w:val="single" w:color="auto" w:sz="4" w:space="0"/>
              <w:left w:val="single" w:color="auto" w:sz="4" w:space="0"/>
              <w:bottom w:val="single" w:color="auto" w:sz="4" w:space="0"/>
              <w:right w:val="single" w:color="auto" w:sz="4" w:space="0"/>
            </w:tcBorders>
          </w:tcPr>
          <w:p w14:paraId="13498EDE">
            <w:pPr>
              <w:pStyle w:val="4"/>
              <w:spacing w:line="600" w:lineRule="exact"/>
              <w:ind w:left="5250"/>
              <w:rPr>
                <w:rFonts w:ascii="Times New Roman" w:hAnsi="Times New Roman"/>
                <w:highlight w:val="none"/>
              </w:rPr>
            </w:pPr>
          </w:p>
        </w:tc>
        <w:tc>
          <w:tcPr>
            <w:tcW w:w="2296" w:type="dxa"/>
            <w:tcBorders>
              <w:top w:val="single" w:color="auto" w:sz="4" w:space="0"/>
              <w:left w:val="single" w:color="auto" w:sz="4" w:space="0"/>
              <w:bottom w:val="single" w:color="auto" w:sz="4" w:space="0"/>
              <w:right w:val="single" w:color="auto" w:sz="4" w:space="0"/>
            </w:tcBorders>
          </w:tcPr>
          <w:p w14:paraId="29907DC1">
            <w:pPr>
              <w:pStyle w:val="4"/>
              <w:spacing w:line="600" w:lineRule="exact"/>
              <w:ind w:left="5250"/>
              <w:rPr>
                <w:rFonts w:ascii="Times New Roman" w:hAnsi="Times New Roman"/>
                <w:highlight w:val="none"/>
              </w:rPr>
            </w:pPr>
          </w:p>
        </w:tc>
        <w:tc>
          <w:tcPr>
            <w:tcW w:w="2388" w:type="dxa"/>
            <w:tcBorders>
              <w:top w:val="single" w:color="auto" w:sz="4" w:space="0"/>
              <w:left w:val="single" w:color="auto" w:sz="4" w:space="0"/>
              <w:bottom w:val="single" w:color="auto" w:sz="4" w:space="0"/>
              <w:right w:val="single" w:color="auto" w:sz="4" w:space="0"/>
            </w:tcBorders>
          </w:tcPr>
          <w:p w14:paraId="0E5CA952">
            <w:pPr>
              <w:pStyle w:val="4"/>
              <w:spacing w:line="600" w:lineRule="exact"/>
              <w:ind w:left="5250"/>
              <w:rPr>
                <w:rFonts w:ascii="Times New Roman" w:hAnsi="Times New Roman"/>
                <w:highlight w:val="none"/>
              </w:rPr>
            </w:pPr>
          </w:p>
        </w:tc>
        <w:tc>
          <w:tcPr>
            <w:tcW w:w="1403" w:type="dxa"/>
            <w:tcBorders>
              <w:top w:val="single" w:color="auto" w:sz="4" w:space="0"/>
              <w:left w:val="single" w:color="auto" w:sz="4" w:space="0"/>
              <w:bottom w:val="single" w:color="auto" w:sz="4" w:space="0"/>
              <w:right w:val="single" w:color="auto" w:sz="4" w:space="0"/>
            </w:tcBorders>
          </w:tcPr>
          <w:p w14:paraId="7AC5D0E9">
            <w:pPr>
              <w:pStyle w:val="4"/>
              <w:spacing w:line="600" w:lineRule="exact"/>
              <w:ind w:left="5250"/>
              <w:rPr>
                <w:rFonts w:ascii="Times New Roman" w:hAnsi="Times New Roman"/>
                <w:highlight w:val="none"/>
              </w:rPr>
            </w:pPr>
          </w:p>
        </w:tc>
      </w:tr>
      <w:tr w14:paraId="5920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7EB66E1D">
            <w:pPr>
              <w:pStyle w:val="4"/>
              <w:spacing w:line="600" w:lineRule="exact"/>
              <w:ind w:left="5250"/>
              <w:rPr>
                <w:rFonts w:ascii="Times New Roman" w:hAnsi="Times New Roman"/>
                <w:highlight w:val="none"/>
              </w:rPr>
            </w:pPr>
          </w:p>
        </w:tc>
        <w:tc>
          <w:tcPr>
            <w:tcW w:w="2261" w:type="dxa"/>
            <w:tcBorders>
              <w:top w:val="single" w:color="auto" w:sz="4" w:space="0"/>
              <w:left w:val="single" w:color="auto" w:sz="4" w:space="0"/>
              <w:bottom w:val="single" w:color="auto" w:sz="4" w:space="0"/>
              <w:right w:val="single" w:color="auto" w:sz="4" w:space="0"/>
            </w:tcBorders>
          </w:tcPr>
          <w:p w14:paraId="7D7540C4">
            <w:pPr>
              <w:pStyle w:val="4"/>
              <w:spacing w:line="600" w:lineRule="exact"/>
              <w:ind w:left="5250"/>
              <w:rPr>
                <w:rFonts w:ascii="Times New Roman" w:hAnsi="Times New Roman"/>
                <w:highlight w:val="none"/>
              </w:rPr>
            </w:pPr>
          </w:p>
        </w:tc>
        <w:tc>
          <w:tcPr>
            <w:tcW w:w="2296" w:type="dxa"/>
            <w:tcBorders>
              <w:top w:val="single" w:color="auto" w:sz="4" w:space="0"/>
              <w:left w:val="single" w:color="auto" w:sz="4" w:space="0"/>
              <w:bottom w:val="single" w:color="auto" w:sz="4" w:space="0"/>
              <w:right w:val="single" w:color="auto" w:sz="4" w:space="0"/>
            </w:tcBorders>
          </w:tcPr>
          <w:p w14:paraId="158E203A">
            <w:pPr>
              <w:pStyle w:val="4"/>
              <w:spacing w:line="600" w:lineRule="exact"/>
              <w:ind w:left="5250"/>
              <w:rPr>
                <w:rFonts w:ascii="Times New Roman" w:hAnsi="Times New Roman"/>
                <w:highlight w:val="none"/>
              </w:rPr>
            </w:pPr>
          </w:p>
        </w:tc>
        <w:tc>
          <w:tcPr>
            <w:tcW w:w="2388" w:type="dxa"/>
            <w:tcBorders>
              <w:top w:val="single" w:color="auto" w:sz="4" w:space="0"/>
              <w:left w:val="single" w:color="auto" w:sz="4" w:space="0"/>
              <w:bottom w:val="single" w:color="auto" w:sz="4" w:space="0"/>
              <w:right w:val="single" w:color="auto" w:sz="4" w:space="0"/>
            </w:tcBorders>
          </w:tcPr>
          <w:p w14:paraId="2B7361DF">
            <w:pPr>
              <w:pStyle w:val="4"/>
              <w:spacing w:line="600" w:lineRule="exact"/>
              <w:ind w:left="5250"/>
              <w:rPr>
                <w:rFonts w:ascii="Times New Roman" w:hAnsi="Times New Roman"/>
                <w:highlight w:val="none"/>
              </w:rPr>
            </w:pPr>
          </w:p>
        </w:tc>
        <w:tc>
          <w:tcPr>
            <w:tcW w:w="1403" w:type="dxa"/>
            <w:tcBorders>
              <w:top w:val="single" w:color="auto" w:sz="4" w:space="0"/>
              <w:left w:val="single" w:color="auto" w:sz="4" w:space="0"/>
              <w:bottom w:val="single" w:color="auto" w:sz="4" w:space="0"/>
              <w:right w:val="single" w:color="auto" w:sz="4" w:space="0"/>
            </w:tcBorders>
          </w:tcPr>
          <w:p w14:paraId="42A67E67">
            <w:pPr>
              <w:pStyle w:val="4"/>
              <w:spacing w:line="600" w:lineRule="exact"/>
              <w:ind w:left="5250"/>
              <w:rPr>
                <w:rFonts w:ascii="Times New Roman" w:hAnsi="Times New Roman"/>
                <w:highlight w:val="none"/>
              </w:rPr>
            </w:pPr>
          </w:p>
        </w:tc>
      </w:tr>
      <w:tr w14:paraId="1544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3734D30C">
            <w:pPr>
              <w:pStyle w:val="4"/>
              <w:spacing w:line="600" w:lineRule="exact"/>
              <w:ind w:left="5250"/>
              <w:rPr>
                <w:rFonts w:ascii="Times New Roman" w:hAnsi="Times New Roman"/>
                <w:highlight w:val="none"/>
              </w:rPr>
            </w:pPr>
          </w:p>
        </w:tc>
        <w:tc>
          <w:tcPr>
            <w:tcW w:w="2261" w:type="dxa"/>
            <w:tcBorders>
              <w:top w:val="single" w:color="auto" w:sz="4" w:space="0"/>
              <w:left w:val="single" w:color="auto" w:sz="4" w:space="0"/>
              <w:bottom w:val="single" w:color="auto" w:sz="4" w:space="0"/>
              <w:right w:val="single" w:color="auto" w:sz="4" w:space="0"/>
            </w:tcBorders>
          </w:tcPr>
          <w:p w14:paraId="5D867D3B">
            <w:pPr>
              <w:pStyle w:val="4"/>
              <w:spacing w:line="600" w:lineRule="exact"/>
              <w:ind w:left="5250"/>
              <w:rPr>
                <w:rFonts w:ascii="Times New Roman" w:hAnsi="Times New Roman"/>
                <w:highlight w:val="none"/>
              </w:rPr>
            </w:pPr>
          </w:p>
        </w:tc>
        <w:tc>
          <w:tcPr>
            <w:tcW w:w="2296" w:type="dxa"/>
            <w:tcBorders>
              <w:top w:val="single" w:color="auto" w:sz="4" w:space="0"/>
              <w:left w:val="single" w:color="auto" w:sz="4" w:space="0"/>
              <w:bottom w:val="single" w:color="auto" w:sz="4" w:space="0"/>
              <w:right w:val="single" w:color="auto" w:sz="4" w:space="0"/>
            </w:tcBorders>
          </w:tcPr>
          <w:p w14:paraId="5E7B9D90">
            <w:pPr>
              <w:pStyle w:val="4"/>
              <w:spacing w:line="600" w:lineRule="exact"/>
              <w:ind w:left="5250"/>
              <w:rPr>
                <w:rFonts w:ascii="Times New Roman" w:hAnsi="Times New Roman"/>
                <w:highlight w:val="none"/>
              </w:rPr>
            </w:pPr>
          </w:p>
        </w:tc>
        <w:tc>
          <w:tcPr>
            <w:tcW w:w="2388" w:type="dxa"/>
            <w:tcBorders>
              <w:top w:val="single" w:color="auto" w:sz="4" w:space="0"/>
              <w:left w:val="single" w:color="auto" w:sz="4" w:space="0"/>
              <w:bottom w:val="single" w:color="auto" w:sz="4" w:space="0"/>
              <w:right w:val="single" w:color="auto" w:sz="4" w:space="0"/>
            </w:tcBorders>
          </w:tcPr>
          <w:p w14:paraId="20EF596C">
            <w:pPr>
              <w:pStyle w:val="4"/>
              <w:spacing w:line="600" w:lineRule="exact"/>
              <w:ind w:left="5250"/>
              <w:rPr>
                <w:rFonts w:ascii="Times New Roman" w:hAnsi="Times New Roman"/>
                <w:highlight w:val="none"/>
              </w:rPr>
            </w:pPr>
          </w:p>
        </w:tc>
        <w:tc>
          <w:tcPr>
            <w:tcW w:w="1403" w:type="dxa"/>
            <w:tcBorders>
              <w:top w:val="single" w:color="auto" w:sz="4" w:space="0"/>
              <w:left w:val="single" w:color="auto" w:sz="4" w:space="0"/>
              <w:bottom w:val="single" w:color="auto" w:sz="4" w:space="0"/>
              <w:right w:val="single" w:color="auto" w:sz="4" w:space="0"/>
            </w:tcBorders>
          </w:tcPr>
          <w:p w14:paraId="7C8F3508">
            <w:pPr>
              <w:pStyle w:val="4"/>
              <w:spacing w:line="600" w:lineRule="exact"/>
              <w:ind w:left="5250"/>
              <w:rPr>
                <w:rFonts w:ascii="Times New Roman" w:hAnsi="Times New Roman"/>
                <w:highlight w:val="none"/>
              </w:rPr>
            </w:pPr>
          </w:p>
        </w:tc>
      </w:tr>
    </w:tbl>
    <w:p w14:paraId="745048CD">
      <w:pPr>
        <w:snapToGrid w:val="0"/>
        <w:spacing w:before="50" w:after="156" w:afterLines="50" w:line="360" w:lineRule="exact"/>
        <w:jc w:val="left"/>
        <w:rPr>
          <w:rFonts w:ascii="宋体" w:hAnsi="宋体"/>
          <w:szCs w:val="21"/>
          <w:highlight w:val="none"/>
          <w:u w:val="single"/>
        </w:rPr>
      </w:pPr>
    </w:p>
    <w:p w14:paraId="1260CDD3">
      <w:pPr>
        <w:pStyle w:val="7"/>
        <w:spacing w:line="360" w:lineRule="exact"/>
        <w:rPr>
          <w:rFonts w:ascii="宋体" w:hAnsi="宋体"/>
          <w:sz w:val="21"/>
          <w:szCs w:val="21"/>
          <w:highlight w:val="none"/>
        </w:rPr>
      </w:pPr>
      <w:r>
        <w:rPr>
          <w:rFonts w:hint="eastAsia" w:ascii="宋体" w:hAnsi="宋体"/>
          <w:sz w:val="21"/>
          <w:szCs w:val="21"/>
          <w:highlight w:val="none"/>
        </w:rPr>
        <w:t>注：</w:t>
      </w:r>
      <w:r>
        <w:rPr>
          <w:rFonts w:hint="eastAsia" w:ascii="宋体" w:hAnsi="宋体"/>
          <w:sz w:val="21"/>
          <w:szCs w:val="21"/>
          <w:highlight w:val="none"/>
          <w:lang w:eastAsia="zh-CN"/>
        </w:rPr>
        <w:t>供应商</w:t>
      </w:r>
      <w:r>
        <w:rPr>
          <w:rFonts w:hint="eastAsia" w:ascii="宋体" w:hAnsi="宋体"/>
          <w:sz w:val="21"/>
          <w:szCs w:val="21"/>
          <w:highlight w:val="none"/>
        </w:rPr>
        <w:t>应根据投标设备的性能指标、对照</w:t>
      </w:r>
      <w:r>
        <w:rPr>
          <w:rFonts w:hint="eastAsia" w:ascii="宋体" w:hAnsi="宋体"/>
          <w:sz w:val="21"/>
          <w:szCs w:val="21"/>
          <w:highlight w:val="none"/>
          <w:lang w:val="en-US" w:eastAsia="zh-CN"/>
        </w:rPr>
        <w:t>采购需求</w:t>
      </w:r>
      <w:r>
        <w:rPr>
          <w:rFonts w:hint="eastAsia" w:ascii="宋体" w:hAnsi="宋体"/>
          <w:sz w:val="21"/>
          <w:szCs w:val="21"/>
          <w:highlight w:val="none"/>
        </w:rPr>
        <w:t>在技术响应表中详细列明招标要求及投标设备技术规格的响应情况，并填写“</w:t>
      </w:r>
      <w:r>
        <w:rPr>
          <w:rFonts w:hint="eastAsia"/>
          <w:highlight w:val="none"/>
        </w:rPr>
        <w:t>偏离说明”。</w:t>
      </w:r>
      <w:r>
        <w:rPr>
          <w:rFonts w:hint="eastAsia" w:ascii="宋体" w:hAnsi="宋体"/>
          <w:sz w:val="21"/>
          <w:szCs w:val="21"/>
          <w:highlight w:val="none"/>
        </w:rPr>
        <w:t>“偏离</w:t>
      </w:r>
      <w:r>
        <w:rPr>
          <w:rFonts w:hint="eastAsia"/>
          <w:highlight w:val="none"/>
        </w:rPr>
        <w:t>说明</w:t>
      </w:r>
      <w:r>
        <w:rPr>
          <w:rFonts w:hint="eastAsia" w:ascii="宋体" w:hAnsi="宋体"/>
          <w:sz w:val="21"/>
          <w:szCs w:val="21"/>
          <w:highlight w:val="none"/>
        </w:rPr>
        <w:t>”栏注明“正偏离”、“负偏离”或“无偏离”。投标技术规格与招标要求相同的为无偏离，投标技术规格高于招标要求的为正偏离，低于招标要求的为负偏离。</w:t>
      </w:r>
    </w:p>
    <w:p w14:paraId="07959BB8">
      <w:pPr>
        <w:snapToGrid w:val="0"/>
        <w:spacing w:before="50" w:after="50" w:line="360" w:lineRule="exact"/>
        <w:rPr>
          <w:rFonts w:ascii="宋体" w:hAnsi="宋体"/>
          <w:spacing w:val="20"/>
          <w:szCs w:val="21"/>
          <w:highlight w:val="none"/>
        </w:rPr>
      </w:pPr>
    </w:p>
    <w:p w14:paraId="2D0A8EA5">
      <w:pPr>
        <w:snapToGrid w:val="0"/>
        <w:spacing w:before="50" w:after="50" w:line="360" w:lineRule="exact"/>
        <w:rPr>
          <w:rFonts w:ascii="宋体" w:hAnsi="宋体"/>
          <w:spacing w:val="20"/>
          <w:szCs w:val="21"/>
          <w:highlight w:val="none"/>
          <w:u w:val="single"/>
        </w:rPr>
      </w:pPr>
      <w:r>
        <w:rPr>
          <w:rFonts w:hint="eastAsia" w:ascii="宋体" w:hAnsi="宋体"/>
          <w:szCs w:val="21"/>
          <w:highlight w:val="none"/>
        </w:rPr>
        <w:t>法定代表人或委托代理人签字（或签章）</w:t>
      </w:r>
      <w:r>
        <w:rPr>
          <w:rFonts w:hint="eastAsia" w:ascii="宋体" w:hAnsi="宋体"/>
          <w:spacing w:val="20"/>
          <w:szCs w:val="21"/>
          <w:highlight w:val="none"/>
        </w:rPr>
        <w:t>：</w:t>
      </w:r>
      <w:r>
        <w:rPr>
          <w:rFonts w:hint="eastAsia" w:ascii="宋体" w:hAnsi="宋体"/>
          <w:spacing w:val="20"/>
          <w:szCs w:val="21"/>
          <w:highlight w:val="none"/>
          <w:u w:val="single"/>
        </w:rPr>
        <w:t xml:space="preserve">        </w:t>
      </w:r>
    </w:p>
    <w:p w14:paraId="23A8898A">
      <w:pPr>
        <w:snapToGrid w:val="0"/>
        <w:spacing w:before="50" w:after="50" w:line="360" w:lineRule="exact"/>
        <w:rPr>
          <w:rFonts w:ascii="宋体" w:hAnsi="宋体"/>
          <w:spacing w:val="20"/>
          <w:szCs w:val="21"/>
          <w:highlight w:val="none"/>
          <w:u w:val="single"/>
        </w:rPr>
      </w:pPr>
      <w:r>
        <w:rPr>
          <w:rFonts w:hint="eastAsia" w:ascii="宋体" w:hAnsi="宋体"/>
          <w:spacing w:val="20"/>
          <w:szCs w:val="21"/>
          <w:highlight w:val="none"/>
          <w:lang w:eastAsia="zh-CN"/>
        </w:rPr>
        <w:t>供应商</w:t>
      </w:r>
      <w:r>
        <w:rPr>
          <w:rFonts w:hint="eastAsia" w:ascii="宋体" w:hAnsi="宋体"/>
          <w:spacing w:val="20"/>
          <w:szCs w:val="21"/>
          <w:highlight w:val="none"/>
        </w:rPr>
        <w:t>盖章：</w:t>
      </w:r>
      <w:r>
        <w:rPr>
          <w:rFonts w:hint="eastAsia" w:ascii="宋体" w:hAnsi="宋体"/>
          <w:spacing w:val="20"/>
          <w:szCs w:val="21"/>
          <w:highlight w:val="none"/>
          <w:u w:val="single"/>
        </w:rPr>
        <w:t xml:space="preserve">            </w:t>
      </w:r>
      <w:r>
        <w:rPr>
          <w:rFonts w:hint="eastAsia" w:ascii="宋体" w:hAnsi="宋体"/>
          <w:spacing w:val="20"/>
          <w:szCs w:val="21"/>
          <w:highlight w:val="none"/>
        </w:rPr>
        <w:t xml:space="preserve">              日 期：</w:t>
      </w:r>
      <w:r>
        <w:rPr>
          <w:rFonts w:hint="eastAsia" w:ascii="宋体" w:hAnsi="宋体"/>
          <w:spacing w:val="20"/>
          <w:szCs w:val="21"/>
          <w:highlight w:val="none"/>
          <w:u w:val="single"/>
        </w:rPr>
        <w:t xml:space="preserve">            </w:t>
      </w:r>
    </w:p>
    <w:p w14:paraId="0FBA9C39">
      <w:pPr>
        <w:pStyle w:val="4"/>
        <w:jc w:val="center"/>
        <w:rPr>
          <w:highlight w:val="none"/>
        </w:rPr>
      </w:pPr>
    </w:p>
    <w:p w14:paraId="4287F000">
      <w:pPr>
        <w:snapToGrid w:val="0"/>
        <w:spacing w:before="50" w:after="156" w:afterLines="50" w:line="360" w:lineRule="exact"/>
        <w:jc w:val="left"/>
        <w:rPr>
          <w:rFonts w:ascii="宋体" w:hAnsi="宋体"/>
          <w:szCs w:val="21"/>
          <w:highlight w:val="none"/>
        </w:rPr>
      </w:pPr>
      <w:r>
        <w:rPr>
          <w:rFonts w:hint="eastAsia" w:ascii="宋体" w:hAnsi="宋体"/>
          <w:szCs w:val="21"/>
          <w:highlight w:val="none"/>
        </w:rPr>
        <w:t>设备配置清单格式：</w:t>
      </w:r>
    </w:p>
    <w:tbl>
      <w:tblPr>
        <w:tblStyle w:val="1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2"/>
        <w:gridCol w:w="1443"/>
        <w:gridCol w:w="839"/>
        <w:gridCol w:w="1498"/>
        <w:gridCol w:w="1620"/>
        <w:gridCol w:w="1809"/>
        <w:gridCol w:w="912"/>
      </w:tblGrid>
      <w:tr w14:paraId="154F92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0231A0AA">
            <w:pPr>
              <w:snapToGrid w:val="0"/>
              <w:spacing w:before="50" w:after="50" w:line="360" w:lineRule="exact"/>
              <w:jc w:val="center"/>
              <w:rPr>
                <w:rFonts w:ascii="宋体" w:hAnsi="宋体"/>
                <w:szCs w:val="21"/>
                <w:highlight w:val="none"/>
              </w:rPr>
            </w:pPr>
            <w:r>
              <w:rPr>
                <w:rFonts w:hint="eastAsia" w:ascii="宋体" w:hAnsi="宋体"/>
                <w:szCs w:val="21"/>
                <w:highlight w:val="none"/>
              </w:rPr>
              <w:t>序号</w:t>
            </w:r>
          </w:p>
        </w:tc>
        <w:tc>
          <w:tcPr>
            <w:tcW w:w="1443" w:type="dxa"/>
            <w:tcBorders>
              <w:top w:val="single" w:color="auto" w:sz="4" w:space="0"/>
              <w:left w:val="single" w:color="auto" w:sz="4" w:space="0"/>
              <w:bottom w:val="single" w:color="auto" w:sz="4" w:space="0"/>
              <w:right w:val="single" w:color="auto" w:sz="4" w:space="0"/>
            </w:tcBorders>
            <w:vAlign w:val="center"/>
          </w:tcPr>
          <w:p w14:paraId="3679AA35">
            <w:pPr>
              <w:snapToGrid w:val="0"/>
              <w:spacing w:before="50" w:after="50" w:line="360" w:lineRule="exact"/>
              <w:jc w:val="center"/>
              <w:rPr>
                <w:rFonts w:ascii="宋体" w:hAnsi="宋体"/>
                <w:szCs w:val="21"/>
                <w:highlight w:val="none"/>
              </w:rPr>
            </w:pPr>
            <w:r>
              <w:rPr>
                <w:rFonts w:hint="eastAsia" w:ascii="宋体" w:hAnsi="宋体"/>
                <w:szCs w:val="21"/>
                <w:highlight w:val="none"/>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14:paraId="16AA6420">
            <w:pPr>
              <w:snapToGrid w:val="0"/>
              <w:spacing w:before="50" w:after="50" w:line="360" w:lineRule="exact"/>
              <w:jc w:val="center"/>
              <w:rPr>
                <w:rFonts w:ascii="宋体" w:hAnsi="宋体"/>
                <w:szCs w:val="21"/>
                <w:highlight w:val="none"/>
              </w:rPr>
            </w:pPr>
            <w:r>
              <w:rPr>
                <w:rFonts w:hint="eastAsia" w:ascii="宋体" w:hAnsi="宋体"/>
                <w:szCs w:val="21"/>
                <w:highlight w:val="none"/>
              </w:rPr>
              <w:t>品牌</w:t>
            </w:r>
          </w:p>
        </w:tc>
        <w:tc>
          <w:tcPr>
            <w:tcW w:w="1498" w:type="dxa"/>
            <w:tcBorders>
              <w:top w:val="single" w:color="auto" w:sz="4" w:space="0"/>
              <w:left w:val="single" w:color="auto" w:sz="4" w:space="0"/>
              <w:bottom w:val="single" w:color="auto" w:sz="4" w:space="0"/>
              <w:right w:val="single" w:color="auto" w:sz="4" w:space="0"/>
            </w:tcBorders>
            <w:vAlign w:val="center"/>
          </w:tcPr>
          <w:p w14:paraId="6F0BA7C9">
            <w:pPr>
              <w:snapToGrid w:val="0"/>
              <w:spacing w:before="50" w:after="50" w:line="360" w:lineRule="exact"/>
              <w:jc w:val="center"/>
              <w:rPr>
                <w:rFonts w:ascii="宋体" w:hAnsi="宋体"/>
                <w:szCs w:val="21"/>
                <w:highlight w:val="none"/>
              </w:rPr>
            </w:pPr>
            <w:r>
              <w:rPr>
                <w:rFonts w:hint="eastAsia" w:ascii="宋体" w:hAnsi="宋体"/>
                <w:szCs w:val="21"/>
                <w:highlight w:val="none"/>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14:paraId="12FF124E">
            <w:pPr>
              <w:snapToGrid w:val="0"/>
              <w:spacing w:before="50" w:after="50" w:line="360" w:lineRule="exact"/>
              <w:jc w:val="center"/>
              <w:rPr>
                <w:rFonts w:ascii="宋体" w:hAnsi="宋体"/>
                <w:szCs w:val="21"/>
                <w:highlight w:val="none"/>
              </w:rPr>
            </w:pPr>
            <w:r>
              <w:rPr>
                <w:rFonts w:hint="eastAsia" w:ascii="宋体" w:hAnsi="宋体"/>
                <w:szCs w:val="21"/>
                <w:highlight w:val="none"/>
              </w:rPr>
              <w:t>单位及数量</w:t>
            </w:r>
          </w:p>
        </w:tc>
        <w:tc>
          <w:tcPr>
            <w:tcW w:w="1809" w:type="dxa"/>
            <w:tcBorders>
              <w:top w:val="single" w:color="auto" w:sz="4" w:space="0"/>
              <w:left w:val="single" w:color="auto" w:sz="4" w:space="0"/>
              <w:bottom w:val="single" w:color="auto" w:sz="4" w:space="0"/>
              <w:right w:val="single" w:color="auto" w:sz="4" w:space="0"/>
            </w:tcBorders>
            <w:vAlign w:val="center"/>
          </w:tcPr>
          <w:p w14:paraId="272B199D">
            <w:pPr>
              <w:snapToGrid w:val="0"/>
              <w:spacing w:before="50" w:after="50" w:line="360" w:lineRule="exact"/>
              <w:jc w:val="center"/>
              <w:rPr>
                <w:rFonts w:ascii="宋体" w:hAnsi="宋体"/>
                <w:szCs w:val="21"/>
                <w:highlight w:val="none"/>
              </w:rPr>
            </w:pPr>
            <w:r>
              <w:rPr>
                <w:rFonts w:hint="eastAsia" w:ascii="宋体" w:hAnsi="宋体"/>
                <w:szCs w:val="21"/>
                <w:highlight w:val="none"/>
              </w:rPr>
              <w:t>性能及指标</w:t>
            </w:r>
          </w:p>
        </w:tc>
        <w:tc>
          <w:tcPr>
            <w:tcW w:w="912" w:type="dxa"/>
            <w:tcBorders>
              <w:top w:val="single" w:color="auto" w:sz="4" w:space="0"/>
              <w:left w:val="single" w:color="auto" w:sz="4" w:space="0"/>
              <w:bottom w:val="single" w:color="auto" w:sz="4" w:space="0"/>
              <w:right w:val="single" w:color="auto" w:sz="4" w:space="0"/>
            </w:tcBorders>
            <w:vAlign w:val="center"/>
          </w:tcPr>
          <w:p w14:paraId="22D805C1">
            <w:pPr>
              <w:snapToGrid w:val="0"/>
              <w:spacing w:before="50" w:after="50" w:line="360" w:lineRule="exact"/>
              <w:jc w:val="center"/>
              <w:rPr>
                <w:rFonts w:ascii="宋体" w:hAnsi="宋体"/>
                <w:szCs w:val="21"/>
                <w:highlight w:val="none"/>
              </w:rPr>
            </w:pPr>
            <w:r>
              <w:rPr>
                <w:rFonts w:hint="eastAsia" w:ascii="宋体" w:hAnsi="宋体"/>
                <w:szCs w:val="21"/>
                <w:highlight w:val="none"/>
              </w:rPr>
              <w:t>产地</w:t>
            </w:r>
          </w:p>
        </w:tc>
      </w:tr>
      <w:tr w14:paraId="5873BB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2E1CB65B">
            <w:pPr>
              <w:snapToGrid w:val="0"/>
              <w:spacing w:before="50" w:after="50" w:line="360" w:lineRule="exact"/>
              <w:jc w:val="center"/>
              <w:rPr>
                <w:rFonts w:ascii="宋体" w:hAnsi="宋体"/>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14:paraId="5BAD4CF3">
            <w:pPr>
              <w:snapToGrid w:val="0"/>
              <w:spacing w:before="50" w:after="50" w:line="360" w:lineRule="exact"/>
              <w:jc w:val="center"/>
              <w:rPr>
                <w:rFonts w:ascii="宋体" w:hAnsi="宋体"/>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4131EEBF">
            <w:pPr>
              <w:snapToGrid w:val="0"/>
              <w:spacing w:before="50" w:after="50" w:line="360" w:lineRule="exact"/>
              <w:jc w:val="center"/>
              <w:rPr>
                <w:rFonts w:ascii="宋体" w:hAnsi="宋体"/>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14:paraId="3E338CEC">
            <w:pPr>
              <w:snapToGrid w:val="0"/>
              <w:spacing w:before="50" w:after="50" w:line="360" w:lineRule="exact"/>
              <w:jc w:val="center"/>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1BB8193C">
            <w:pPr>
              <w:snapToGrid w:val="0"/>
              <w:spacing w:before="50" w:after="50" w:line="360" w:lineRule="exact"/>
              <w:jc w:val="center"/>
              <w:rPr>
                <w:rFonts w:ascii="宋体" w:hAnsi="宋体"/>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14:paraId="20C92B62">
            <w:pPr>
              <w:snapToGrid w:val="0"/>
              <w:spacing w:before="50" w:after="50" w:line="360" w:lineRule="exact"/>
              <w:jc w:val="center"/>
              <w:rPr>
                <w:rFonts w:ascii="宋体" w:hAnsi="宋体"/>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14:paraId="46EA8258">
            <w:pPr>
              <w:snapToGrid w:val="0"/>
              <w:spacing w:before="50" w:after="50" w:line="360" w:lineRule="exact"/>
              <w:jc w:val="center"/>
              <w:rPr>
                <w:rFonts w:ascii="宋体" w:hAnsi="宋体"/>
                <w:szCs w:val="21"/>
                <w:highlight w:val="none"/>
              </w:rPr>
            </w:pPr>
          </w:p>
        </w:tc>
      </w:tr>
      <w:tr w14:paraId="10D132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69A28358">
            <w:pPr>
              <w:snapToGrid w:val="0"/>
              <w:spacing w:before="50" w:after="50" w:line="360" w:lineRule="exact"/>
              <w:jc w:val="center"/>
              <w:rPr>
                <w:rFonts w:ascii="宋体" w:hAnsi="宋体"/>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14:paraId="1359E4D6">
            <w:pPr>
              <w:snapToGrid w:val="0"/>
              <w:spacing w:before="50" w:after="50" w:line="360" w:lineRule="exact"/>
              <w:jc w:val="center"/>
              <w:rPr>
                <w:rFonts w:ascii="宋体" w:hAnsi="宋体"/>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110EBF04">
            <w:pPr>
              <w:snapToGrid w:val="0"/>
              <w:spacing w:before="50" w:after="50" w:line="360" w:lineRule="exact"/>
              <w:jc w:val="center"/>
              <w:rPr>
                <w:rFonts w:ascii="宋体" w:hAnsi="宋体"/>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14:paraId="40F962BD">
            <w:pPr>
              <w:snapToGrid w:val="0"/>
              <w:spacing w:before="50" w:after="50" w:line="360" w:lineRule="exact"/>
              <w:jc w:val="center"/>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67DB8A05">
            <w:pPr>
              <w:snapToGrid w:val="0"/>
              <w:spacing w:before="50" w:after="50" w:line="360" w:lineRule="exact"/>
              <w:jc w:val="center"/>
              <w:rPr>
                <w:rFonts w:ascii="宋体" w:hAnsi="宋体"/>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14:paraId="24BC6457">
            <w:pPr>
              <w:snapToGrid w:val="0"/>
              <w:spacing w:before="50" w:after="50" w:line="360" w:lineRule="exact"/>
              <w:jc w:val="center"/>
              <w:rPr>
                <w:rFonts w:ascii="宋体" w:hAnsi="宋体"/>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14:paraId="74520F1E">
            <w:pPr>
              <w:snapToGrid w:val="0"/>
              <w:spacing w:before="50" w:after="50" w:line="360" w:lineRule="exact"/>
              <w:jc w:val="center"/>
              <w:rPr>
                <w:rFonts w:ascii="宋体" w:hAnsi="宋体"/>
                <w:szCs w:val="21"/>
                <w:highlight w:val="none"/>
              </w:rPr>
            </w:pPr>
          </w:p>
        </w:tc>
      </w:tr>
    </w:tbl>
    <w:p w14:paraId="1C28BD53">
      <w:pPr>
        <w:snapToGrid w:val="0"/>
        <w:spacing w:before="50" w:after="50" w:line="360" w:lineRule="exact"/>
        <w:rPr>
          <w:rFonts w:ascii="宋体" w:hAnsi="宋体"/>
          <w:spacing w:val="20"/>
          <w:szCs w:val="21"/>
          <w:highlight w:val="none"/>
          <w:u w:val="single"/>
        </w:rPr>
      </w:pPr>
      <w:r>
        <w:rPr>
          <w:rFonts w:hint="eastAsia" w:ascii="宋体" w:hAnsi="宋体"/>
          <w:szCs w:val="21"/>
          <w:highlight w:val="none"/>
        </w:rPr>
        <w:t>法定代表人或委托代理人签字（或签章）</w:t>
      </w:r>
      <w:r>
        <w:rPr>
          <w:rFonts w:hint="eastAsia" w:ascii="宋体" w:hAnsi="宋体"/>
          <w:spacing w:val="20"/>
          <w:szCs w:val="21"/>
          <w:highlight w:val="none"/>
        </w:rPr>
        <w:t>：</w:t>
      </w:r>
      <w:r>
        <w:rPr>
          <w:rFonts w:hint="eastAsia" w:ascii="宋体" w:hAnsi="宋体"/>
          <w:spacing w:val="20"/>
          <w:szCs w:val="21"/>
          <w:highlight w:val="none"/>
          <w:u w:val="single"/>
        </w:rPr>
        <w:t xml:space="preserve">         </w:t>
      </w:r>
    </w:p>
    <w:p w14:paraId="7B2DBE4F">
      <w:pPr>
        <w:snapToGrid w:val="0"/>
        <w:spacing w:before="50" w:after="156" w:afterLines="50" w:line="360" w:lineRule="exact"/>
        <w:jc w:val="left"/>
        <w:rPr>
          <w:rFonts w:ascii="宋体" w:hAnsi="宋体"/>
          <w:spacing w:val="20"/>
          <w:szCs w:val="21"/>
          <w:highlight w:val="none"/>
          <w:u w:val="single"/>
        </w:rPr>
      </w:pPr>
      <w:r>
        <w:rPr>
          <w:rFonts w:hint="eastAsia" w:ascii="宋体" w:hAnsi="宋体"/>
          <w:spacing w:val="20"/>
          <w:szCs w:val="21"/>
          <w:highlight w:val="none"/>
          <w:lang w:eastAsia="zh-CN"/>
        </w:rPr>
        <w:t>供应商</w:t>
      </w:r>
      <w:r>
        <w:rPr>
          <w:rFonts w:hint="eastAsia" w:ascii="宋体" w:hAnsi="宋体"/>
          <w:spacing w:val="20"/>
          <w:szCs w:val="21"/>
          <w:highlight w:val="none"/>
        </w:rPr>
        <w:t>盖章：</w:t>
      </w:r>
      <w:r>
        <w:rPr>
          <w:rFonts w:hint="eastAsia" w:ascii="宋体" w:hAnsi="宋体"/>
          <w:spacing w:val="20"/>
          <w:szCs w:val="21"/>
          <w:highlight w:val="none"/>
          <w:u w:val="single"/>
        </w:rPr>
        <w:t xml:space="preserve">            </w:t>
      </w:r>
      <w:r>
        <w:rPr>
          <w:rFonts w:hint="eastAsia" w:ascii="宋体" w:hAnsi="宋体"/>
          <w:spacing w:val="20"/>
          <w:szCs w:val="21"/>
          <w:highlight w:val="none"/>
        </w:rPr>
        <w:t xml:space="preserve">              日  期：</w:t>
      </w:r>
      <w:r>
        <w:rPr>
          <w:rFonts w:hint="eastAsia" w:ascii="宋体" w:hAnsi="宋体"/>
          <w:spacing w:val="20"/>
          <w:szCs w:val="21"/>
          <w:highlight w:val="none"/>
          <w:u w:val="single"/>
        </w:rPr>
        <w:t xml:space="preserve">          </w:t>
      </w:r>
    </w:p>
    <w:p w14:paraId="233DF30E">
      <w:pPr>
        <w:snapToGrid w:val="0"/>
        <w:spacing w:before="50" w:after="156" w:afterLines="50" w:line="360" w:lineRule="exact"/>
        <w:jc w:val="left"/>
        <w:rPr>
          <w:rFonts w:ascii="宋体" w:hAnsi="宋体"/>
          <w:szCs w:val="21"/>
          <w:highlight w:val="none"/>
        </w:rPr>
      </w:pPr>
      <w:r>
        <w:rPr>
          <w:rFonts w:hint="eastAsia" w:ascii="宋体" w:hAnsi="宋体"/>
          <w:szCs w:val="21"/>
          <w:highlight w:val="none"/>
        </w:rPr>
        <w:t>非</w:t>
      </w:r>
      <w:r>
        <w:rPr>
          <w:rFonts w:hint="eastAsia" w:ascii="宋体" w:hAnsi="宋体"/>
          <w:szCs w:val="21"/>
          <w:highlight w:val="none"/>
          <w:lang w:val="en-US" w:eastAsia="zh-CN"/>
        </w:rPr>
        <w:t>采购需求</w:t>
      </w:r>
      <w:r>
        <w:rPr>
          <w:rFonts w:hint="eastAsia" w:ascii="宋体" w:hAnsi="宋体"/>
          <w:szCs w:val="21"/>
          <w:highlight w:val="none"/>
        </w:rPr>
        <w:t>必须要求时可附：①原厂出厂配置表及原厂中文使用说明书（格式自拟）</w:t>
      </w:r>
    </w:p>
    <w:p w14:paraId="32396F17">
      <w:pPr>
        <w:snapToGrid w:val="0"/>
        <w:spacing w:before="50" w:after="156" w:afterLines="50" w:line="360" w:lineRule="exact"/>
        <w:jc w:val="left"/>
        <w:rPr>
          <w:rFonts w:ascii="宋体" w:hAnsi="宋体"/>
          <w:szCs w:val="21"/>
          <w:highlight w:val="none"/>
        </w:rPr>
      </w:pPr>
      <w:r>
        <w:rPr>
          <w:rFonts w:hint="eastAsia" w:ascii="宋体" w:hAnsi="宋体"/>
          <w:szCs w:val="21"/>
          <w:highlight w:val="none"/>
        </w:rPr>
        <w:t>②产品出厂标准、质量检测报告及精度检测报告或数据（格式自拟）</w:t>
      </w:r>
    </w:p>
    <w:p w14:paraId="533AB27B">
      <w:pPr>
        <w:snapToGrid w:val="0"/>
        <w:spacing w:before="50" w:line="360" w:lineRule="exact"/>
        <w:jc w:val="left"/>
        <w:rPr>
          <w:rFonts w:hint="default" w:ascii="宋体" w:hAnsi="宋体"/>
          <w:b/>
          <w:szCs w:val="21"/>
          <w:highlight w:val="none"/>
          <w:lang w:val="en-US" w:eastAsia="zh-CN"/>
        </w:rPr>
      </w:pPr>
    </w:p>
    <w:p w14:paraId="26CF24B4">
      <w:pPr>
        <w:snapToGrid w:val="0"/>
        <w:spacing w:before="50" w:line="360" w:lineRule="exact"/>
        <w:jc w:val="left"/>
        <w:rPr>
          <w:rFonts w:hint="default" w:ascii="宋体" w:hAnsi="宋体" w:eastAsiaTheme="minorEastAsia"/>
          <w:b/>
          <w:szCs w:val="21"/>
          <w:highlight w:val="none"/>
          <w:lang w:val="en-US" w:eastAsia="zh-CN"/>
        </w:rPr>
      </w:pPr>
      <w:r>
        <w:rPr>
          <w:rFonts w:hint="eastAsia" w:ascii="宋体" w:hAnsi="宋体"/>
          <w:b/>
          <w:szCs w:val="21"/>
          <w:highlight w:val="none"/>
          <w:lang w:val="en-US" w:eastAsia="zh-CN"/>
        </w:rPr>
        <w:t>商务响应偏离表</w:t>
      </w:r>
    </w:p>
    <w:tbl>
      <w:tblPr>
        <w:tblStyle w:val="13"/>
        <w:tblW w:w="879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2708"/>
        <w:gridCol w:w="2432"/>
        <w:gridCol w:w="2111"/>
      </w:tblGrid>
      <w:tr w14:paraId="67A0AD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48" w:type="dxa"/>
            <w:tcBorders>
              <w:top w:val="single" w:color="auto" w:sz="4" w:space="0"/>
              <w:left w:val="single" w:color="auto" w:sz="4" w:space="0"/>
              <w:bottom w:val="single" w:color="auto" w:sz="4" w:space="0"/>
              <w:right w:val="single" w:color="auto" w:sz="4" w:space="0"/>
            </w:tcBorders>
          </w:tcPr>
          <w:p w14:paraId="1CB9C0C5">
            <w:pPr>
              <w:snapToGrid w:val="0"/>
              <w:spacing w:before="156" w:beforeLines="50" w:line="360" w:lineRule="exact"/>
              <w:jc w:val="center"/>
              <w:rPr>
                <w:rFonts w:ascii="宋体" w:hAnsi="宋体"/>
                <w:szCs w:val="21"/>
                <w:highlight w:val="none"/>
              </w:rPr>
            </w:pPr>
            <w:r>
              <w:rPr>
                <w:rFonts w:hint="eastAsia" w:ascii="宋体" w:hAnsi="宋体"/>
                <w:szCs w:val="21"/>
                <w:highlight w:val="none"/>
              </w:rPr>
              <w:t>项号</w:t>
            </w:r>
          </w:p>
        </w:tc>
        <w:tc>
          <w:tcPr>
            <w:tcW w:w="2708" w:type="dxa"/>
            <w:tcBorders>
              <w:top w:val="single" w:color="auto" w:sz="4" w:space="0"/>
              <w:left w:val="single" w:color="auto" w:sz="4" w:space="0"/>
              <w:bottom w:val="single" w:color="auto" w:sz="4" w:space="0"/>
              <w:right w:val="single" w:color="auto" w:sz="4" w:space="0"/>
            </w:tcBorders>
          </w:tcPr>
          <w:p w14:paraId="42D4CE22">
            <w:pPr>
              <w:snapToGrid w:val="0"/>
              <w:spacing w:before="156" w:beforeLines="50" w:line="360" w:lineRule="exact"/>
              <w:jc w:val="center"/>
              <w:rPr>
                <w:rFonts w:ascii="宋体" w:hAnsi="宋体"/>
                <w:szCs w:val="21"/>
                <w:highlight w:val="none"/>
              </w:rPr>
            </w:pPr>
            <w:r>
              <w:rPr>
                <w:rFonts w:hint="eastAsia" w:ascii="宋体" w:hAnsi="宋体"/>
                <w:szCs w:val="21"/>
                <w:highlight w:val="none"/>
                <w:lang w:val="en-US" w:eastAsia="zh-CN"/>
              </w:rPr>
              <w:t>采购需求</w:t>
            </w:r>
            <w:r>
              <w:rPr>
                <w:rFonts w:hint="eastAsia" w:ascii="宋体" w:hAnsi="宋体"/>
                <w:szCs w:val="21"/>
                <w:highlight w:val="none"/>
              </w:rPr>
              <w:t>要求</w:t>
            </w:r>
          </w:p>
        </w:tc>
        <w:tc>
          <w:tcPr>
            <w:tcW w:w="2432" w:type="dxa"/>
            <w:tcBorders>
              <w:top w:val="single" w:color="auto" w:sz="4" w:space="0"/>
              <w:left w:val="single" w:color="auto" w:sz="4" w:space="0"/>
              <w:bottom w:val="single" w:color="auto" w:sz="4" w:space="0"/>
              <w:right w:val="single" w:color="auto" w:sz="4" w:space="0"/>
            </w:tcBorders>
          </w:tcPr>
          <w:p w14:paraId="162F8C7A">
            <w:pPr>
              <w:snapToGrid w:val="0"/>
              <w:spacing w:before="156" w:beforeLines="50" w:line="360" w:lineRule="exact"/>
              <w:jc w:val="center"/>
              <w:rPr>
                <w:rFonts w:ascii="宋体" w:hAnsi="宋体"/>
                <w:szCs w:val="21"/>
                <w:highlight w:val="none"/>
              </w:rPr>
            </w:pPr>
            <w:r>
              <w:rPr>
                <w:rFonts w:hint="eastAsia" w:ascii="宋体" w:hAnsi="宋体"/>
                <w:szCs w:val="21"/>
                <w:highlight w:val="none"/>
              </w:rPr>
              <w:t>是否提供并响应</w:t>
            </w:r>
          </w:p>
        </w:tc>
        <w:tc>
          <w:tcPr>
            <w:tcW w:w="2111" w:type="dxa"/>
            <w:tcBorders>
              <w:top w:val="single" w:color="auto" w:sz="4" w:space="0"/>
              <w:left w:val="single" w:color="auto" w:sz="4" w:space="0"/>
              <w:bottom w:val="single" w:color="auto" w:sz="4" w:space="0"/>
              <w:right w:val="single" w:color="auto" w:sz="4" w:space="0"/>
            </w:tcBorders>
          </w:tcPr>
          <w:p w14:paraId="32D0D865">
            <w:pPr>
              <w:snapToGrid w:val="0"/>
              <w:spacing w:before="156" w:beforeLines="50" w:line="360" w:lineRule="exact"/>
              <w:jc w:val="center"/>
              <w:rPr>
                <w:rFonts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的承诺或说明</w:t>
            </w:r>
          </w:p>
        </w:tc>
      </w:tr>
      <w:tr w14:paraId="2028D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14:paraId="67F39FCA">
            <w:pPr>
              <w:snapToGrid w:val="0"/>
              <w:jc w:val="center"/>
              <w:rPr>
                <w:rFonts w:ascii="宋体" w:hAnsi="宋体"/>
                <w:szCs w:val="21"/>
                <w:highlight w:val="none"/>
              </w:rPr>
            </w:pPr>
            <w:r>
              <w:rPr>
                <w:rFonts w:hint="eastAsia" w:ascii="宋体" w:hAnsi="宋体"/>
                <w:szCs w:val="21"/>
                <w:highlight w:val="none"/>
              </w:rPr>
              <w:t>1</w:t>
            </w:r>
          </w:p>
        </w:tc>
        <w:tc>
          <w:tcPr>
            <w:tcW w:w="2708" w:type="dxa"/>
            <w:tcBorders>
              <w:top w:val="single" w:color="auto" w:sz="4" w:space="0"/>
              <w:left w:val="single" w:color="auto" w:sz="4" w:space="0"/>
              <w:bottom w:val="single" w:color="auto" w:sz="4" w:space="0"/>
              <w:right w:val="single" w:color="auto" w:sz="4" w:space="0"/>
            </w:tcBorders>
            <w:vAlign w:val="center"/>
          </w:tcPr>
          <w:p w14:paraId="13654D96">
            <w:pPr>
              <w:snapToGrid w:val="0"/>
              <w:jc w:val="center"/>
              <w:rPr>
                <w:rFonts w:ascii="宋体" w:hAnsi="宋体"/>
                <w:szCs w:val="21"/>
                <w:highlight w:val="none"/>
              </w:rPr>
            </w:pPr>
          </w:p>
        </w:tc>
        <w:tc>
          <w:tcPr>
            <w:tcW w:w="2432" w:type="dxa"/>
            <w:tcBorders>
              <w:top w:val="single" w:color="auto" w:sz="4" w:space="0"/>
              <w:left w:val="single" w:color="auto" w:sz="4" w:space="0"/>
              <w:bottom w:val="single" w:color="auto" w:sz="4" w:space="0"/>
              <w:right w:val="single" w:color="auto" w:sz="4" w:space="0"/>
            </w:tcBorders>
            <w:vAlign w:val="center"/>
          </w:tcPr>
          <w:p w14:paraId="5E9F8F84">
            <w:pPr>
              <w:snapToGrid w:val="0"/>
              <w:ind w:firstLine="315" w:firstLineChars="150"/>
              <w:rPr>
                <w:rFonts w:ascii="宋体" w:hAnsi="宋体"/>
                <w:szCs w:val="21"/>
                <w:highlight w:val="none"/>
              </w:rPr>
            </w:pPr>
          </w:p>
        </w:tc>
        <w:tc>
          <w:tcPr>
            <w:tcW w:w="2111" w:type="dxa"/>
            <w:tcBorders>
              <w:top w:val="single" w:color="auto" w:sz="4" w:space="0"/>
              <w:left w:val="single" w:color="auto" w:sz="4" w:space="0"/>
              <w:bottom w:val="single" w:color="auto" w:sz="4" w:space="0"/>
              <w:right w:val="single" w:color="auto" w:sz="4" w:space="0"/>
            </w:tcBorders>
            <w:vAlign w:val="center"/>
          </w:tcPr>
          <w:p w14:paraId="5F44C59A">
            <w:pPr>
              <w:snapToGrid w:val="0"/>
              <w:rPr>
                <w:rFonts w:ascii="宋体" w:hAnsi="宋体"/>
                <w:szCs w:val="21"/>
                <w:highlight w:val="none"/>
              </w:rPr>
            </w:pPr>
          </w:p>
        </w:tc>
      </w:tr>
      <w:tr w14:paraId="4D073A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14:paraId="089E60A1">
            <w:pPr>
              <w:snapToGrid w:val="0"/>
              <w:jc w:val="center"/>
              <w:rPr>
                <w:rFonts w:ascii="宋体" w:hAnsi="宋体" w:cs="宋体"/>
                <w:kern w:val="0"/>
                <w:szCs w:val="21"/>
                <w:highlight w:val="none"/>
              </w:rPr>
            </w:pPr>
            <w:r>
              <w:rPr>
                <w:rFonts w:hint="eastAsia" w:ascii="宋体" w:hAnsi="宋体" w:cs="宋体"/>
                <w:kern w:val="0"/>
                <w:szCs w:val="21"/>
                <w:highlight w:val="none"/>
              </w:rPr>
              <w:t>2</w:t>
            </w:r>
          </w:p>
        </w:tc>
        <w:tc>
          <w:tcPr>
            <w:tcW w:w="2708" w:type="dxa"/>
            <w:tcBorders>
              <w:top w:val="single" w:color="auto" w:sz="4" w:space="0"/>
              <w:left w:val="single" w:color="auto" w:sz="4" w:space="0"/>
              <w:bottom w:val="single" w:color="auto" w:sz="4" w:space="0"/>
              <w:right w:val="single" w:color="auto" w:sz="4" w:space="0"/>
            </w:tcBorders>
            <w:vAlign w:val="center"/>
          </w:tcPr>
          <w:p w14:paraId="04EBC817">
            <w:pPr>
              <w:snapToGrid w:val="0"/>
              <w:jc w:val="center"/>
              <w:rPr>
                <w:rFonts w:ascii="宋体" w:hAnsi="宋体"/>
                <w:szCs w:val="21"/>
                <w:highlight w:val="none"/>
              </w:rPr>
            </w:pPr>
          </w:p>
        </w:tc>
        <w:tc>
          <w:tcPr>
            <w:tcW w:w="2432" w:type="dxa"/>
            <w:tcBorders>
              <w:top w:val="single" w:color="auto" w:sz="4" w:space="0"/>
              <w:left w:val="single" w:color="auto" w:sz="4" w:space="0"/>
              <w:bottom w:val="single" w:color="auto" w:sz="4" w:space="0"/>
              <w:right w:val="single" w:color="auto" w:sz="4" w:space="0"/>
            </w:tcBorders>
            <w:vAlign w:val="center"/>
          </w:tcPr>
          <w:p w14:paraId="1C89C717">
            <w:pPr>
              <w:snapToGrid w:val="0"/>
              <w:rPr>
                <w:rFonts w:ascii="宋体" w:hAnsi="宋体"/>
                <w:szCs w:val="21"/>
                <w:highlight w:val="none"/>
              </w:rPr>
            </w:pPr>
          </w:p>
        </w:tc>
        <w:tc>
          <w:tcPr>
            <w:tcW w:w="2111" w:type="dxa"/>
            <w:tcBorders>
              <w:top w:val="single" w:color="auto" w:sz="4" w:space="0"/>
              <w:left w:val="single" w:color="auto" w:sz="4" w:space="0"/>
              <w:bottom w:val="single" w:color="auto" w:sz="4" w:space="0"/>
              <w:right w:val="single" w:color="auto" w:sz="4" w:space="0"/>
            </w:tcBorders>
            <w:vAlign w:val="center"/>
          </w:tcPr>
          <w:p w14:paraId="1ADF6705">
            <w:pPr>
              <w:snapToGrid w:val="0"/>
              <w:rPr>
                <w:rFonts w:ascii="宋体" w:hAnsi="宋体"/>
                <w:szCs w:val="21"/>
                <w:highlight w:val="none"/>
              </w:rPr>
            </w:pPr>
          </w:p>
        </w:tc>
      </w:tr>
      <w:tr w14:paraId="07C026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14:paraId="1BF9D5E9">
            <w:pPr>
              <w:snapToGrid w:val="0"/>
              <w:jc w:val="center"/>
              <w:rPr>
                <w:rFonts w:ascii="宋体" w:hAnsi="宋体" w:cs="宋体"/>
                <w:kern w:val="0"/>
                <w:szCs w:val="21"/>
                <w:highlight w:val="none"/>
              </w:rPr>
            </w:pPr>
            <w:r>
              <w:rPr>
                <w:rFonts w:hint="eastAsia" w:ascii="宋体" w:hAnsi="宋体" w:cs="宋体"/>
                <w:kern w:val="0"/>
                <w:szCs w:val="21"/>
                <w:highlight w:val="none"/>
              </w:rPr>
              <w:t>3</w:t>
            </w:r>
          </w:p>
        </w:tc>
        <w:tc>
          <w:tcPr>
            <w:tcW w:w="2708" w:type="dxa"/>
            <w:tcBorders>
              <w:top w:val="single" w:color="auto" w:sz="4" w:space="0"/>
              <w:left w:val="single" w:color="auto" w:sz="4" w:space="0"/>
              <w:bottom w:val="single" w:color="auto" w:sz="4" w:space="0"/>
              <w:right w:val="single" w:color="auto" w:sz="4" w:space="0"/>
            </w:tcBorders>
            <w:vAlign w:val="center"/>
          </w:tcPr>
          <w:p w14:paraId="0BF05A48">
            <w:pPr>
              <w:snapToGrid w:val="0"/>
              <w:jc w:val="center"/>
              <w:rPr>
                <w:rFonts w:ascii="宋体" w:hAnsi="宋体"/>
                <w:szCs w:val="21"/>
                <w:highlight w:val="none"/>
              </w:rPr>
            </w:pPr>
          </w:p>
        </w:tc>
        <w:tc>
          <w:tcPr>
            <w:tcW w:w="2432" w:type="dxa"/>
            <w:tcBorders>
              <w:top w:val="single" w:color="auto" w:sz="4" w:space="0"/>
              <w:left w:val="single" w:color="auto" w:sz="4" w:space="0"/>
              <w:bottom w:val="single" w:color="auto" w:sz="4" w:space="0"/>
              <w:right w:val="single" w:color="auto" w:sz="4" w:space="0"/>
            </w:tcBorders>
            <w:vAlign w:val="center"/>
          </w:tcPr>
          <w:p w14:paraId="5E12A4C7">
            <w:pPr>
              <w:snapToGrid w:val="0"/>
              <w:ind w:left="43"/>
              <w:rPr>
                <w:rFonts w:ascii="宋体" w:hAnsi="宋体"/>
                <w:szCs w:val="21"/>
                <w:highlight w:val="none"/>
              </w:rPr>
            </w:pPr>
          </w:p>
        </w:tc>
        <w:tc>
          <w:tcPr>
            <w:tcW w:w="2111" w:type="dxa"/>
            <w:tcBorders>
              <w:top w:val="single" w:color="auto" w:sz="4" w:space="0"/>
              <w:left w:val="single" w:color="auto" w:sz="4" w:space="0"/>
              <w:bottom w:val="single" w:color="auto" w:sz="4" w:space="0"/>
              <w:right w:val="single" w:color="auto" w:sz="4" w:space="0"/>
            </w:tcBorders>
            <w:vAlign w:val="center"/>
          </w:tcPr>
          <w:p w14:paraId="42169C2F">
            <w:pPr>
              <w:snapToGrid w:val="0"/>
              <w:ind w:left="43"/>
              <w:rPr>
                <w:rFonts w:ascii="宋体" w:hAnsi="宋体"/>
                <w:szCs w:val="21"/>
                <w:highlight w:val="none"/>
              </w:rPr>
            </w:pPr>
          </w:p>
        </w:tc>
      </w:tr>
      <w:tr w14:paraId="5D59D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14:paraId="749C0D9C">
            <w:pPr>
              <w:snapToGrid w:val="0"/>
              <w:jc w:val="center"/>
              <w:rPr>
                <w:rFonts w:ascii="宋体" w:hAnsi="宋体" w:cs="宋体"/>
                <w:kern w:val="0"/>
                <w:szCs w:val="21"/>
                <w:highlight w:val="none"/>
              </w:rPr>
            </w:pPr>
            <w:r>
              <w:rPr>
                <w:rFonts w:hint="eastAsia" w:ascii="宋体" w:hAnsi="宋体" w:cs="宋体"/>
                <w:kern w:val="0"/>
                <w:szCs w:val="21"/>
                <w:highlight w:val="none"/>
              </w:rPr>
              <w:t>4</w:t>
            </w:r>
          </w:p>
        </w:tc>
        <w:tc>
          <w:tcPr>
            <w:tcW w:w="2708" w:type="dxa"/>
            <w:tcBorders>
              <w:top w:val="single" w:color="auto" w:sz="4" w:space="0"/>
              <w:left w:val="single" w:color="auto" w:sz="4" w:space="0"/>
              <w:bottom w:val="single" w:color="auto" w:sz="4" w:space="0"/>
              <w:right w:val="single" w:color="auto" w:sz="4" w:space="0"/>
            </w:tcBorders>
            <w:vAlign w:val="center"/>
          </w:tcPr>
          <w:p w14:paraId="4B5F02B0">
            <w:pPr>
              <w:snapToGrid w:val="0"/>
              <w:ind w:left="105" w:hanging="105" w:hangingChars="50"/>
              <w:jc w:val="center"/>
              <w:rPr>
                <w:rFonts w:ascii="宋体" w:hAnsi="宋体"/>
                <w:szCs w:val="21"/>
                <w:highlight w:val="none"/>
              </w:rPr>
            </w:pPr>
          </w:p>
        </w:tc>
        <w:tc>
          <w:tcPr>
            <w:tcW w:w="2432" w:type="dxa"/>
            <w:tcBorders>
              <w:top w:val="single" w:color="auto" w:sz="4" w:space="0"/>
              <w:left w:val="single" w:color="auto" w:sz="4" w:space="0"/>
              <w:bottom w:val="single" w:color="auto" w:sz="4" w:space="0"/>
              <w:right w:val="single" w:color="auto" w:sz="4" w:space="0"/>
            </w:tcBorders>
            <w:vAlign w:val="center"/>
          </w:tcPr>
          <w:p w14:paraId="34EBDEA7">
            <w:pPr>
              <w:snapToGrid w:val="0"/>
              <w:rPr>
                <w:rFonts w:ascii="宋体" w:hAnsi="宋体"/>
                <w:szCs w:val="21"/>
                <w:highlight w:val="none"/>
              </w:rPr>
            </w:pPr>
          </w:p>
        </w:tc>
        <w:tc>
          <w:tcPr>
            <w:tcW w:w="2111" w:type="dxa"/>
            <w:tcBorders>
              <w:top w:val="single" w:color="auto" w:sz="4" w:space="0"/>
              <w:left w:val="single" w:color="auto" w:sz="4" w:space="0"/>
              <w:bottom w:val="single" w:color="auto" w:sz="4" w:space="0"/>
              <w:right w:val="single" w:color="auto" w:sz="4" w:space="0"/>
            </w:tcBorders>
            <w:vAlign w:val="center"/>
          </w:tcPr>
          <w:p w14:paraId="068EAA32">
            <w:pPr>
              <w:snapToGrid w:val="0"/>
              <w:rPr>
                <w:rFonts w:ascii="宋体" w:hAnsi="宋体"/>
                <w:szCs w:val="21"/>
                <w:highlight w:val="none"/>
              </w:rPr>
            </w:pPr>
          </w:p>
        </w:tc>
      </w:tr>
      <w:tr w14:paraId="0F3877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14:paraId="7D9B3567">
            <w:pPr>
              <w:snapToGrid w:val="0"/>
              <w:jc w:val="center"/>
              <w:rPr>
                <w:rFonts w:ascii="宋体" w:hAnsi="宋体" w:cs="宋体"/>
                <w:kern w:val="0"/>
                <w:szCs w:val="21"/>
                <w:highlight w:val="none"/>
              </w:rPr>
            </w:pPr>
            <w:r>
              <w:rPr>
                <w:rFonts w:hint="eastAsia" w:ascii="宋体" w:hAnsi="宋体" w:cs="宋体"/>
                <w:kern w:val="0"/>
                <w:szCs w:val="21"/>
                <w:highlight w:val="none"/>
              </w:rPr>
              <w:t>5</w:t>
            </w:r>
          </w:p>
        </w:tc>
        <w:tc>
          <w:tcPr>
            <w:tcW w:w="2708" w:type="dxa"/>
            <w:tcBorders>
              <w:top w:val="single" w:color="auto" w:sz="4" w:space="0"/>
              <w:left w:val="single" w:color="auto" w:sz="4" w:space="0"/>
              <w:bottom w:val="single" w:color="auto" w:sz="4" w:space="0"/>
              <w:right w:val="single" w:color="auto" w:sz="4" w:space="0"/>
            </w:tcBorders>
            <w:vAlign w:val="center"/>
          </w:tcPr>
          <w:p w14:paraId="1F28A316">
            <w:pPr>
              <w:snapToGrid w:val="0"/>
              <w:ind w:left="105" w:hanging="105" w:hangingChars="50"/>
              <w:jc w:val="center"/>
              <w:rPr>
                <w:rFonts w:ascii="宋体" w:hAnsi="宋体"/>
                <w:szCs w:val="21"/>
                <w:highlight w:val="none"/>
              </w:rPr>
            </w:pPr>
          </w:p>
        </w:tc>
        <w:tc>
          <w:tcPr>
            <w:tcW w:w="2432" w:type="dxa"/>
            <w:tcBorders>
              <w:top w:val="single" w:color="auto" w:sz="4" w:space="0"/>
              <w:left w:val="single" w:color="auto" w:sz="4" w:space="0"/>
              <w:bottom w:val="single" w:color="auto" w:sz="4" w:space="0"/>
              <w:right w:val="single" w:color="auto" w:sz="4" w:space="0"/>
            </w:tcBorders>
            <w:vAlign w:val="center"/>
          </w:tcPr>
          <w:p w14:paraId="3684F825">
            <w:pPr>
              <w:snapToGrid w:val="0"/>
              <w:rPr>
                <w:rFonts w:ascii="宋体" w:hAnsi="宋体"/>
                <w:szCs w:val="21"/>
                <w:highlight w:val="none"/>
              </w:rPr>
            </w:pPr>
          </w:p>
        </w:tc>
        <w:tc>
          <w:tcPr>
            <w:tcW w:w="2111" w:type="dxa"/>
            <w:tcBorders>
              <w:top w:val="single" w:color="auto" w:sz="4" w:space="0"/>
              <w:left w:val="single" w:color="auto" w:sz="4" w:space="0"/>
              <w:bottom w:val="single" w:color="auto" w:sz="4" w:space="0"/>
              <w:right w:val="single" w:color="auto" w:sz="4" w:space="0"/>
            </w:tcBorders>
            <w:vAlign w:val="center"/>
          </w:tcPr>
          <w:p w14:paraId="21D702FC">
            <w:pPr>
              <w:snapToGrid w:val="0"/>
              <w:rPr>
                <w:rFonts w:ascii="宋体" w:hAnsi="宋体"/>
                <w:szCs w:val="21"/>
                <w:highlight w:val="none"/>
              </w:rPr>
            </w:pPr>
          </w:p>
        </w:tc>
      </w:tr>
      <w:tr w14:paraId="099A4A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548" w:type="dxa"/>
            <w:tcBorders>
              <w:top w:val="single" w:color="auto" w:sz="4" w:space="0"/>
              <w:left w:val="single" w:color="auto" w:sz="4" w:space="0"/>
              <w:bottom w:val="single" w:color="auto" w:sz="4" w:space="0"/>
              <w:right w:val="single" w:color="auto" w:sz="4" w:space="0"/>
            </w:tcBorders>
            <w:vAlign w:val="center"/>
          </w:tcPr>
          <w:p w14:paraId="3F9A5CDA">
            <w:pPr>
              <w:snapToGrid w:val="0"/>
              <w:jc w:val="center"/>
              <w:rPr>
                <w:rFonts w:ascii="宋体" w:hAnsi="宋体"/>
                <w:szCs w:val="21"/>
                <w:highlight w:val="none"/>
              </w:rPr>
            </w:pPr>
            <w:r>
              <w:rPr>
                <w:rFonts w:hint="eastAsia" w:ascii="宋体" w:hAnsi="宋体"/>
                <w:szCs w:val="21"/>
                <w:highlight w:val="none"/>
              </w:rPr>
              <w:t>…</w:t>
            </w:r>
          </w:p>
        </w:tc>
        <w:tc>
          <w:tcPr>
            <w:tcW w:w="2708" w:type="dxa"/>
            <w:tcBorders>
              <w:top w:val="single" w:color="auto" w:sz="4" w:space="0"/>
              <w:left w:val="single" w:color="auto" w:sz="4" w:space="0"/>
              <w:bottom w:val="single" w:color="auto" w:sz="4" w:space="0"/>
              <w:right w:val="single" w:color="auto" w:sz="4" w:space="0"/>
            </w:tcBorders>
            <w:vAlign w:val="center"/>
          </w:tcPr>
          <w:p w14:paraId="25EE77D7">
            <w:pPr>
              <w:snapToGrid w:val="0"/>
              <w:jc w:val="center"/>
              <w:rPr>
                <w:rFonts w:ascii="宋体" w:hAnsi="宋体"/>
                <w:szCs w:val="21"/>
                <w:highlight w:val="none"/>
              </w:rPr>
            </w:pPr>
            <w:r>
              <w:rPr>
                <w:rFonts w:hint="eastAsia" w:ascii="宋体" w:hAnsi="宋体"/>
                <w:szCs w:val="21"/>
                <w:highlight w:val="none"/>
              </w:rPr>
              <w:t>…</w:t>
            </w:r>
          </w:p>
        </w:tc>
        <w:tc>
          <w:tcPr>
            <w:tcW w:w="2432" w:type="dxa"/>
            <w:tcBorders>
              <w:top w:val="single" w:color="auto" w:sz="4" w:space="0"/>
              <w:left w:val="single" w:color="auto" w:sz="4" w:space="0"/>
              <w:bottom w:val="single" w:color="auto" w:sz="4" w:space="0"/>
              <w:right w:val="single" w:color="auto" w:sz="4" w:space="0"/>
            </w:tcBorders>
            <w:vAlign w:val="center"/>
          </w:tcPr>
          <w:p w14:paraId="7E4EC500">
            <w:pPr>
              <w:snapToGrid w:val="0"/>
              <w:rPr>
                <w:rFonts w:ascii="宋体" w:hAnsi="宋体"/>
                <w:szCs w:val="21"/>
                <w:highlight w:val="none"/>
              </w:rPr>
            </w:pPr>
          </w:p>
        </w:tc>
        <w:tc>
          <w:tcPr>
            <w:tcW w:w="2111" w:type="dxa"/>
            <w:tcBorders>
              <w:top w:val="single" w:color="auto" w:sz="4" w:space="0"/>
              <w:left w:val="single" w:color="auto" w:sz="4" w:space="0"/>
              <w:bottom w:val="single" w:color="auto" w:sz="4" w:space="0"/>
              <w:right w:val="single" w:color="auto" w:sz="4" w:space="0"/>
            </w:tcBorders>
            <w:vAlign w:val="center"/>
          </w:tcPr>
          <w:p w14:paraId="561BA1A6">
            <w:pPr>
              <w:snapToGrid w:val="0"/>
              <w:rPr>
                <w:rFonts w:ascii="宋体" w:hAnsi="宋体"/>
                <w:szCs w:val="21"/>
                <w:highlight w:val="none"/>
              </w:rPr>
            </w:pPr>
          </w:p>
        </w:tc>
      </w:tr>
    </w:tbl>
    <w:p w14:paraId="6A1A422C">
      <w:pPr>
        <w:snapToGrid w:val="0"/>
        <w:spacing w:before="50" w:after="50" w:line="360" w:lineRule="exact"/>
        <w:ind w:firstLine="211" w:firstLineChars="100"/>
        <w:rPr>
          <w:rFonts w:hint="eastAsia" w:ascii="宋体" w:hAnsi="宋体" w:eastAsiaTheme="minorEastAsia" w:cstheme="minorBidi"/>
          <w:b/>
          <w:bCs/>
          <w:i w:val="0"/>
          <w:iCs w:val="0"/>
          <w:caps w:val="0"/>
          <w:spacing w:val="0"/>
          <w:sz w:val="21"/>
          <w:szCs w:val="21"/>
          <w:highlight w:val="none"/>
          <w:shd w:val="clear"/>
          <w:lang w:val="en-US" w:eastAsia="zh-CN"/>
        </w:rPr>
      </w:pPr>
    </w:p>
    <w:p w14:paraId="04152626">
      <w:pPr>
        <w:snapToGrid w:val="0"/>
        <w:spacing w:before="50" w:after="50" w:line="360" w:lineRule="exact"/>
        <w:ind w:firstLine="211" w:firstLineChars="100"/>
        <w:rPr>
          <w:rFonts w:hint="eastAsia" w:ascii="宋体" w:hAnsi="宋体" w:eastAsiaTheme="minorEastAsia" w:cstheme="minorBidi"/>
          <w:b/>
          <w:bCs/>
          <w:i w:val="0"/>
          <w:iCs w:val="0"/>
          <w:caps w:val="0"/>
          <w:spacing w:val="0"/>
          <w:sz w:val="21"/>
          <w:szCs w:val="21"/>
          <w:highlight w:val="none"/>
          <w:shd w:val="clear"/>
          <w:lang w:val="en-US" w:eastAsia="zh-CN"/>
        </w:rPr>
      </w:pPr>
      <w:r>
        <w:rPr>
          <w:rFonts w:hint="eastAsia" w:ascii="宋体" w:hAnsi="宋体" w:eastAsiaTheme="minorEastAsia" w:cstheme="minorBidi"/>
          <w:b/>
          <w:bCs/>
          <w:i w:val="0"/>
          <w:iCs w:val="0"/>
          <w:caps w:val="0"/>
          <w:spacing w:val="0"/>
          <w:sz w:val="21"/>
          <w:szCs w:val="21"/>
          <w:highlight w:val="none"/>
          <w:shd w:val="clear"/>
          <w:lang w:val="en-US" w:eastAsia="zh-CN"/>
        </w:rPr>
        <w:t>注：</w:t>
      </w:r>
    </w:p>
    <w:p w14:paraId="1568891F">
      <w:pPr>
        <w:snapToGrid w:val="0"/>
        <w:spacing w:before="50" w:after="50" w:line="360" w:lineRule="exact"/>
        <w:ind w:firstLine="211" w:firstLineChars="100"/>
        <w:rPr>
          <w:rFonts w:hint="eastAsia" w:ascii="宋体" w:hAnsi="宋体" w:eastAsiaTheme="minorEastAsia" w:cstheme="minorBidi"/>
          <w:b/>
          <w:bCs/>
          <w:i w:val="0"/>
          <w:iCs w:val="0"/>
          <w:caps w:val="0"/>
          <w:spacing w:val="0"/>
          <w:sz w:val="21"/>
          <w:szCs w:val="21"/>
          <w:highlight w:val="none"/>
          <w:shd w:val="clear"/>
        </w:rPr>
      </w:pPr>
      <w:r>
        <w:rPr>
          <w:rFonts w:hint="eastAsia" w:ascii="宋体" w:hAnsi="宋体" w:eastAsiaTheme="minorEastAsia" w:cstheme="minorBidi"/>
          <w:b/>
          <w:bCs/>
          <w:i w:val="0"/>
          <w:iCs w:val="0"/>
          <w:caps w:val="0"/>
          <w:spacing w:val="0"/>
          <w:sz w:val="21"/>
          <w:szCs w:val="21"/>
          <w:highlight w:val="none"/>
          <w:shd w:val="clear"/>
          <w:lang w:val="en-US" w:eastAsia="zh-CN"/>
        </w:rPr>
        <w:t>1.</w:t>
      </w:r>
      <w:r>
        <w:rPr>
          <w:rFonts w:hint="eastAsia" w:ascii="宋体" w:hAnsi="宋体" w:eastAsiaTheme="minorEastAsia" w:cstheme="minorBidi"/>
          <w:b/>
          <w:bCs/>
          <w:i w:val="0"/>
          <w:iCs w:val="0"/>
          <w:caps w:val="0"/>
          <w:spacing w:val="0"/>
          <w:sz w:val="21"/>
          <w:szCs w:val="21"/>
          <w:highlight w:val="none"/>
          <w:shd w:val="clear"/>
        </w:rPr>
        <w:t>供应商须在“响应情况”栏中逐项填写具体内容。涉及质保期的，必须填写明确的具体年限（如“整机质保3年”“关键零部件质保3年”），不得填写“不低于2年”“不低于3年”“满足采购文件要求”“符合采购文件要求”等模糊表述。</w:t>
      </w:r>
    </w:p>
    <w:p w14:paraId="52CD0FAA">
      <w:pPr>
        <w:snapToGrid w:val="0"/>
        <w:spacing w:before="50" w:after="50" w:line="360" w:lineRule="exact"/>
        <w:ind w:firstLine="211" w:firstLineChars="100"/>
        <w:rPr>
          <w:rFonts w:hint="eastAsia" w:ascii="宋体" w:hAnsi="宋体" w:eastAsiaTheme="minorEastAsia"/>
          <w:b/>
          <w:bCs/>
          <w:spacing w:val="0"/>
          <w:szCs w:val="21"/>
          <w:highlight w:val="none"/>
          <w:lang w:eastAsia="zh-CN"/>
        </w:rPr>
      </w:pPr>
      <w:r>
        <w:rPr>
          <w:rFonts w:hint="eastAsia" w:ascii="宋体" w:hAnsi="宋体" w:eastAsiaTheme="minorEastAsia" w:cstheme="minorBidi"/>
          <w:b/>
          <w:bCs/>
          <w:i w:val="0"/>
          <w:iCs w:val="0"/>
          <w:caps w:val="0"/>
          <w:spacing w:val="0"/>
          <w:sz w:val="21"/>
          <w:szCs w:val="21"/>
          <w:highlight w:val="none"/>
          <w:shd w:val="clear"/>
          <w:lang w:val="en-US" w:eastAsia="zh-CN"/>
        </w:rPr>
        <w:t>2.</w:t>
      </w:r>
      <w:r>
        <w:rPr>
          <w:rFonts w:hint="eastAsia" w:ascii="宋体" w:hAnsi="宋体" w:eastAsiaTheme="minorEastAsia" w:cstheme="minorBidi"/>
          <w:b/>
          <w:bCs/>
          <w:i w:val="0"/>
          <w:iCs w:val="0"/>
          <w:caps w:val="0"/>
          <w:spacing w:val="0"/>
          <w:sz w:val="21"/>
          <w:szCs w:val="21"/>
          <w:highlight w:val="none"/>
          <w:shd w:val="clear"/>
        </w:rPr>
        <w:t>供应商未填写具体质保年限，或仅填写“不低于”“满足要求”等未明确具体年限的，或承诺年限低于采购文件要求的，视为未实质性响应，竞价无效</w:t>
      </w:r>
      <w:r>
        <w:rPr>
          <w:rFonts w:hint="eastAsia" w:ascii="宋体" w:hAnsi="宋体" w:eastAsiaTheme="minorEastAsia" w:cstheme="minorBidi"/>
          <w:b/>
          <w:bCs/>
          <w:i w:val="0"/>
          <w:iCs w:val="0"/>
          <w:caps w:val="0"/>
          <w:spacing w:val="0"/>
          <w:sz w:val="21"/>
          <w:szCs w:val="21"/>
          <w:highlight w:val="none"/>
          <w:shd w:val="clear"/>
          <w:lang w:eastAsia="zh-CN"/>
        </w:rPr>
        <w:t>。</w:t>
      </w:r>
    </w:p>
    <w:p w14:paraId="736B5AAC">
      <w:pPr>
        <w:snapToGrid w:val="0"/>
        <w:spacing w:before="50" w:after="50" w:line="360" w:lineRule="exact"/>
        <w:ind w:firstLine="210" w:firstLineChars="100"/>
        <w:rPr>
          <w:rFonts w:ascii="宋体" w:hAnsi="宋体"/>
          <w:spacing w:val="20"/>
          <w:szCs w:val="21"/>
          <w:highlight w:val="none"/>
          <w:u w:val="single"/>
        </w:rPr>
      </w:pPr>
      <w:r>
        <w:rPr>
          <w:rFonts w:hint="eastAsia" w:ascii="宋体" w:hAnsi="宋体"/>
          <w:szCs w:val="21"/>
          <w:highlight w:val="none"/>
        </w:rPr>
        <w:t>法定代表人或委托代理人签字（或签章）</w:t>
      </w:r>
      <w:r>
        <w:rPr>
          <w:rFonts w:hint="eastAsia" w:ascii="宋体" w:hAnsi="宋体"/>
          <w:spacing w:val="20"/>
          <w:szCs w:val="21"/>
          <w:highlight w:val="none"/>
        </w:rPr>
        <w:t>：</w:t>
      </w:r>
      <w:r>
        <w:rPr>
          <w:rFonts w:hint="eastAsia" w:ascii="宋体" w:hAnsi="宋体"/>
          <w:spacing w:val="20"/>
          <w:szCs w:val="21"/>
          <w:highlight w:val="none"/>
          <w:u w:val="single"/>
        </w:rPr>
        <w:t xml:space="preserve">        </w:t>
      </w:r>
    </w:p>
    <w:p w14:paraId="7C53F8D2">
      <w:pPr>
        <w:snapToGrid w:val="0"/>
        <w:spacing w:line="360" w:lineRule="exact"/>
        <w:ind w:firstLine="245" w:firstLineChars="98"/>
        <w:jc w:val="left"/>
        <w:rPr>
          <w:rFonts w:ascii="宋体" w:hAnsi="宋体"/>
          <w:b/>
          <w:szCs w:val="21"/>
          <w:highlight w:val="none"/>
        </w:rPr>
      </w:pPr>
      <w:r>
        <w:rPr>
          <w:rFonts w:hint="eastAsia" w:ascii="宋体" w:hAnsi="宋体"/>
          <w:spacing w:val="20"/>
          <w:szCs w:val="21"/>
          <w:highlight w:val="none"/>
          <w:lang w:eastAsia="zh-CN"/>
        </w:rPr>
        <w:t>供应商</w:t>
      </w:r>
      <w:r>
        <w:rPr>
          <w:rFonts w:hint="eastAsia" w:ascii="宋体" w:hAnsi="宋体"/>
          <w:spacing w:val="20"/>
          <w:szCs w:val="21"/>
          <w:highlight w:val="none"/>
        </w:rPr>
        <w:t>盖章：</w:t>
      </w:r>
      <w:r>
        <w:rPr>
          <w:rFonts w:hint="eastAsia" w:ascii="宋体" w:hAnsi="宋体"/>
          <w:spacing w:val="20"/>
          <w:szCs w:val="21"/>
          <w:highlight w:val="none"/>
          <w:u w:val="single"/>
        </w:rPr>
        <w:t xml:space="preserve">            </w:t>
      </w:r>
      <w:r>
        <w:rPr>
          <w:rFonts w:hint="eastAsia" w:ascii="宋体" w:hAnsi="宋体"/>
          <w:spacing w:val="20"/>
          <w:szCs w:val="21"/>
          <w:highlight w:val="none"/>
        </w:rPr>
        <w:t xml:space="preserve">              日 期：</w:t>
      </w:r>
      <w:r>
        <w:rPr>
          <w:rFonts w:hint="eastAsia" w:ascii="宋体" w:hAnsi="宋体"/>
          <w:spacing w:val="20"/>
          <w:szCs w:val="21"/>
          <w:highlight w:val="none"/>
          <w:u w:val="single"/>
        </w:rPr>
        <w:t xml:space="preserve">          </w:t>
      </w:r>
    </w:p>
    <w:p w14:paraId="477D28B7">
      <w:pPr>
        <w:rPr>
          <w:rFonts w:hint="eastAsia" w:ascii="宋体" w:hAnsi="宋体"/>
          <w:b/>
          <w:szCs w:val="21"/>
          <w:highlight w:val="none"/>
        </w:rPr>
      </w:pPr>
      <w:r>
        <w:rPr>
          <w:rFonts w:hint="eastAsia" w:ascii="宋体" w:hAnsi="宋体"/>
          <w:b/>
          <w:szCs w:val="21"/>
          <w:highlight w:val="none"/>
        </w:rPr>
        <w:br w:type="page"/>
      </w:r>
    </w:p>
    <w:p w14:paraId="6C3755E3">
      <w:pPr>
        <w:snapToGrid w:val="0"/>
        <w:spacing w:line="360" w:lineRule="exact"/>
        <w:jc w:val="left"/>
        <w:rPr>
          <w:rFonts w:ascii="宋体" w:hAnsi="宋体"/>
          <w:b/>
          <w:szCs w:val="21"/>
          <w:highlight w:val="none"/>
        </w:rPr>
      </w:pPr>
      <w:r>
        <w:rPr>
          <w:rFonts w:hint="eastAsia" w:ascii="宋体" w:hAnsi="宋体"/>
          <w:b/>
          <w:szCs w:val="21"/>
          <w:highlight w:val="none"/>
        </w:rPr>
        <w:t>（2）售后服务承诺书（内容可以是提供的切实可行的售后服务、免费技术培训方案、技术支持、故障解决方案、定期维护和优惠承诺等）（格式自拟，必须提供）</w:t>
      </w:r>
    </w:p>
    <w:p w14:paraId="2B418FA5">
      <w:pPr>
        <w:rPr>
          <w:highlight w:val="none"/>
        </w:rPr>
      </w:pPr>
      <w:r>
        <w:rPr>
          <w:rFonts w:hint="eastAsia"/>
          <w:highlight w:val="none"/>
        </w:rPr>
        <w:t>（3）“货物采购需求”需提供的有效证明文件（《采购项目服务、技术及商务需求》要</w:t>
      </w:r>
      <w:r>
        <w:rPr>
          <w:rFonts w:hint="eastAsia"/>
          <w:highlight w:val="none"/>
          <w:lang w:val="en-US" w:eastAsia="zh-CN"/>
        </w:rPr>
        <w:t>提</w:t>
      </w:r>
      <w:r>
        <w:rPr>
          <w:rFonts w:hint="eastAsia"/>
          <w:highlight w:val="none"/>
        </w:rPr>
        <w:t>供的相关证明材料，如有要求，请按要求必须提供）；</w:t>
      </w:r>
    </w:p>
    <w:p w14:paraId="15F1D1FE">
      <w:pPr>
        <w:rPr>
          <w:rFonts w:hint="eastAsia" w:hAnsi="宋体"/>
          <w:highlight w:val="none"/>
        </w:rPr>
      </w:pPr>
      <w:r>
        <w:rPr>
          <w:rFonts w:hint="eastAsia" w:hAnsi="宋体"/>
          <w:highlight w:val="none"/>
        </w:rPr>
        <w:t>（4）具备法律、行政法规规定的其他条件的证明材料（如有，请提供）；</w:t>
      </w:r>
    </w:p>
    <w:p w14:paraId="7CB9D9DB">
      <w:pPr>
        <w:rPr>
          <w:rFonts w:hint="eastAsia" w:hAnsi="宋体"/>
          <w:highlight w:val="none"/>
        </w:rPr>
      </w:pPr>
      <w:r>
        <w:rPr>
          <w:rFonts w:hint="eastAsia" w:hAnsi="宋体"/>
          <w:highlight w:val="none"/>
        </w:rPr>
        <w:t>（5）供应商的信誉、荣誉证书（如有，请提供）；</w:t>
      </w:r>
    </w:p>
    <w:p w14:paraId="5B8AC913">
      <w:pPr>
        <w:rPr>
          <w:rFonts w:hint="eastAsia" w:hAnsi="宋体"/>
          <w:highlight w:val="none"/>
        </w:rPr>
      </w:pPr>
      <w:r>
        <w:rPr>
          <w:rFonts w:hint="eastAsia" w:hAnsi="宋体"/>
          <w:highlight w:val="none"/>
        </w:rPr>
        <w:t>（6）供应商质量管理和质量保证体系等方面的认证证书（如有，请提供）；</w:t>
      </w:r>
    </w:p>
    <w:p w14:paraId="398E68EE">
      <w:pPr>
        <w:rPr>
          <w:rFonts w:hint="eastAsia" w:hAnsi="宋体"/>
          <w:highlight w:val="none"/>
        </w:rPr>
      </w:pPr>
      <w:r>
        <w:rPr>
          <w:rFonts w:hint="eastAsia" w:hAnsi="宋体"/>
          <w:highlight w:val="none"/>
        </w:rPr>
        <w:t>（7）节能产品证明文件、环保产品证明文件（如有，</w:t>
      </w:r>
      <w:r>
        <w:rPr>
          <w:rFonts w:hint="eastAsia" w:hAnsi="宋体"/>
          <w:highlight w:val="none"/>
          <w:lang w:val="en-US" w:eastAsia="zh-CN"/>
        </w:rPr>
        <w:t>政府强制购买的节能产品必须</w:t>
      </w:r>
      <w:r>
        <w:rPr>
          <w:rFonts w:hint="eastAsia" w:hAnsi="宋体"/>
          <w:highlight w:val="none"/>
        </w:rPr>
        <w:t>提供）；</w:t>
      </w:r>
    </w:p>
    <w:p w14:paraId="04AD966C">
      <w:pPr>
        <w:rPr>
          <w:rFonts w:ascii="宋体" w:hAnsi="宋体"/>
          <w:b/>
          <w:szCs w:val="21"/>
          <w:highlight w:val="none"/>
        </w:rPr>
      </w:pPr>
      <w:r>
        <w:rPr>
          <w:rFonts w:hint="eastAsia" w:hAnsi="宋体"/>
          <w:highlight w:val="none"/>
        </w:rPr>
        <w:t>（8）供应商认为需要提供的有关资料（如有，请提供）。</w:t>
      </w:r>
      <w:r>
        <w:rPr>
          <w:rFonts w:hint="eastAsia" w:ascii="宋体" w:hAnsi="宋体"/>
          <w:b/>
          <w:szCs w:val="21"/>
          <w:highlight w:val="none"/>
        </w:rPr>
        <w:br w:type="page"/>
      </w:r>
    </w:p>
    <w:p w14:paraId="4C6078EE">
      <w:pPr>
        <w:snapToGrid w:val="0"/>
        <w:spacing w:before="50" w:after="156" w:afterLines="50" w:line="360" w:lineRule="exact"/>
        <w:ind w:firstLine="207" w:firstLineChars="98"/>
        <w:jc w:val="left"/>
        <w:rPr>
          <w:rFonts w:ascii="宋体" w:hAnsi="宋体"/>
          <w:b/>
          <w:szCs w:val="21"/>
          <w:highlight w:val="none"/>
        </w:rPr>
      </w:pPr>
      <w:r>
        <w:rPr>
          <w:rFonts w:hint="eastAsia" w:ascii="宋体" w:hAnsi="宋体"/>
          <w:b/>
          <w:szCs w:val="21"/>
          <w:highlight w:val="none"/>
        </w:rPr>
        <w:t>（</w:t>
      </w:r>
      <w:r>
        <w:rPr>
          <w:rFonts w:hint="eastAsia" w:ascii="宋体" w:hAnsi="宋体"/>
          <w:b/>
          <w:szCs w:val="21"/>
          <w:highlight w:val="none"/>
          <w:lang w:val="en-US" w:eastAsia="zh-CN"/>
        </w:rPr>
        <w:t>9</w:t>
      </w:r>
      <w:r>
        <w:rPr>
          <w:rFonts w:hint="eastAsia" w:ascii="宋体" w:hAnsi="宋体"/>
          <w:b/>
          <w:szCs w:val="21"/>
          <w:highlight w:val="none"/>
        </w:rPr>
        <w:t>）</w:t>
      </w:r>
      <w:r>
        <w:rPr>
          <w:rFonts w:hint="eastAsia" w:ascii="宋体" w:hAnsi="宋体"/>
          <w:szCs w:val="21"/>
          <w:highlight w:val="none"/>
          <w:lang w:eastAsia="zh-CN"/>
        </w:rPr>
        <w:t>供应商</w:t>
      </w:r>
      <w:r>
        <w:rPr>
          <w:rFonts w:hint="eastAsia" w:ascii="宋体" w:hAnsi="宋体"/>
          <w:szCs w:val="21"/>
          <w:highlight w:val="none"/>
        </w:rPr>
        <w:t>的类似成功案例的业绩证明文件：</w:t>
      </w:r>
    </w:p>
    <w:p w14:paraId="57E43EDD">
      <w:pPr>
        <w:pStyle w:val="11"/>
        <w:snapToGrid w:val="0"/>
        <w:spacing w:line="360" w:lineRule="exact"/>
        <w:ind w:left="97" w:leftChars="46" w:firstLine="420" w:firstLineChars="200"/>
        <w:rPr>
          <w:rFonts w:ascii="宋体" w:hAnsi="宋体"/>
          <w:sz w:val="21"/>
          <w:szCs w:val="21"/>
          <w:highlight w:val="none"/>
        </w:rPr>
      </w:pPr>
      <w:r>
        <w:rPr>
          <w:rFonts w:hint="eastAsia" w:ascii="宋体" w:hAnsi="宋体"/>
          <w:sz w:val="21"/>
          <w:szCs w:val="21"/>
          <w:highlight w:val="none"/>
          <w:lang w:eastAsia="zh-CN"/>
        </w:rPr>
        <w:t>供应商</w:t>
      </w:r>
      <w:r>
        <w:rPr>
          <w:rFonts w:hint="eastAsia" w:ascii="宋体" w:hAnsi="宋体"/>
          <w:sz w:val="21"/>
          <w:szCs w:val="21"/>
          <w:highlight w:val="none"/>
        </w:rPr>
        <w:t>同类项目实施情况一览表格式：（</w:t>
      </w:r>
      <w:r>
        <w:rPr>
          <w:rFonts w:hint="eastAsia" w:ascii="宋体" w:hAnsi="宋体"/>
          <w:sz w:val="21"/>
          <w:szCs w:val="21"/>
          <w:highlight w:val="none"/>
          <w:lang w:eastAsia="zh-CN"/>
        </w:rPr>
        <w:t>供应商</w:t>
      </w:r>
      <w:r>
        <w:rPr>
          <w:rFonts w:hint="eastAsia" w:ascii="宋体" w:hAnsi="宋体"/>
          <w:sz w:val="21"/>
          <w:szCs w:val="21"/>
          <w:highlight w:val="none"/>
        </w:rPr>
        <w:t>同类项目合同扫描件、用户验收报告、用户评价意见格式自拟）</w:t>
      </w:r>
    </w:p>
    <w:tbl>
      <w:tblPr>
        <w:tblStyle w:val="1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14:paraId="594D29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1080" w:type="dxa"/>
            <w:vMerge w:val="restart"/>
            <w:tcBorders>
              <w:top w:val="single" w:color="auto" w:sz="4" w:space="0"/>
              <w:left w:val="single" w:color="auto" w:sz="4" w:space="0"/>
              <w:bottom w:val="single" w:color="auto" w:sz="4" w:space="0"/>
              <w:right w:val="single" w:color="auto" w:sz="4" w:space="0"/>
            </w:tcBorders>
            <w:vAlign w:val="center"/>
          </w:tcPr>
          <w:p w14:paraId="60F9C85A">
            <w:pPr>
              <w:snapToGrid w:val="0"/>
              <w:spacing w:line="360" w:lineRule="exact"/>
              <w:jc w:val="center"/>
              <w:rPr>
                <w:rFonts w:ascii="宋体" w:hAnsi="宋体"/>
                <w:sz w:val="18"/>
                <w:szCs w:val="18"/>
                <w:highlight w:val="none"/>
              </w:rPr>
            </w:pPr>
            <w:r>
              <w:rPr>
                <w:rFonts w:hint="eastAsia" w:ascii="宋体" w:hAnsi="宋体"/>
                <w:sz w:val="18"/>
                <w:szCs w:val="18"/>
                <w:highlight w:val="none"/>
              </w:rPr>
              <w:t>采购单位名称</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6D92FD6B">
            <w:pPr>
              <w:snapToGrid w:val="0"/>
              <w:spacing w:line="360" w:lineRule="exact"/>
              <w:jc w:val="center"/>
              <w:rPr>
                <w:rFonts w:ascii="宋体" w:hAnsi="宋体"/>
                <w:sz w:val="18"/>
                <w:szCs w:val="18"/>
                <w:highlight w:val="none"/>
              </w:rPr>
            </w:pPr>
            <w:r>
              <w:rPr>
                <w:rFonts w:hint="eastAsia" w:ascii="宋体" w:hAnsi="宋体"/>
                <w:sz w:val="18"/>
                <w:szCs w:val="18"/>
                <w:highlight w:val="none"/>
              </w:rPr>
              <w:t>设备或项目名称</w:t>
            </w:r>
          </w:p>
        </w:tc>
        <w:tc>
          <w:tcPr>
            <w:tcW w:w="1620" w:type="dxa"/>
            <w:vMerge w:val="restart"/>
            <w:tcBorders>
              <w:top w:val="single" w:color="auto" w:sz="4" w:space="0"/>
              <w:left w:val="single" w:color="auto" w:sz="4" w:space="0"/>
              <w:bottom w:val="single" w:color="auto" w:sz="4" w:space="0"/>
              <w:right w:val="single" w:color="auto" w:sz="4" w:space="0"/>
            </w:tcBorders>
            <w:vAlign w:val="center"/>
          </w:tcPr>
          <w:p w14:paraId="20139F41">
            <w:pPr>
              <w:snapToGrid w:val="0"/>
              <w:spacing w:line="360" w:lineRule="exact"/>
              <w:jc w:val="center"/>
              <w:rPr>
                <w:rFonts w:ascii="宋体" w:hAnsi="宋体"/>
                <w:sz w:val="18"/>
                <w:szCs w:val="18"/>
                <w:highlight w:val="none"/>
              </w:rPr>
            </w:pPr>
            <w:r>
              <w:rPr>
                <w:rFonts w:hint="eastAsia" w:ascii="宋体" w:hAnsi="宋体"/>
                <w:sz w:val="18"/>
                <w:szCs w:val="18"/>
                <w:highlight w:val="none"/>
              </w:rPr>
              <w:t>采购</w:t>
            </w:r>
          </w:p>
          <w:p w14:paraId="0422A8A2">
            <w:pPr>
              <w:snapToGrid w:val="0"/>
              <w:spacing w:line="360" w:lineRule="exact"/>
              <w:jc w:val="center"/>
              <w:rPr>
                <w:rFonts w:ascii="宋体" w:hAnsi="宋体"/>
                <w:sz w:val="18"/>
                <w:szCs w:val="18"/>
                <w:highlight w:val="none"/>
              </w:rPr>
            </w:pPr>
            <w:r>
              <w:rPr>
                <w:rFonts w:hint="eastAsia" w:ascii="宋体" w:hAnsi="宋体"/>
                <w:sz w:val="18"/>
                <w:szCs w:val="18"/>
                <w:highlight w:val="none"/>
              </w:rPr>
              <w:t>数量</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6796013B">
            <w:pPr>
              <w:snapToGrid w:val="0"/>
              <w:spacing w:line="360" w:lineRule="exact"/>
              <w:jc w:val="center"/>
              <w:rPr>
                <w:rFonts w:ascii="宋体" w:hAnsi="宋体"/>
                <w:sz w:val="18"/>
                <w:szCs w:val="18"/>
                <w:highlight w:val="none"/>
              </w:rPr>
            </w:pPr>
            <w:r>
              <w:rPr>
                <w:rFonts w:hint="eastAsia" w:ascii="宋体" w:hAnsi="宋体"/>
                <w:sz w:val="18"/>
                <w:szCs w:val="18"/>
                <w:highlight w:val="none"/>
              </w:rPr>
              <w:t>单价</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0A0AB2C8">
            <w:pPr>
              <w:snapToGrid w:val="0"/>
              <w:spacing w:line="360" w:lineRule="exact"/>
              <w:jc w:val="center"/>
              <w:rPr>
                <w:rFonts w:ascii="宋体" w:hAnsi="宋体"/>
                <w:sz w:val="18"/>
                <w:szCs w:val="18"/>
                <w:highlight w:val="none"/>
              </w:rPr>
            </w:pPr>
            <w:r>
              <w:rPr>
                <w:rFonts w:hint="eastAsia" w:ascii="宋体" w:hAnsi="宋体"/>
                <w:sz w:val="18"/>
                <w:szCs w:val="18"/>
                <w:highlight w:val="none"/>
              </w:rPr>
              <w:t>合同</w:t>
            </w:r>
          </w:p>
          <w:p w14:paraId="507F4892">
            <w:pPr>
              <w:snapToGrid w:val="0"/>
              <w:spacing w:line="360" w:lineRule="exact"/>
              <w:jc w:val="center"/>
              <w:rPr>
                <w:rFonts w:ascii="宋体" w:hAnsi="宋体"/>
                <w:sz w:val="18"/>
                <w:szCs w:val="18"/>
                <w:highlight w:val="none"/>
              </w:rPr>
            </w:pPr>
            <w:r>
              <w:rPr>
                <w:rFonts w:hint="eastAsia" w:ascii="宋体" w:hAnsi="宋体"/>
                <w:sz w:val="18"/>
                <w:szCs w:val="18"/>
                <w:highlight w:val="none"/>
              </w:rPr>
              <w:t>金额</w:t>
            </w:r>
          </w:p>
          <w:p w14:paraId="62F2EDC1">
            <w:pPr>
              <w:snapToGrid w:val="0"/>
              <w:spacing w:line="360" w:lineRule="exact"/>
              <w:jc w:val="center"/>
              <w:rPr>
                <w:rFonts w:ascii="宋体" w:hAnsi="宋体"/>
                <w:sz w:val="18"/>
                <w:szCs w:val="18"/>
                <w:highlight w:val="none"/>
              </w:rPr>
            </w:pPr>
            <w:r>
              <w:rPr>
                <w:rFonts w:hint="eastAsia" w:ascii="宋体" w:hAnsi="宋体"/>
                <w:sz w:val="18"/>
                <w:szCs w:val="18"/>
                <w:highlight w:val="none"/>
              </w:rPr>
              <w:t>（万元）</w:t>
            </w:r>
          </w:p>
        </w:tc>
        <w:tc>
          <w:tcPr>
            <w:tcW w:w="2340" w:type="dxa"/>
            <w:gridSpan w:val="3"/>
            <w:tcBorders>
              <w:top w:val="single" w:color="auto" w:sz="4" w:space="0"/>
              <w:left w:val="single" w:color="auto" w:sz="4" w:space="0"/>
              <w:bottom w:val="single" w:color="auto" w:sz="4" w:space="0"/>
              <w:right w:val="single" w:color="auto" w:sz="4" w:space="0"/>
            </w:tcBorders>
            <w:vAlign w:val="center"/>
          </w:tcPr>
          <w:p w14:paraId="725A6EB2">
            <w:pPr>
              <w:snapToGrid w:val="0"/>
              <w:spacing w:line="360" w:lineRule="exact"/>
              <w:jc w:val="center"/>
              <w:rPr>
                <w:rFonts w:ascii="宋体" w:hAnsi="宋体"/>
                <w:sz w:val="18"/>
                <w:szCs w:val="18"/>
                <w:highlight w:val="none"/>
              </w:rPr>
            </w:pPr>
            <w:r>
              <w:rPr>
                <w:rFonts w:hint="eastAsia" w:ascii="宋体" w:hAnsi="宋体"/>
                <w:sz w:val="18"/>
                <w:szCs w:val="18"/>
                <w:highlight w:val="none"/>
              </w:rPr>
              <w:t>附件页码</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14:paraId="23E1EB97">
            <w:pPr>
              <w:snapToGrid w:val="0"/>
              <w:spacing w:line="360" w:lineRule="exact"/>
              <w:jc w:val="center"/>
              <w:rPr>
                <w:rFonts w:ascii="宋体" w:hAnsi="宋体"/>
                <w:sz w:val="18"/>
                <w:szCs w:val="18"/>
                <w:highlight w:val="none"/>
              </w:rPr>
            </w:pPr>
            <w:r>
              <w:rPr>
                <w:rFonts w:hint="eastAsia" w:ascii="宋体" w:hAnsi="宋体"/>
                <w:sz w:val="18"/>
                <w:szCs w:val="18"/>
                <w:highlight w:val="none"/>
              </w:rPr>
              <w:t>采购单位联系人及</w:t>
            </w:r>
          </w:p>
          <w:p w14:paraId="4EAB3E84">
            <w:pPr>
              <w:snapToGrid w:val="0"/>
              <w:spacing w:line="360" w:lineRule="exact"/>
              <w:jc w:val="center"/>
              <w:rPr>
                <w:rFonts w:ascii="宋体" w:hAnsi="宋体"/>
                <w:sz w:val="18"/>
                <w:szCs w:val="18"/>
                <w:highlight w:val="none"/>
              </w:rPr>
            </w:pPr>
            <w:r>
              <w:rPr>
                <w:rFonts w:hint="eastAsia" w:ascii="宋体" w:hAnsi="宋体"/>
                <w:sz w:val="18"/>
                <w:szCs w:val="18"/>
                <w:highlight w:val="none"/>
              </w:rPr>
              <w:t>联系电话</w:t>
            </w:r>
          </w:p>
        </w:tc>
      </w:tr>
      <w:tr w14:paraId="64F5EE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1080" w:type="dxa"/>
            <w:vMerge w:val="continue"/>
            <w:tcBorders>
              <w:top w:val="single" w:color="auto" w:sz="4" w:space="0"/>
              <w:left w:val="single" w:color="auto" w:sz="4" w:space="0"/>
              <w:bottom w:val="single" w:color="auto" w:sz="4" w:space="0"/>
              <w:right w:val="single" w:color="auto" w:sz="4" w:space="0"/>
            </w:tcBorders>
            <w:vAlign w:val="center"/>
          </w:tcPr>
          <w:p w14:paraId="5142C8AB">
            <w:pPr>
              <w:widowControl/>
              <w:jc w:val="left"/>
              <w:rPr>
                <w:rFonts w:ascii="宋体" w:hAnsi="宋体"/>
                <w:sz w:val="18"/>
                <w:szCs w:val="18"/>
                <w:highlight w:val="none"/>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A3492E7">
            <w:pPr>
              <w:widowControl/>
              <w:jc w:val="left"/>
              <w:rPr>
                <w:rFonts w:ascii="宋体" w:hAnsi="宋体"/>
                <w:sz w:val="18"/>
                <w:szCs w:val="18"/>
                <w:highlight w:val="none"/>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14:paraId="58CEADA8">
            <w:pPr>
              <w:widowControl/>
              <w:jc w:val="left"/>
              <w:rPr>
                <w:rFonts w:ascii="宋体" w:hAnsi="宋体"/>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0B324D78">
            <w:pPr>
              <w:widowControl/>
              <w:jc w:val="left"/>
              <w:rPr>
                <w:rFonts w:ascii="宋体" w:hAnsi="宋体"/>
                <w:sz w:val="18"/>
                <w:szCs w:val="18"/>
                <w:highlight w:val="none"/>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A680397">
            <w:pPr>
              <w:widowControl/>
              <w:jc w:val="left"/>
              <w:rPr>
                <w:rFonts w:ascii="宋体" w:hAnsi="宋体"/>
                <w:sz w:val="18"/>
                <w:szCs w:val="18"/>
                <w:highlight w:val="none"/>
              </w:rPr>
            </w:pPr>
          </w:p>
        </w:tc>
        <w:tc>
          <w:tcPr>
            <w:tcW w:w="540" w:type="dxa"/>
            <w:tcBorders>
              <w:top w:val="single" w:color="auto" w:sz="4" w:space="0"/>
              <w:left w:val="single" w:color="auto" w:sz="4" w:space="0"/>
              <w:bottom w:val="single" w:color="auto" w:sz="4" w:space="0"/>
              <w:right w:val="single" w:color="auto" w:sz="4" w:space="0"/>
            </w:tcBorders>
            <w:vAlign w:val="center"/>
          </w:tcPr>
          <w:p w14:paraId="5657D5BE">
            <w:pPr>
              <w:snapToGrid w:val="0"/>
              <w:spacing w:line="360" w:lineRule="exact"/>
              <w:jc w:val="center"/>
              <w:rPr>
                <w:rFonts w:ascii="宋体" w:hAnsi="宋体"/>
                <w:sz w:val="18"/>
                <w:szCs w:val="18"/>
                <w:highlight w:val="none"/>
              </w:rPr>
            </w:pPr>
            <w:r>
              <w:rPr>
                <w:rFonts w:hint="eastAsia" w:ascii="宋体" w:hAnsi="宋体"/>
                <w:sz w:val="18"/>
                <w:szCs w:val="18"/>
                <w:highlight w:val="none"/>
              </w:rPr>
              <w:t>合同</w:t>
            </w:r>
          </w:p>
        </w:tc>
        <w:tc>
          <w:tcPr>
            <w:tcW w:w="720" w:type="dxa"/>
            <w:tcBorders>
              <w:top w:val="single" w:color="auto" w:sz="4" w:space="0"/>
              <w:left w:val="single" w:color="auto" w:sz="4" w:space="0"/>
              <w:bottom w:val="single" w:color="auto" w:sz="4" w:space="0"/>
              <w:right w:val="single" w:color="auto" w:sz="4" w:space="0"/>
            </w:tcBorders>
            <w:vAlign w:val="center"/>
          </w:tcPr>
          <w:p w14:paraId="7256D3DB">
            <w:pPr>
              <w:snapToGrid w:val="0"/>
              <w:spacing w:line="360" w:lineRule="exact"/>
              <w:jc w:val="center"/>
              <w:rPr>
                <w:rFonts w:ascii="宋体" w:hAnsi="宋体"/>
                <w:sz w:val="18"/>
                <w:szCs w:val="18"/>
                <w:highlight w:val="none"/>
              </w:rPr>
            </w:pPr>
            <w:r>
              <w:rPr>
                <w:rFonts w:hint="eastAsia" w:ascii="宋体" w:hAnsi="宋体"/>
                <w:sz w:val="18"/>
                <w:szCs w:val="18"/>
                <w:highlight w:val="none"/>
              </w:rPr>
              <w:t>验收报告</w:t>
            </w:r>
          </w:p>
        </w:tc>
        <w:tc>
          <w:tcPr>
            <w:tcW w:w="1080" w:type="dxa"/>
            <w:tcBorders>
              <w:top w:val="single" w:color="auto" w:sz="4" w:space="0"/>
              <w:left w:val="single" w:color="auto" w:sz="4" w:space="0"/>
              <w:bottom w:val="single" w:color="auto" w:sz="4" w:space="0"/>
              <w:right w:val="single" w:color="auto" w:sz="4" w:space="0"/>
            </w:tcBorders>
            <w:vAlign w:val="center"/>
          </w:tcPr>
          <w:p w14:paraId="720107E6">
            <w:pPr>
              <w:snapToGrid w:val="0"/>
              <w:spacing w:line="360" w:lineRule="exact"/>
              <w:jc w:val="center"/>
              <w:rPr>
                <w:rFonts w:ascii="宋体" w:hAnsi="宋体"/>
                <w:sz w:val="18"/>
                <w:szCs w:val="18"/>
                <w:highlight w:val="none"/>
              </w:rPr>
            </w:pPr>
            <w:r>
              <w:rPr>
                <w:rFonts w:hint="eastAsia" w:ascii="宋体" w:hAnsi="宋体"/>
                <w:sz w:val="18"/>
                <w:szCs w:val="18"/>
                <w:highlight w:val="none"/>
              </w:rPr>
              <w:t>用户评价</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163E5989">
            <w:pPr>
              <w:widowControl/>
              <w:jc w:val="left"/>
              <w:rPr>
                <w:rFonts w:ascii="宋体" w:hAnsi="宋体"/>
                <w:sz w:val="18"/>
                <w:szCs w:val="18"/>
                <w:highlight w:val="none"/>
              </w:rPr>
            </w:pPr>
          </w:p>
        </w:tc>
      </w:tr>
      <w:tr w14:paraId="0D48E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080" w:type="dxa"/>
            <w:tcBorders>
              <w:top w:val="single" w:color="auto" w:sz="4" w:space="0"/>
              <w:left w:val="single" w:color="auto" w:sz="4" w:space="0"/>
              <w:bottom w:val="single" w:color="auto" w:sz="4" w:space="0"/>
              <w:right w:val="single" w:color="auto" w:sz="4" w:space="0"/>
            </w:tcBorders>
          </w:tcPr>
          <w:p w14:paraId="3D7C4894">
            <w:pPr>
              <w:snapToGrid w:val="0"/>
              <w:spacing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1051A00F">
            <w:pPr>
              <w:snapToGrid w:val="0"/>
              <w:spacing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09ECB7AC">
            <w:pPr>
              <w:snapToGrid w:val="0"/>
              <w:spacing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35AD7DE3">
            <w:pPr>
              <w:snapToGrid w:val="0"/>
              <w:spacing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0F8B54F9">
            <w:pPr>
              <w:snapToGrid w:val="0"/>
              <w:spacing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tcPr>
          <w:p w14:paraId="171E2DB7">
            <w:pPr>
              <w:snapToGrid w:val="0"/>
              <w:spacing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09F124F0">
            <w:pPr>
              <w:snapToGrid w:val="0"/>
              <w:spacing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6E4C40B3">
            <w:pPr>
              <w:snapToGrid w:val="0"/>
              <w:spacing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53A10BC2">
            <w:pPr>
              <w:snapToGrid w:val="0"/>
              <w:spacing w:line="360" w:lineRule="exact"/>
              <w:jc w:val="left"/>
              <w:rPr>
                <w:rFonts w:ascii="宋体" w:hAnsi="宋体"/>
                <w:szCs w:val="21"/>
                <w:highlight w:val="none"/>
              </w:rPr>
            </w:pPr>
          </w:p>
        </w:tc>
      </w:tr>
      <w:tr w14:paraId="562D0A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tcPr>
          <w:p w14:paraId="3127005A">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292C7181">
            <w:pPr>
              <w:snapToGrid w:val="0"/>
              <w:spacing w:before="50" w:after="156" w:afterLines="50"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40258829">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3A68C608">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30EB7E7A">
            <w:pPr>
              <w:snapToGrid w:val="0"/>
              <w:spacing w:before="50" w:after="156" w:afterLines="50"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tcPr>
          <w:p w14:paraId="41323A3B">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39A163AF">
            <w:pPr>
              <w:snapToGrid w:val="0"/>
              <w:spacing w:before="50" w:after="156" w:afterLines="50"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25AF2119">
            <w:pPr>
              <w:snapToGrid w:val="0"/>
              <w:spacing w:before="50" w:after="156" w:afterLines="50"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2F80A4C4">
            <w:pPr>
              <w:snapToGrid w:val="0"/>
              <w:spacing w:before="50" w:after="156" w:afterLines="50" w:line="360" w:lineRule="exact"/>
              <w:jc w:val="left"/>
              <w:rPr>
                <w:rFonts w:ascii="宋体" w:hAnsi="宋体"/>
                <w:szCs w:val="21"/>
                <w:highlight w:val="none"/>
              </w:rPr>
            </w:pPr>
          </w:p>
        </w:tc>
      </w:tr>
      <w:tr w14:paraId="21058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080" w:type="dxa"/>
            <w:tcBorders>
              <w:top w:val="single" w:color="auto" w:sz="4" w:space="0"/>
              <w:left w:val="single" w:color="auto" w:sz="4" w:space="0"/>
              <w:bottom w:val="single" w:color="auto" w:sz="4" w:space="0"/>
              <w:right w:val="single" w:color="auto" w:sz="4" w:space="0"/>
            </w:tcBorders>
          </w:tcPr>
          <w:p w14:paraId="72B2ACF3">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0BC2199">
            <w:pPr>
              <w:snapToGrid w:val="0"/>
              <w:spacing w:before="50" w:after="156" w:afterLines="50"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536804C2">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184B4A66">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34000D2D">
            <w:pPr>
              <w:snapToGrid w:val="0"/>
              <w:spacing w:before="50" w:after="156" w:afterLines="50"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tcPr>
          <w:p w14:paraId="4F48E31E">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23A481BC">
            <w:pPr>
              <w:snapToGrid w:val="0"/>
              <w:spacing w:before="50" w:after="156" w:afterLines="50"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163CF8FA">
            <w:pPr>
              <w:snapToGrid w:val="0"/>
              <w:spacing w:before="50" w:after="156" w:afterLines="50"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2E3D6F0D">
            <w:pPr>
              <w:snapToGrid w:val="0"/>
              <w:spacing w:before="50" w:after="156" w:afterLines="50" w:line="360" w:lineRule="exact"/>
              <w:jc w:val="left"/>
              <w:rPr>
                <w:rFonts w:ascii="宋体" w:hAnsi="宋体"/>
                <w:szCs w:val="21"/>
                <w:highlight w:val="none"/>
              </w:rPr>
            </w:pPr>
          </w:p>
        </w:tc>
      </w:tr>
      <w:tr w14:paraId="02D51F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tcPr>
          <w:p w14:paraId="0F429F6A">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16192CED">
            <w:pPr>
              <w:snapToGrid w:val="0"/>
              <w:spacing w:before="50" w:after="156" w:afterLines="50"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38BA662E">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127A6FC7">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40B49FF7">
            <w:pPr>
              <w:snapToGrid w:val="0"/>
              <w:spacing w:before="50" w:after="156" w:afterLines="50"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tcPr>
          <w:p w14:paraId="72A697E2">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3A430952">
            <w:pPr>
              <w:snapToGrid w:val="0"/>
              <w:spacing w:before="50" w:after="156" w:afterLines="50"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6C58C1FC">
            <w:pPr>
              <w:snapToGrid w:val="0"/>
              <w:spacing w:before="50" w:after="156" w:afterLines="50"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049BEEAD">
            <w:pPr>
              <w:snapToGrid w:val="0"/>
              <w:spacing w:before="50" w:after="156" w:afterLines="50" w:line="360" w:lineRule="exact"/>
              <w:jc w:val="left"/>
              <w:rPr>
                <w:rFonts w:ascii="宋体" w:hAnsi="宋体"/>
                <w:szCs w:val="21"/>
                <w:highlight w:val="none"/>
              </w:rPr>
            </w:pPr>
          </w:p>
        </w:tc>
      </w:tr>
      <w:tr w14:paraId="4DB5E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tcPr>
          <w:p w14:paraId="34356ABF">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221FE2FE">
            <w:pPr>
              <w:snapToGrid w:val="0"/>
              <w:spacing w:before="50" w:after="156" w:afterLines="50"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5DD80595">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0FF1CD28">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017479E7">
            <w:pPr>
              <w:snapToGrid w:val="0"/>
              <w:spacing w:before="50" w:after="156" w:afterLines="50"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tcPr>
          <w:p w14:paraId="7ECA14D2">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0FA92543">
            <w:pPr>
              <w:snapToGrid w:val="0"/>
              <w:spacing w:before="50" w:after="156" w:afterLines="50"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082C217B">
            <w:pPr>
              <w:snapToGrid w:val="0"/>
              <w:spacing w:before="50" w:after="156" w:afterLines="50"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75F029E8">
            <w:pPr>
              <w:snapToGrid w:val="0"/>
              <w:spacing w:before="50" w:after="156" w:afterLines="50" w:line="360" w:lineRule="exact"/>
              <w:jc w:val="left"/>
              <w:rPr>
                <w:rFonts w:ascii="宋体" w:hAnsi="宋体"/>
                <w:szCs w:val="21"/>
                <w:highlight w:val="none"/>
              </w:rPr>
            </w:pPr>
          </w:p>
        </w:tc>
      </w:tr>
    </w:tbl>
    <w:p w14:paraId="4F67613F">
      <w:pPr>
        <w:pStyle w:val="5"/>
        <w:snapToGrid w:val="0"/>
        <w:spacing w:line="360" w:lineRule="exact"/>
        <w:rPr>
          <w:rFonts w:ascii="宋体" w:hAnsi="宋体" w:eastAsia="宋体"/>
          <w:sz w:val="21"/>
          <w:szCs w:val="21"/>
          <w:highlight w:val="none"/>
        </w:rPr>
      </w:pPr>
    </w:p>
    <w:p w14:paraId="64F78F6A">
      <w:pPr>
        <w:pStyle w:val="5"/>
        <w:snapToGrid w:val="0"/>
        <w:spacing w:line="360" w:lineRule="exact"/>
        <w:rPr>
          <w:rFonts w:ascii="宋体" w:hAnsi="宋体" w:eastAsia="宋体"/>
          <w:sz w:val="21"/>
          <w:szCs w:val="21"/>
          <w:highlight w:val="none"/>
          <w:u w:val="single"/>
        </w:rPr>
      </w:pPr>
      <w:r>
        <w:rPr>
          <w:rFonts w:hint="eastAsia" w:ascii="宋体" w:hAnsi="宋体"/>
          <w:szCs w:val="21"/>
          <w:highlight w:val="none"/>
        </w:rPr>
        <w:t>法定代表人或委托代理人签字（或签章）</w:t>
      </w:r>
      <w:r>
        <w:rPr>
          <w:rFonts w:hint="eastAsia" w:ascii="宋体" w:hAnsi="宋体" w:eastAsia="宋体"/>
          <w:sz w:val="21"/>
          <w:szCs w:val="21"/>
          <w:highlight w:val="none"/>
        </w:rPr>
        <w:t>：</w:t>
      </w:r>
      <w:r>
        <w:rPr>
          <w:rFonts w:hint="eastAsia" w:ascii="宋体" w:hAnsi="宋体" w:eastAsia="宋体"/>
          <w:sz w:val="21"/>
          <w:szCs w:val="21"/>
          <w:highlight w:val="none"/>
          <w:u w:val="single"/>
        </w:rPr>
        <w:t>　　　　　</w:t>
      </w:r>
    </w:p>
    <w:p w14:paraId="0150E574">
      <w:pPr>
        <w:snapToGrid w:val="0"/>
        <w:spacing w:before="50" w:line="360" w:lineRule="exact"/>
        <w:jc w:val="left"/>
        <w:rPr>
          <w:rFonts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公章：</w:t>
      </w:r>
      <w:r>
        <w:rPr>
          <w:rFonts w:hint="eastAsia" w:ascii="宋体" w:hAnsi="宋体"/>
          <w:szCs w:val="21"/>
          <w:highlight w:val="none"/>
          <w:u w:val="single"/>
        </w:rPr>
        <w:t xml:space="preserve">                 </w:t>
      </w:r>
      <w:r>
        <w:rPr>
          <w:rFonts w:hint="eastAsia" w:ascii="宋体" w:hAnsi="宋体"/>
          <w:szCs w:val="21"/>
          <w:highlight w:val="none"/>
        </w:rPr>
        <w:t xml:space="preserve">                                           年    月  日</w:t>
      </w:r>
    </w:p>
    <w:p w14:paraId="1D948309">
      <w:pPr>
        <w:snapToGrid w:val="0"/>
        <w:spacing w:before="50" w:line="360" w:lineRule="exact"/>
        <w:ind w:firstLine="0" w:firstLineChars="0"/>
        <w:jc w:val="left"/>
        <w:rPr>
          <w:rFonts w:ascii="宋体" w:hAnsi="宋体"/>
          <w:szCs w:val="21"/>
          <w:highlight w:val="none"/>
        </w:rPr>
      </w:pPr>
      <w:r>
        <w:rPr>
          <w:rFonts w:hint="eastAsia" w:ascii="宋体" w:hAnsi="宋体"/>
          <w:b/>
          <w:szCs w:val="21"/>
          <w:highlight w:val="none"/>
        </w:rPr>
        <w:t>（</w:t>
      </w:r>
      <w:r>
        <w:rPr>
          <w:rFonts w:hint="eastAsia" w:ascii="宋体" w:hAnsi="宋体"/>
          <w:b/>
          <w:szCs w:val="21"/>
          <w:highlight w:val="none"/>
          <w:lang w:val="en-US" w:eastAsia="zh-CN"/>
        </w:rPr>
        <w:t>10</w:t>
      </w:r>
      <w:r>
        <w:rPr>
          <w:rFonts w:hint="eastAsia" w:ascii="宋体" w:hAnsi="宋体"/>
          <w:b/>
          <w:szCs w:val="21"/>
          <w:highlight w:val="none"/>
        </w:rPr>
        <w:t>）</w:t>
      </w:r>
      <w:r>
        <w:rPr>
          <w:rFonts w:hint="eastAsia" w:ascii="宋体" w:hAnsi="宋体"/>
          <w:szCs w:val="21"/>
          <w:highlight w:val="none"/>
        </w:rPr>
        <w:t>其他特殊资质证书（如本地化服务能力等）；（按要求提供）</w:t>
      </w:r>
    </w:p>
    <w:p w14:paraId="2CB8EA7B">
      <w:pPr>
        <w:snapToGrid w:val="0"/>
        <w:spacing w:line="360" w:lineRule="exact"/>
        <w:ind w:firstLine="0" w:firstLineChars="0"/>
        <w:jc w:val="left"/>
        <w:rPr>
          <w:rFonts w:ascii="宋体" w:hAnsi="宋体"/>
          <w:b/>
          <w:szCs w:val="21"/>
          <w:highlight w:val="none"/>
        </w:rPr>
      </w:pPr>
      <w:r>
        <w:rPr>
          <w:rFonts w:hint="eastAsia" w:ascii="宋体" w:hAnsi="宋体"/>
          <w:b/>
          <w:szCs w:val="21"/>
          <w:highlight w:val="none"/>
        </w:rPr>
        <w:t>（1</w:t>
      </w:r>
      <w:r>
        <w:rPr>
          <w:rFonts w:hint="eastAsia" w:ascii="宋体" w:hAnsi="宋体"/>
          <w:b/>
          <w:szCs w:val="21"/>
          <w:highlight w:val="none"/>
          <w:lang w:val="en-US" w:eastAsia="zh-CN"/>
        </w:rPr>
        <w:t>1</w:t>
      </w:r>
      <w:r>
        <w:rPr>
          <w:rFonts w:hint="eastAsia" w:ascii="宋体" w:hAnsi="宋体"/>
          <w:b/>
          <w:szCs w:val="21"/>
          <w:highlight w:val="none"/>
        </w:rPr>
        <w:t>）</w:t>
      </w:r>
      <w:r>
        <w:rPr>
          <w:rFonts w:hint="eastAsia" w:ascii="宋体" w:hAnsi="宋体"/>
          <w:szCs w:val="21"/>
          <w:highlight w:val="none"/>
        </w:rPr>
        <w:t>节能环保产品或政府强制采购节能产品清单证书；（按要求提供）</w:t>
      </w:r>
    </w:p>
    <w:p w14:paraId="465FC6B2">
      <w:pPr>
        <w:snapToGrid w:val="0"/>
        <w:spacing w:line="360" w:lineRule="exact"/>
        <w:ind w:firstLine="0" w:firstLineChars="0"/>
        <w:jc w:val="left"/>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12</w:t>
      </w:r>
      <w:r>
        <w:rPr>
          <w:rFonts w:hint="eastAsia" w:ascii="宋体" w:hAnsi="宋体"/>
          <w:szCs w:val="21"/>
          <w:highlight w:val="none"/>
        </w:rPr>
        <w:t>）</w:t>
      </w:r>
      <w:r>
        <w:rPr>
          <w:rFonts w:hint="eastAsia" w:ascii="宋体" w:hAnsi="宋体"/>
          <w:szCs w:val="21"/>
          <w:highlight w:val="none"/>
          <w:lang w:eastAsia="zh-CN"/>
        </w:rPr>
        <w:t>供应商</w:t>
      </w:r>
      <w:r>
        <w:rPr>
          <w:rFonts w:hint="eastAsia" w:ascii="宋体" w:hAnsi="宋体"/>
          <w:szCs w:val="21"/>
          <w:highlight w:val="none"/>
        </w:rPr>
        <w:t>质量管理和质量保证体系等方面的认证证书；（按要求提供）</w:t>
      </w:r>
    </w:p>
    <w:p w14:paraId="5E34CA72">
      <w:pPr>
        <w:snapToGrid w:val="0"/>
        <w:spacing w:line="360" w:lineRule="exact"/>
        <w:ind w:firstLine="0" w:firstLineChars="0"/>
        <w:jc w:val="left"/>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3</w:t>
      </w:r>
      <w:r>
        <w:rPr>
          <w:rFonts w:hint="eastAsia" w:ascii="宋体" w:hAnsi="宋体"/>
          <w:szCs w:val="21"/>
          <w:highlight w:val="none"/>
        </w:rPr>
        <w:t>）</w:t>
      </w:r>
      <w:r>
        <w:rPr>
          <w:rFonts w:hint="eastAsia" w:ascii="宋体" w:hAnsi="宋体"/>
          <w:szCs w:val="21"/>
          <w:highlight w:val="none"/>
          <w:lang w:eastAsia="zh-CN"/>
        </w:rPr>
        <w:t>供应商</w:t>
      </w:r>
      <w:r>
        <w:rPr>
          <w:rFonts w:hint="eastAsia" w:ascii="宋体" w:hAnsi="宋体"/>
          <w:szCs w:val="21"/>
          <w:highlight w:val="none"/>
        </w:rPr>
        <w:t>认为可以证明其能力或业绩的其他材料；格式自拟</w:t>
      </w:r>
    </w:p>
    <w:p w14:paraId="6EE33EE8">
      <w:pPr>
        <w:snapToGrid w:val="0"/>
        <w:spacing w:line="360" w:lineRule="exact"/>
        <w:ind w:left="0" w:leftChars="0" w:firstLine="0" w:firstLineChars="0"/>
        <w:jc w:val="left"/>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4</w:t>
      </w:r>
      <w:r>
        <w:rPr>
          <w:rFonts w:hint="eastAsia" w:ascii="宋体" w:hAnsi="宋体"/>
          <w:szCs w:val="21"/>
          <w:highlight w:val="none"/>
        </w:rPr>
        <w:t>）</w:t>
      </w:r>
      <w:r>
        <w:rPr>
          <w:rFonts w:hint="eastAsia" w:ascii="宋体" w:hAnsi="宋体"/>
          <w:szCs w:val="21"/>
          <w:highlight w:val="none"/>
          <w:lang w:eastAsia="zh-CN"/>
        </w:rPr>
        <w:t>供应商</w:t>
      </w:r>
      <w:r>
        <w:rPr>
          <w:rFonts w:hint="eastAsia" w:ascii="宋体" w:hAnsi="宋体"/>
          <w:szCs w:val="21"/>
          <w:highlight w:val="none"/>
        </w:rPr>
        <w:t>关于产品生产时间、升级或者更新淘汰计划、配件供应以及本单位债务纠纷</w:t>
      </w:r>
      <w:r>
        <w:rPr>
          <w:rFonts w:hint="eastAsia" w:ascii="宋体" w:hAnsi="宋体"/>
          <w:szCs w:val="21"/>
          <w:highlight w:val="none"/>
          <w:lang w:eastAsia="zh-CN"/>
        </w:rPr>
        <w:t>、</w:t>
      </w:r>
      <w:r>
        <w:rPr>
          <w:rFonts w:hint="eastAsia" w:ascii="宋体" w:hAnsi="宋体"/>
          <w:szCs w:val="21"/>
          <w:highlight w:val="none"/>
        </w:rPr>
        <w:t>违法违规记录等方面的情况（内容见投标声明书）；</w:t>
      </w:r>
    </w:p>
    <w:p w14:paraId="708B087B">
      <w:pPr>
        <w:snapToGrid w:val="0"/>
        <w:spacing w:line="360" w:lineRule="exact"/>
        <w:ind w:firstLine="0" w:firstLineChars="0"/>
        <w:jc w:val="left"/>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eastAsia="zh-CN"/>
        </w:rPr>
        <w:t>供应商</w:t>
      </w:r>
      <w:r>
        <w:rPr>
          <w:rFonts w:hint="eastAsia" w:ascii="宋体" w:hAnsi="宋体"/>
          <w:szCs w:val="21"/>
          <w:highlight w:val="none"/>
        </w:rPr>
        <w:t>情况介绍。（主要产品、技术力量、生产规模、经营业绩等，格式自拟）</w:t>
      </w:r>
    </w:p>
    <w:p w14:paraId="5A7462A7">
      <w:pPr>
        <w:snapToGrid w:val="0"/>
        <w:spacing w:line="360" w:lineRule="exact"/>
        <w:ind w:firstLine="0" w:firstLineChars="0"/>
        <w:jc w:val="left"/>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16</w:t>
      </w:r>
      <w:r>
        <w:rPr>
          <w:rFonts w:hint="eastAsia" w:ascii="宋体" w:hAnsi="宋体"/>
          <w:szCs w:val="21"/>
          <w:highlight w:val="none"/>
        </w:rPr>
        <w:t>）</w:t>
      </w:r>
      <w:r>
        <w:rPr>
          <w:rFonts w:hint="eastAsia" w:ascii="宋体" w:hAnsi="宋体"/>
          <w:szCs w:val="21"/>
          <w:highlight w:val="none"/>
          <w:lang w:eastAsia="zh-CN"/>
        </w:rPr>
        <w:t>供应商</w:t>
      </w:r>
      <w:r>
        <w:rPr>
          <w:rFonts w:hint="eastAsia" w:ascii="宋体" w:hAnsi="宋体"/>
          <w:szCs w:val="21"/>
          <w:highlight w:val="none"/>
        </w:rPr>
        <w:t>对本项目的合理化建议和改进措施（格式自拟）</w:t>
      </w:r>
    </w:p>
    <w:p w14:paraId="63BF630D">
      <w:pPr>
        <w:snapToGrid w:val="0"/>
        <w:spacing w:before="50" w:after="156" w:afterLines="50" w:line="360" w:lineRule="exact"/>
        <w:jc w:val="left"/>
        <w:rPr>
          <w:rFonts w:ascii="宋体" w:hAnsi="宋体"/>
          <w:szCs w:val="21"/>
          <w:highlight w:val="none"/>
        </w:rPr>
      </w:pPr>
      <w:r>
        <w:rPr>
          <w:rFonts w:hint="eastAsia" w:ascii="宋体" w:hAnsi="宋体"/>
          <w:b/>
          <w:szCs w:val="21"/>
          <w:highlight w:val="none"/>
        </w:rPr>
        <w:t>（</w:t>
      </w:r>
      <w:r>
        <w:rPr>
          <w:rFonts w:hint="eastAsia" w:ascii="宋体" w:hAnsi="宋体"/>
          <w:b/>
          <w:szCs w:val="21"/>
          <w:highlight w:val="none"/>
          <w:lang w:val="en-US" w:eastAsia="zh-CN"/>
        </w:rPr>
        <w:t>17</w:t>
      </w:r>
      <w:r>
        <w:rPr>
          <w:rFonts w:hint="eastAsia" w:ascii="宋体" w:hAnsi="宋体"/>
          <w:b/>
          <w:szCs w:val="21"/>
          <w:highlight w:val="none"/>
        </w:rPr>
        <w:t>）</w:t>
      </w:r>
      <w:r>
        <w:rPr>
          <w:rFonts w:hint="eastAsia" w:ascii="宋体" w:hAnsi="宋体"/>
          <w:szCs w:val="21"/>
          <w:highlight w:val="none"/>
          <w:lang w:eastAsia="zh-CN"/>
        </w:rPr>
        <w:t>供应商</w:t>
      </w:r>
      <w:r>
        <w:rPr>
          <w:rFonts w:hint="eastAsia" w:ascii="宋体" w:hAnsi="宋体"/>
          <w:szCs w:val="21"/>
          <w:highlight w:val="none"/>
        </w:rPr>
        <w:t>需要说明的其他文件和说明（格式自拟）</w:t>
      </w:r>
    </w:p>
    <w:p w14:paraId="4B5BFA5A">
      <w:pPr>
        <w:snapToGrid w:val="0"/>
        <w:spacing w:line="360" w:lineRule="exact"/>
        <w:jc w:val="left"/>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18</w:t>
      </w:r>
      <w:r>
        <w:rPr>
          <w:rFonts w:hint="eastAsia" w:ascii="宋体" w:hAnsi="宋体"/>
          <w:szCs w:val="21"/>
          <w:highlight w:val="none"/>
        </w:rPr>
        <w:t>）项目采购需求中要求必须提供的材料。（招标项目采购需求中要求必须提供的材料，据实提供）</w:t>
      </w:r>
    </w:p>
    <w:p w14:paraId="6E26F045">
      <w:pPr>
        <w:rPr>
          <w:highlight w:val="none"/>
        </w:rPr>
      </w:pPr>
      <w:r>
        <w:rPr>
          <w:rFonts w:hint="eastAsia"/>
          <w:highlight w:val="none"/>
        </w:rPr>
        <w:br w:type="page"/>
      </w:r>
    </w:p>
    <w:p w14:paraId="7E89E789">
      <w:pPr>
        <w:snapToGrid w:val="0"/>
        <w:spacing w:before="156" w:beforeLines="50" w:after="50" w:line="360" w:lineRule="exact"/>
        <w:outlineLvl w:val="0"/>
        <w:rPr>
          <w:rFonts w:ascii="宋体" w:hAnsi="宋体"/>
          <w:b/>
          <w:szCs w:val="21"/>
          <w:highlight w:val="none"/>
        </w:rPr>
      </w:pPr>
      <w:bookmarkStart w:id="0" w:name="_Toc40865012"/>
      <w:bookmarkStart w:id="1" w:name="_Toc40865128"/>
      <w:bookmarkStart w:id="2" w:name="_Toc40864736"/>
      <w:r>
        <w:rPr>
          <w:rFonts w:hint="eastAsia" w:ascii="宋体" w:hAnsi="宋体"/>
          <w:b/>
          <w:szCs w:val="21"/>
          <w:highlight w:val="none"/>
          <w:lang w:val="en-US" w:eastAsia="zh-CN"/>
        </w:rPr>
        <w:t>3</w:t>
      </w:r>
      <w:r>
        <w:rPr>
          <w:rFonts w:hint="eastAsia" w:ascii="宋体" w:hAnsi="宋体"/>
          <w:b/>
          <w:szCs w:val="21"/>
          <w:highlight w:val="none"/>
        </w:rPr>
        <w:t>.报价文件部分 （格式）</w:t>
      </w:r>
      <w:bookmarkEnd w:id="0"/>
      <w:bookmarkEnd w:id="1"/>
      <w:bookmarkEnd w:id="2"/>
    </w:p>
    <w:p w14:paraId="484A8311">
      <w:pPr>
        <w:snapToGrid w:val="0"/>
        <w:spacing w:before="156" w:beforeLines="50" w:after="50" w:line="360" w:lineRule="exact"/>
        <w:rPr>
          <w:rFonts w:ascii="宋体" w:hAnsi="宋体"/>
          <w:b/>
          <w:szCs w:val="21"/>
          <w:highlight w:val="none"/>
        </w:rPr>
      </w:pPr>
      <w:r>
        <w:rPr>
          <w:rFonts w:hint="eastAsia" w:ascii="宋体" w:hAnsi="宋体"/>
          <w:b/>
          <w:szCs w:val="21"/>
          <w:highlight w:val="none"/>
          <w:lang w:val="en-US" w:eastAsia="zh-CN"/>
        </w:rPr>
        <w:t>（1）</w:t>
      </w:r>
      <w:r>
        <w:rPr>
          <w:rFonts w:hint="eastAsia" w:ascii="宋体" w:hAnsi="宋体"/>
          <w:b/>
          <w:szCs w:val="21"/>
          <w:highlight w:val="none"/>
          <w:lang w:eastAsia="zh-CN"/>
        </w:rPr>
        <w:t>采购报价</w:t>
      </w:r>
      <w:r>
        <w:rPr>
          <w:rFonts w:hint="eastAsia" w:ascii="宋体" w:hAnsi="宋体"/>
          <w:b/>
          <w:szCs w:val="21"/>
          <w:highlight w:val="none"/>
        </w:rPr>
        <w:t>明细表格式</w:t>
      </w:r>
    </w:p>
    <w:p w14:paraId="63B222E7">
      <w:pPr>
        <w:pStyle w:val="4"/>
        <w:snapToGrid w:val="0"/>
        <w:spacing w:before="295" w:after="295" w:line="360" w:lineRule="exact"/>
        <w:ind w:firstLine="90" w:firstLineChars="50"/>
        <w:rPr>
          <w:rFonts w:hAnsi="宋体"/>
          <w:highlight w:val="none"/>
        </w:rPr>
      </w:pPr>
      <w:r>
        <w:rPr>
          <w:rFonts w:hint="eastAsia" w:hAnsi="宋体"/>
          <w:highlight w:val="none"/>
        </w:rPr>
        <w:t xml:space="preserve">                                                金额单位：人民币（元）</w:t>
      </w:r>
    </w:p>
    <w:tbl>
      <w:tblPr>
        <w:tblStyle w:val="13"/>
        <w:tblW w:w="9097" w:type="dxa"/>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4"/>
        <w:gridCol w:w="992"/>
        <w:gridCol w:w="1815"/>
        <w:gridCol w:w="1197"/>
        <w:gridCol w:w="1331"/>
        <w:gridCol w:w="1231"/>
        <w:gridCol w:w="1887"/>
      </w:tblGrid>
      <w:tr w14:paraId="147757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vAlign w:val="center"/>
          </w:tcPr>
          <w:p w14:paraId="527E66E4">
            <w:pPr>
              <w:snapToGrid w:val="0"/>
              <w:spacing w:line="360" w:lineRule="exact"/>
              <w:jc w:val="center"/>
              <w:rPr>
                <w:rFonts w:ascii="宋体" w:hAnsi="宋体"/>
                <w:szCs w:val="21"/>
                <w:highlight w:val="none"/>
              </w:rPr>
            </w:pPr>
            <w:r>
              <w:rPr>
                <w:rFonts w:hint="eastAsia" w:ascii="宋体" w:hAnsi="宋体"/>
                <w:szCs w:val="21"/>
                <w:highlight w:val="none"/>
              </w:rPr>
              <w:t>序号</w:t>
            </w:r>
          </w:p>
        </w:tc>
        <w:tc>
          <w:tcPr>
            <w:tcW w:w="992" w:type="dxa"/>
            <w:tcBorders>
              <w:top w:val="single" w:color="auto" w:sz="4" w:space="0"/>
              <w:left w:val="single" w:color="auto" w:sz="4" w:space="0"/>
              <w:bottom w:val="single" w:color="auto" w:sz="4" w:space="0"/>
              <w:right w:val="single" w:color="auto" w:sz="4" w:space="0"/>
            </w:tcBorders>
            <w:vAlign w:val="center"/>
          </w:tcPr>
          <w:p w14:paraId="27504558">
            <w:pPr>
              <w:snapToGrid w:val="0"/>
              <w:spacing w:line="360" w:lineRule="exact"/>
              <w:jc w:val="center"/>
              <w:rPr>
                <w:rFonts w:hint="eastAsia" w:ascii="宋体" w:hAnsi="宋体" w:eastAsiaTheme="minorEastAsia"/>
                <w:szCs w:val="21"/>
                <w:highlight w:val="none"/>
                <w:lang w:eastAsia="zh-CN"/>
              </w:rPr>
            </w:pPr>
            <w:r>
              <w:rPr>
                <w:rFonts w:hint="eastAsia" w:ascii="宋体" w:hAnsi="宋体"/>
                <w:szCs w:val="21"/>
                <w:highlight w:val="none"/>
                <w:lang w:eastAsia="zh-CN"/>
              </w:rPr>
              <w:t>产品</w:t>
            </w:r>
          </w:p>
          <w:p w14:paraId="3B844C8D">
            <w:pPr>
              <w:snapToGrid w:val="0"/>
              <w:spacing w:line="360" w:lineRule="exact"/>
              <w:jc w:val="center"/>
              <w:rPr>
                <w:rFonts w:ascii="宋体" w:hAnsi="宋体"/>
                <w:szCs w:val="21"/>
                <w:highlight w:val="none"/>
              </w:rPr>
            </w:pPr>
            <w:r>
              <w:rPr>
                <w:rFonts w:hint="eastAsia" w:ascii="宋体" w:hAnsi="宋体"/>
                <w:szCs w:val="21"/>
                <w:highlight w:val="none"/>
              </w:rPr>
              <w:t>名称</w:t>
            </w:r>
          </w:p>
        </w:tc>
        <w:tc>
          <w:tcPr>
            <w:tcW w:w="1815" w:type="dxa"/>
            <w:tcBorders>
              <w:top w:val="single" w:color="auto" w:sz="4" w:space="0"/>
              <w:left w:val="single" w:color="auto" w:sz="4" w:space="0"/>
              <w:bottom w:val="single" w:color="auto" w:sz="4" w:space="0"/>
              <w:right w:val="single" w:color="auto" w:sz="4" w:space="0"/>
            </w:tcBorders>
            <w:vAlign w:val="center"/>
          </w:tcPr>
          <w:p w14:paraId="571843AA">
            <w:pPr>
              <w:snapToGrid w:val="0"/>
              <w:spacing w:line="360" w:lineRule="exact"/>
              <w:jc w:val="center"/>
              <w:rPr>
                <w:rFonts w:ascii="宋体" w:hAnsi="宋体"/>
                <w:szCs w:val="21"/>
                <w:highlight w:val="none"/>
              </w:rPr>
            </w:pPr>
            <w:r>
              <w:rPr>
                <w:rFonts w:hint="eastAsia" w:ascii="宋体" w:hAnsi="宋体"/>
                <w:szCs w:val="21"/>
                <w:highlight w:val="none"/>
              </w:rPr>
              <w:t>品牌、型号规格、生产厂家</w:t>
            </w:r>
          </w:p>
        </w:tc>
        <w:tc>
          <w:tcPr>
            <w:tcW w:w="1197" w:type="dxa"/>
            <w:tcBorders>
              <w:top w:val="single" w:color="auto" w:sz="4" w:space="0"/>
              <w:left w:val="single" w:color="auto" w:sz="4" w:space="0"/>
              <w:bottom w:val="single" w:color="auto" w:sz="4" w:space="0"/>
              <w:right w:val="single" w:color="auto" w:sz="4" w:space="0"/>
            </w:tcBorders>
            <w:vAlign w:val="center"/>
          </w:tcPr>
          <w:p w14:paraId="13942819">
            <w:pPr>
              <w:snapToGrid w:val="0"/>
              <w:spacing w:line="360" w:lineRule="exact"/>
              <w:jc w:val="center"/>
              <w:rPr>
                <w:rFonts w:ascii="宋体" w:hAnsi="宋体"/>
                <w:szCs w:val="21"/>
                <w:highlight w:val="none"/>
              </w:rPr>
            </w:pPr>
            <w:r>
              <w:rPr>
                <w:rFonts w:hint="eastAsia" w:ascii="宋体" w:hAnsi="宋体"/>
                <w:szCs w:val="21"/>
                <w:highlight w:val="none"/>
              </w:rPr>
              <w:t>数量</w:t>
            </w:r>
          </w:p>
        </w:tc>
        <w:tc>
          <w:tcPr>
            <w:tcW w:w="1331" w:type="dxa"/>
            <w:tcBorders>
              <w:top w:val="single" w:color="auto" w:sz="4" w:space="0"/>
              <w:left w:val="single" w:color="auto" w:sz="4" w:space="0"/>
              <w:bottom w:val="single" w:color="auto" w:sz="4" w:space="0"/>
              <w:right w:val="single" w:color="auto" w:sz="4" w:space="0"/>
            </w:tcBorders>
            <w:vAlign w:val="center"/>
          </w:tcPr>
          <w:p w14:paraId="60DBD83A">
            <w:pPr>
              <w:snapToGrid w:val="0"/>
              <w:spacing w:line="360" w:lineRule="exact"/>
              <w:jc w:val="center"/>
              <w:rPr>
                <w:rFonts w:ascii="宋体" w:hAnsi="宋体"/>
                <w:szCs w:val="21"/>
                <w:highlight w:val="none"/>
              </w:rPr>
            </w:pPr>
            <w:r>
              <w:rPr>
                <w:rFonts w:hint="eastAsia" w:ascii="宋体" w:hAnsi="宋体"/>
                <w:szCs w:val="21"/>
                <w:highlight w:val="none"/>
              </w:rPr>
              <w:t>单位</w:t>
            </w:r>
          </w:p>
        </w:tc>
        <w:tc>
          <w:tcPr>
            <w:tcW w:w="1231" w:type="dxa"/>
            <w:tcBorders>
              <w:top w:val="single" w:color="auto" w:sz="4" w:space="0"/>
              <w:left w:val="single" w:color="auto" w:sz="4" w:space="0"/>
              <w:bottom w:val="single" w:color="auto" w:sz="4" w:space="0"/>
              <w:right w:val="single" w:color="auto" w:sz="4" w:space="0"/>
            </w:tcBorders>
            <w:vAlign w:val="center"/>
          </w:tcPr>
          <w:p w14:paraId="59ED8E43">
            <w:pPr>
              <w:snapToGrid w:val="0"/>
              <w:spacing w:line="360" w:lineRule="exact"/>
              <w:jc w:val="center"/>
              <w:rPr>
                <w:rFonts w:ascii="宋体" w:hAnsi="宋体"/>
                <w:szCs w:val="21"/>
                <w:highlight w:val="none"/>
              </w:rPr>
            </w:pPr>
            <w:r>
              <w:rPr>
                <w:rFonts w:hint="eastAsia" w:ascii="宋体" w:hAnsi="宋体"/>
                <w:szCs w:val="21"/>
                <w:highlight w:val="none"/>
              </w:rPr>
              <w:t>单价（元）</w:t>
            </w:r>
          </w:p>
        </w:tc>
        <w:tc>
          <w:tcPr>
            <w:tcW w:w="1887" w:type="dxa"/>
            <w:tcBorders>
              <w:top w:val="single" w:color="auto" w:sz="4" w:space="0"/>
              <w:left w:val="single" w:color="auto" w:sz="4" w:space="0"/>
              <w:bottom w:val="single" w:color="auto" w:sz="4" w:space="0"/>
              <w:right w:val="single" w:color="auto" w:sz="4" w:space="0"/>
            </w:tcBorders>
            <w:vAlign w:val="center"/>
          </w:tcPr>
          <w:p w14:paraId="13682279">
            <w:pPr>
              <w:snapToGrid w:val="0"/>
              <w:spacing w:line="360" w:lineRule="exact"/>
              <w:jc w:val="center"/>
              <w:rPr>
                <w:rFonts w:ascii="宋体" w:hAnsi="宋体"/>
                <w:szCs w:val="21"/>
                <w:highlight w:val="none"/>
              </w:rPr>
            </w:pPr>
            <w:r>
              <w:rPr>
                <w:rFonts w:hint="eastAsia" w:ascii="宋体" w:hAnsi="宋体"/>
                <w:szCs w:val="21"/>
                <w:highlight w:val="none"/>
              </w:rPr>
              <w:t>金额（元）</w:t>
            </w:r>
          </w:p>
        </w:tc>
      </w:tr>
      <w:tr w14:paraId="11E531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4" w:type="dxa"/>
            <w:tcBorders>
              <w:top w:val="single" w:color="auto" w:sz="4" w:space="0"/>
              <w:left w:val="single" w:color="auto" w:sz="4" w:space="0"/>
              <w:bottom w:val="single" w:color="auto" w:sz="4" w:space="0"/>
              <w:right w:val="single" w:color="auto" w:sz="4" w:space="0"/>
            </w:tcBorders>
          </w:tcPr>
          <w:p w14:paraId="256E8D2E">
            <w:pPr>
              <w:tabs>
                <w:tab w:val="left" w:pos="1418"/>
              </w:tabs>
              <w:snapToGrid w:val="0"/>
              <w:spacing w:before="50" w:after="50" w:line="360" w:lineRule="exact"/>
              <w:jc w:val="center"/>
              <w:rPr>
                <w:rFonts w:ascii="宋体" w:hAnsi="宋体"/>
                <w:spacing w:val="20"/>
                <w:szCs w:val="21"/>
                <w:highlight w:val="none"/>
              </w:rPr>
            </w:pPr>
          </w:p>
        </w:tc>
        <w:tc>
          <w:tcPr>
            <w:tcW w:w="992" w:type="dxa"/>
            <w:tcBorders>
              <w:top w:val="single" w:color="auto" w:sz="4" w:space="0"/>
              <w:left w:val="single" w:color="auto" w:sz="4" w:space="0"/>
              <w:bottom w:val="single" w:color="auto" w:sz="4" w:space="0"/>
              <w:right w:val="single" w:color="auto" w:sz="4" w:space="0"/>
            </w:tcBorders>
          </w:tcPr>
          <w:p w14:paraId="35F62584">
            <w:pPr>
              <w:tabs>
                <w:tab w:val="left" w:pos="1418"/>
              </w:tabs>
              <w:snapToGrid w:val="0"/>
              <w:spacing w:before="50" w:after="50" w:line="360" w:lineRule="exact"/>
              <w:jc w:val="center"/>
              <w:rPr>
                <w:rFonts w:ascii="宋体" w:hAnsi="宋体"/>
                <w:spacing w:val="20"/>
                <w:szCs w:val="21"/>
                <w:highlight w:val="none"/>
              </w:rPr>
            </w:pPr>
          </w:p>
        </w:tc>
        <w:tc>
          <w:tcPr>
            <w:tcW w:w="1815" w:type="dxa"/>
            <w:tcBorders>
              <w:top w:val="single" w:color="auto" w:sz="4" w:space="0"/>
              <w:left w:val="single" w:color="auto" w:sz="4" w:space="0"/>
              <w:bottom w:val="single" w:color="auto" w:sz="4" w:space="0"/>
              <w:right w:val="single" w:color="auto" w:sz="4" w:space="0"/>
            </w:tcBorders>
          </w:tcPr>
          <w:p w14:paraId="21F041EA">
            <w:pPr>
              <w:tabs>
                <w:tab w:val="left" w:pos="1418"/>
              </w:tabs>
              <w:snapToGrid w:val="0"/>
              <w:spacing w:before="50" w:after="50" w:line="360" w:lineRule="exact"/>
              <w:jc w:val="center"/>
              <w:rPr>
                <w:rFonts w:ascii="宋体" w:hAnsi="宋体"/>
                <w:spacing w:val="20"/>
                <w:szCs w:val="21"/>
                <w:highlight w:val="none"/>
              </w:rPr>
            </w:pPr>
          </w:p>
        </w:tc>
        <w:tc>
          <w:tcPr>
            <w:tcW w:w="1197" w:type="dxa"/>
            <w:tcBorders>
              <w:top w:val="single" w:color="auto" w:sz="4" w:space="0"/>
              <w:left w:val="single" w:color="auto" w:sz="4" w:space="0"/>
              <w:bottom w:val="single" w:color="auto" w:sz="4" w:space="0"/>
              <w:right w:val="single" w:color="auto" w:sz="4" w:space="0"/>
            </w:tcBorders>
          </w:tcPr>
          <w:p w14:paraId="43E07FD5">
            <w:pPr>
              <w:tabs>
                <w:tab w:val="left" w:pos="1418"/>
              </w:tabs>
              <w:snapToGrid w:val="0"/>
              <w:spacing w:before="50" w:after="50" w:line="360" w:lineRule="exact"/>
              <w:jc w:val="center"/>
              <w:rPr>
                <w:rFonts w:ascii="宋体" w:hAnsi="宋体"/>
                <w:spacing w:val="20"/>
                <w:szCs w:val="21"/>
                <w:highlight w:val="none"/>
              </w:rPr>
            </w:pPr>
          </w:p>
        </w:tc>
        <w:tc>
          <w:tcPr>
            <w:tcW w:w="1331" w:type="dxa"/>
            <w:tcBorders>
              <w:top w:val="single" w:color="auto" w:sz="4" w:space="0"/>
              <w:left w:val="single" w:color="auto" w:sz="4" w:space="0"/>
              <w:bottom w:val="single" w:color="auto" w:sz="4" w:space="0"/>
              <w:right w:val="single" w:color="auto" w:sz="4" w:space="0"/>
            </w:tcBorders>
          </w:tcPr>
          <w:p w14:paraId="44AF970D">
            <w:pPr>
              <w:tabs>
                <w:tab w:val="left" w:pos="1418"/>
              </w:tabs>
              <w:snapToGrid w:val="0"/>
              <w:spacing w:before="50" w:after="50" w:line="360" w:lineRule="exact"/>
              <w:jc w:val="center"/>
              <w:rPr>
                <w:rFonts w:ascii="宋体" w:hAnsi="宋体"/>
                <w:spacing w:val="20"/>
                <w:szCs w:val="21"/>
                <w:highlight w:val="none"/>
              </w:rPr>
            </w:pPr>
          </w:p>
        </w:tc>
        <w:tc>
          <w:tcPr>
            <w:tcW w:w="1231" w:type="dxa"/>
            <w:tcBorders>
              <w:top w:val="single" w:color="auto" w:sz="4" w:space="0"/>
              <w:left w:val="single" w:color="auto" w:sz="4" w:space="0"/>
              <w:bottom w:val="single" w:color="auto" w:sz="4" w:space="0"/>
              <w:right w:val="single" w:color="auto" w:sz="4" w:space="0"/>
            </w:tcBorders>
          </w:tcPr>
          <w:p w14:paraId="56351E45">
            <w:pPr>
              <w:tabs>
                <w:tab w:val="left" w:pos="1418"/>
              </w:tabs>
              <w:snapToGrid w:val="0"/>
              <w:spacing w:before="50" w:after="50" w:line="360" w:lineRule="exact"/>
              <w:jc w:val="center"/>
              <w:rPr>
                <w:rFonts w:ascii="宋体" w:hAnsi="宋体"/>
                <w:spacing w:val="20"/>
                <w:szCs w:val="21"/>
                <w:highlight w:val="none"/>
              </w:rPr>
            </w:pPr>
          </w:p>
        </w:tc>
        <w:tc>
          <w:tcPr>
            <w:tcW w:w="1887" w:type="dxa"/>
            <w:tcBorders>
              <w:top w:val="single" w:color="auto" w:sz="4" w:space="0"/>
              <w:left w:val="single" w:color="auto" w:sz="4" w:space="0"/>
              <w:bottom w:val="single" w:color="auto" w:sz="4" w:space="0"/>
              <w:right w:val="single" w:color="auto" w:sz="4" w:space="0"/>
            </w:tcBorders>
          </w:tcPr>
          <w:p w14:paraId="5863AE51">
            <w:pPr>
              <w:tabs>
                <w:tab w:val="left" w:pos="1418"/>
              </w:tabs>
              <w:snapToGrid w:val="0"/>
              <w:spacing w:before="50" w:after="50" w:line="360" w:lineRule="exact"/>
              <w:jc w:val="center"/>
              <w:rPr>
                <w:rFonts w:ascii="宋体" w:hAnsi="宋体"/>
                <w:spacing w:val="20"/>
                <w:szCs w:val="21"/>
                <w:highlight w:val="none"/>
              </w:rPr>
            </w:pPr>
          </w:p>
        </w:tc>
      </w:tr>
      <w:tr w14:paraId="5765F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644" w:type="dxa"/>
            <w:tcBorders>
              <w:top w:val="single" w:color="auto" w:sz="4" w:space="0"/>
              <w:left w:val="single" w:color="auto" w:sz="4" w:space="0"/>
              <w:bottom w:val="single" w:color="auto" w:sz="4" w:space="0"/>
              <w:right w:val="single" w:color="auto" w:sz="4" w:space="0"/>
            </w:tcBorders>
          </w:tcPr>
          <w:p w14:paraId="044BB125">
            <w:pPr>
              <w:tabs>
                <w:tab w:val="left" w:pos="1418"/>
              </w:tabs>
              <w:snapToGrid w:val="0"/>
              <w:spacing w:before="50" w:after="50" w:line="360" w:lineRule="exact"/>
              <w:jc w:val="center"/>
              <w:rPr>
                <w:rFonts w:ascii="宋体" w:hAnsi="宋体"/>
                <w:spacing w:val="20"/>
                <w:szCs w:val="21"/>
                <w:highlight w:val="none"/>
              </w:rPr>
            </w:pPr>
          </w:p>
        </w:tc>
        <w:tc>
          <w:tcPr>
            <w:tcW w:w="992" w:type="dxa"/>
            <w:tcBorders>
              <w:top w:val="single" w:color="auto" w:sz="4" w:space="0"/>
              <w:left w:val="single" w:color="auto" w:sz="4" w:space="0"/>
              <w:bottom w:val="single" w:color="auto" w:sz="4" w:space="0"/>
              <w:right w:val="single" w:color="auto" w:sz="4" w:space="0"/>
            </w:tcBorders>
          </w:tcPr>
          <w:p w14:paraId="6DB03F4B">
            <w:pPr>
              <w:tabs>
                <w:tab w:val="left" w:pos="1418"/>
              </w:tabs>
              <w:snapToGrid w:val="0"/>
              <w:spacing w:before="50" w:after="50" w:line="360" w:lineRule="exact"/>
              <w:jc w:val="center"/>
              <w:rPr>
                <w:rFonts w:ascii="宋体" w:hAnsi="宋体"/>
                <w:spacing w:val="20"/>
                <w:szCs w:val="21"/>
                <w:highlight w:val="none"/>
              </w:rPr>
            </w:pPr>
          </w:p>
        </w:tc>
        <w:tc>
          <w:tcPr>
            <w:tcW w:w="1815" w:type="dxa"/>
            <w:tcBorders>
              <w:top w:val="single" w:color="auto" w:sz="4" w:space="0"/>
              <w:left w:val="single" w:color="auto" w:sz="4" w:space="0"/>
              <w:bottom w:val="single" w:color="auto" w:sz="4" w:space="0"/>
              <w:right w:val="single" w:color="auto" w:sz="4" w:space="0"/>
            </w:tcBorders>
          </w:tcPr>
          <w:p w14:paraId="650019B0">
            <w:pPr>
              <w:tabs>
                <w:tab w:val="left" w:pos="1418"/>
              </w:tabs>
              <w:snapToGrid w:val="0"/>
              <w:spacing w:before="50" w:after="50" w:line="360" w:lineRule="exact"/>
              <w:jc w:val="center"/>
              <w:rPr>
                <w:rFonts w:ascii="宋体" w:hAnsi="宋体"/>
                <w:spacing w:val="20"/>
                <w:szCs w:val="21"/>
                <w:highlight w:val="none"/>
              </w:rPr>
            </w:pPr>
          </w:p>
        </w:tc>
        <w:tc>
          <w:tcPr>
            <w:tcW w:w="1197" w:type="dxa"/>
            <w:tcBorders>
              <w:top w:val="single" w:color="auto" w:sz="4" w:space="0"/>
              <w:left w:val="single" w:color="auto" w:sz="4" w:space="0"/>
              <w:bottom w:val="single" w:color="auto" w:sz="4" w:space="0"/>
              <w:right w:val="single" w:color="auto" w:sz="4" w:space="0"/>
            </w:tcBorders>
          </w:tcPr>
          <w:p w14:paraId="60554891">
            <w:pPr>
              <w:tabs>
                <w:tab w:val="left" w:pos="1418"/>
              </w:tabs>
              <w:snapToGrid w:val="0"/>
              <w:spacing w:before="50" w:after="50" w:line="360" w:lineRule="exact"/>
              <w:jc w:val="center"/>
              <w:rPr>
                <w:rFonts w:ascii="宋体" w:hAnsi="宋体"/>
                <w:spacing w:val="20"/>
                <w:szCs w:val="21"/>
                <w:highlight w:val="none"/>
              </w:rPr>
            </w:pPr>
          </w:p>
        </w:tc>
        <w:tc>
          <w:tcPr>
            <w:tcW w:w="1331" w:type="dxa"/>
            <w:tcBorders>
              <w:top w:val="single" w:color="auto" w:sz="4" w:space="0"/>
              <w:left w:val="single" w:color="auto" w:sz="4" w:space="0"/>
              <w:bottom w:val="single" w:color="auto" w:sz="4" w:space="0"/>
              <w:right w:val="single" w:color="auto" w:sz="4" w:space="0"/>
            </w:tcBorders>
          </w:tcPr>
          <w:p w14:paraId="75F94097">
            <w:pPr>
              <w:tabs>
                <w:tab w:val="left" w:pos="1418"/>
              </w:tabs>
              <w:snapToGrid w:val="0"/>
              <w:spacing w:before="50" w:after="50" w:line="360" w:lineRule="exact"/>
              <w:jc w:val="center"/>
              <w:rPr>
                <w:rFonts w:ascii="宋体" w:hAnsi="宋体"/>
                <w:spacing w:val="20"/>
                <w:szCs w:val="21"/>
                <w:highlight w:val="none"/>
              </w:rPr>
            </w:pPr>
          </w:p>
        </w:tc>
        <w:tc>
          <w:tcPr>
            <w:tcW w:w="1231" w:type="dxa"/>
            <w:tcBorders>
              <w:top w:val="single" w:color="auto" w:sz="4" w:space="0"/>
              <w:left w:val="single" w:color="auto" w:sz="4" w:space="0"/>
              <w:bottom w:val="single" w:color="auto" w:sz="4" w:space="0"/>
              <w:right w:val="single" w:color="auto" w:sz="4" w:space="0"/>
            </w:tcBorders>
          </w:tcPr>
          <w:p w14:paraId="699CB2CE">
            <w:pPr>
              <w:tabs>
                <w:tab w:val="left" w:pos="1418"/>
              </w:tabs>
              <w:snapToGrid w:val="0"/>
              <w:spacing w:before="50" w:after="50" w:line="360" w:lineRule="exact"/>
              <w:jc w:val="center"/>
              <w:rPr>
                <w:rFonts w:ascii="宋体" w:hAnsi="宋体"/>
                <w:spacing w:val="20"/>
                <w:szCs w:val="21"/>
                <w:highlight w:val="none"/>
              </w:rPr>
            </w:pPr>
          </w:p>
        </w:tc>
        <w:tc>
          <w:tcPr>
            <w:tcW w:w="1887" w:type="dxa"/>
            <w:tcBorders>
              <w:top w:val="single" w:color="auto" w:sz="4" w:space="0"/>
              <w:left w:val="single" w:color="auto" w:sz="4" w:space="0"/>
              <w:bottom w:val="single" w:color="auto" w:sz="4" w:space="0"/>
              <w:right w:val="single" w:color="auto" w:sz="4" w:space="0"/>
            </w:tcBorders>
          </w:tcPr>
          <w:p w14:paraId="7EEB8BE6">
            <w:pPr>
              <w:tabs>
                <w:tab w:val="left" w:pos="1418"/>
              </w:tabs>
              <w:snapToGrid w:val="0"/>
              <w:spacing w:before="50" w:after="50" w:line="360" w:lineRule="exact"/>
              <w:jc w:val="center"/>
              <w:rPr>
                <w:rFonts w:ascii="宋体" w:hAnsi="宋体"/>
                <w:spacing w:val="20"/>
                <w:szCs w:val="21"/>
                <w:highlight w:val="none"/>
              </w:rPr>
            </w:pPr>
          </w:p>
        </w:tc>
      </w:tr>
      <w:tr w14:paraId="035CE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644" w:type="dxa"/>
            <w:tcBorders>
              <w:top w:val="single" w:color="auto" w:sz="4" w:space="0"/>
              <w:left w:val="single" w:color="auto" w:sz="4" w:space="0"/>
              <w:bottom w:val="single" w:color="auto" w:sz="4" w:space="0"/>
              <w:right w:val="single" w:color="auto" w:sz="4" w:space="0"/>
            </w:tcBorders>
          </w:tcPr>
          <w:p w14:paraId="5C7CC43E">
            <w:pPr>
              <w:tabs>
                <w:tab w:val="left" w:pos="1418"/>
              </w:tabs>
              <w:snapToGrid w:val="0"/>
              <w:spacing w:before="50" w:after="50" w:line="360" w:lineRule="exact"/>
              <w:jc w:val="center"/>
              <w:rPr>
                <w:rFonts w:ascii="宋体" w:hAnsi="宋体"/>
                <w:spacing w:val="20"/>
                <w:szCs w:val="21"/>
                <w:highlight w:val="none"/>
              </w:rPr>
            </w:pPr>
            <w:r>
              <w:rPr>
                <w:rFonts w:hint="eastAsia" w:ascii="宋体" w:hAnsi="宋体"/>
                <w:spacing w:val="20"/>
                <w:szCs w:val="21"/>
                <w:highlight w:val="none"/>
              </w:rPr>
              <w:t>…</w:t>
            </w:r>
          </w:p>
        </w:tc>
        <w:tc>
          <w:tcPr>
            <w:tcW w:w="992" w:type="dxa"/>
            <w:tcBorders>
              <w:top w:val="single" w:color="auto" w:sz="4" w:space="0"/>
              <w:left w:val="single" w:color="auto" w:sz="4" w:space="0"/>
              <w:bottom w:val="single" w:color="auto" w:sz="4" w:space="0"/>
              <w:right w:val="single" w:color="auto" w:sz="4" w:space="0"/>
            </w:tcBorders>
          </w:tcPr>
          <w:p w14:paraId="6029C062">
            <w:pPr>
              <w:tabs>
                <w:tab w:val="left" w:pos="1418"/>
              </w:tabs>
              <w:snapToGrid w:val="0"/>
              <w:spacing w:before="50" w:after="50" w:line="360" w:lineRule="exact"/>
              <w:jc w:val="center"/>
              <w:rPr>
                <w:rFonts w:ascii="宋体" w:hAnsi="宋体"/>
                <w:spacing w:val="20"/>
                <w:szCs w:val="21"/>
                <w:highlight w:val="none"/>
              </w:rPr>
            </w:pPr>
          </w:p>
        </w:tc>
        <w:tc>
          <w:tcPr>
            <w:tcW w:w="1815" w:type="dxa"/>
            <w:tcBorders>
              <w:top w:val="single" w:color="auto" w:sz="4" w:space="0"/>
              <w:left w:val="single" w:color="auto" w:sz="4" w:space="0"/>
              <w:bottom w:val="single" w:color="auto" w:sz="4" w:space="0"/>
              <w:right w:val="single" w:color="auto" w:sz="4" w:space="0"/>
            </w:tcBorders>
          </w:tcPr>
          <w:p w14:paraId="4D368787">
            <w:pPr>
              <w:tabs>
                <w:tab w:val="left" w:pos="1418"/>
              </w:tabs>
              <w:snapToGrid w:val="0"/>
              <w:spacing w:before="50" w:after="50" w:line="360" w:lineRule="exact"/>
              <w:jc w:val="center"/>
              <w:rPr>
                <w:rFonts w:ascii="宋体" w:hAnsi="宋体"/>
                <w:spacing w:val="20"/>
                <w:szCs w:val="21"/>
                <w:highlight w:val="none"/>
              </w:rPr>
            </w:pPr>
          </w:p>
        </w:tc>
        <w:tc>
          <w:tcPr>
            <w:tcW w:w="1197" w:type="dxa"/>
            <w:tcBorders>
              <w:top w:val="single" w:color="auto" w:sz="4" w:space="0"/>
              <w:left w:val="single" w:color="auto" w:sz="4" w:space="0"/>
              <w:bottom w:val="single" w:color="auto" w:sz="4" w:space="0"/>
              <w:right w:val="single" w:color="auto" w:sz="4" w:space="0"/>
            </w:tcBorders>
          </w:tcPr>
          <w:p w14:paraId="305CF45A">
            <w:pPr>
              <w:tabs>
                <w:tab w:val="left" w:pos="1418"/>
              </w:tabs>
              <w:snapToGrid w:val="0"/>
              <w:spacing w:before="50" w:after="50" w:line="360" w:lineRule="exact"/>
              <w:jc w:val="center"/>
              <w:rPr>
                <w:rFonts w:ascii="宋体" w:hAnsi="宋体"/>
                <w:spacing w:val="20"/>
                <w:szCs w:val="21"/>
                <w:highlight w:val="none"/>
              </w:rPr>
            </w:pPr>
          </w:p>
        </w:tc>
        <w:tc>
          <w:tcPr>
            <w:tcW w:w="1331" w:type="dxa"/>
            <w:tcBorders>
              <w:top w:val="single" w:color="auto" w:sz="4" w:space="0"/>
              <w:left w:val="single" w:color="auto" w:sz="4" w:space="0"/>
              <w:bottom w:val="single" w:color="auto" w:sz="4" w:space="0"/>
              <w:right w:val="single" w:color="auto" w:sz="4" w:space="0"/>
            </w:tcBorders>
          </w:tcPr>
          <w:p w14:paraId="655F0C92">
            <w:pPr>
              <w:tabs>
                <w:tab w:val="left" w:pos="1418"/>
              </w:tabs>
              <w:snapToGrid w:val="0"/>
              <w:spacing w:before="50" w:after="50" w:line="360" w:lineRule="exact"/>
              <w:jc w:val="center"/>
              <w:rPr>
                <w:rFonts w:ascii="宋体" w:hAnsi="宋体"/>
                <w:spacing w:val="20"/>
                <w:szCs w:val="21"/>
                <w:highlight w:val="none"/>
              </w:rPr>
            </w:pPr>
          </w:p>
        </w:tc>
        <w:tc>
          <w:tcPr>
            <w:tcW w:w="1231" w:type="dxa"/>
            <w:tcBorders>
              <w:top w:val="single" w:color="auto" w:sz="4" w:space="0"/>
              <w:left w:val="single" w:color="auto" w:sz="4" w:space="0"/>
              <w:bottom w:val="single" w:color="auto" w:sz="4" w:space="0"/>
              <w:right w:val="single" w:color="auto" w:sz="4" w:space="0"/>
            </w:tcBorders>
          </w:tcPr>
          <w:p w14:paraId="57D51A8D">
            <w:pPr>
              <w:tabs>
                <w:tab w:val="left" w:pos="1418"/>
              </w:tabs>
              <w:snapToGrid w:val="0"/>
              <w:spacing w:before="50" w:after="50" w:line="360" w:lineRule="exact"/>
              <w:jc w:val="center"/>
              <w:rPr>
                <w:rFonts w:ascii="宋体" w:hAnsi="宋体"/>
                <w:spacing w:val="20"/>
                <w:szCs w:val="21"/>
                <w:highlight w:val="none"/>
              </w:rPr>
            </w:pPr>
          </w:p>
        </w:tc>
        <w:tc>
          <w:tcPr>
            <w:tcW w:w="1887" w:type="dxa"/>
            <w:tcBorders>
              <w:top w:val="single" w:color="auto" w:sz="4" w:space="0"/>
              <w:left w:val="single" w:color="auto" w:sz="4" w:space="0"/>
              <w:bottom w:val="single" w:color="auto" w:sz="4" w:space="0"/>
              <w:right w:val="single" w:color="auto" w:sz="4" w:space="0"/>
            </w:tcBorders>
          </w:tcPr>
          <w:p w14:paraId="1DC9143E">
            <w:pPr>
              <w:tabs>
                <w:tab w:val="left" w:pos="1418"/>
              </w:tabs>
              <w:snapToGrid w:val="0"/>
              <w:spacing w:before="50" w:after="50" w:line="360" w:lineRule="exact"/>
              <w:jc w:val="center"/>
              <w:rPr>
                <w:rFonts w:ascii="宋体" w:hAnsi="宋体"/>
                <w:spacing w:val="20"/>
                <w:szCs w:val="21"/>
                <w:highlight w:val="none"/>
              </w:rPr>
            </w:pPr>
          </w:p>
        </w:tc>
      </w:tr>
      <w:tr w14:paraId="769D9E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97" w:type="dxa"/>
            <w:gridSpan w:val="7"/>
            <w:tcBorders>
              <w:top w:val="single" w:color="auto" w:sz="4" w:space="0"/>
              <w:left w:val="single" w:color="auto" w:sz="4" w:space="0"/>
              <w:bottom w:val="single" w:color="auto" w:sz="4" w:space="0"/>
              <w:right w:val="single" w:color="auto" w:sz="4" w:space="0"/>
            </w:tcBorders>
          </w:tcPr>
          <w:p w14:paraId="6BFCB1FA">
            <w:pPr>
              <w:tabs>
                <w:tab w:val="left" w:pos="1418"/>
              </w:tabs>
              <w:snapToGrid w:val="0"/>
              <w:spacing w:before="50" w:after="50" w:line="360" w:lineRule="exact"/>
              <w:rPr>
                <w:rFonts w:ascii="宋体" w:hAnsi="宋体"/>
                <w:spacing w:val="20"/>
                <w:szCs w:val="21"/>
                <w:highlight w:val="none"/>
              </w:rPr>
            </w:pPr>
            <w:r>
              <w:rPr>
                <w:rFonts w:hint="eastAsia" w:ascii="宋体" w:hAnsi="宋体"/>
                <w:szCs w:val="21"/>
                <w:highlight w:val="none"/>
              </w:rPr>
              <w:t>￥</w:t>
            </w:r>
            <w:r>
              <w:rPr>
                <w:rFonts w:hint="eastAsia" w:ascii="宋体" w:hAnsi="宋体"/>
                <w:szCs w:val="21"/>
                <w:highlight w:val="none"/>
                <w:u w:val="single"/>
              </w:rPr>
              <w:t xml:space="preserve">            </w:t>
            </w:r>
          </w:p>
        </w:tc>
      </w:tr>
    </w:tbl>
    <w:p w14:paraId="6FB0A96D">
      <w:pPr>
        <w:tabs>
          <w:tab w:val="left" w:pos="1418"/>
        </w:tabs>
        <w:snapToGrid w:val="0"/>
        <w:spacing w:before="50" w:after="50" w:line="360" w:lineRule="exact"/>
        <w:ind w:left="1418" w:hanging="567"/>
        <w:jc w:val="center"/>
        <w:rPr>
          <w:rFonts w:ascii="宋体" w:hAnsi="宋体"/>
          <w:spacing w:val="20"/>
          <w:szCs w:val="21"/>
          <w:highlight w:val="none"/>
          <w:u w:val="single"/>
        </w:rPr>
      </w:pPr>
    </w:p>
    <w:p w14:paraId="152FF7E8">
      <w:pPr>
        <w:snapToGrid w:val="0"/>
        <w:spacing w:before="50" w:after="50" w:line="360" w:lineRule="exact"/>
        <w:rPr>
          <w:rFonts w:ascii="宋体" w:hAnsi="宋体"/>
          <w:spacing w:val="20"/>
          <w:szCs w:val="21"/>
          <w:highlight w:val="none"/>
          <w:u w:val="single"/>
        </w:rPr>
      </w:pPr>
      <w:r>
        <w:rPr>
          <w:rFonts w:hint="eastAsia" w:ascii="宋体" w:hAnsi="宋体"/>
          <w:szCs w:val="21"/>
          <w:highlight w:val="none"/>
        </w:rPr>
        <w:t>法定代表人或委托代理人签字（或签章）</w:t>
      </w:r>
      <w:r>
        <w:rPr>
          <w:rFonts w:hint="eastAsia" w:ascii="宋体" w:hAnsi="宋体"/>
          <w:spacing w:val="20"/>
          <w:szCs w:val="21"/>
          <w:highlight w:val="none"/>
        </w:rPr>
        <w:t>：</w:t>
      </w:r>
      <w:r>
        <w:rPr>
          <w:rFonts w:hint="eastAsia" w:ascii="宋体" w:hAnsi="宋体"/>
          <w:spacing w:val="20"/>
          <w:szCs w:val="21"/>
          <w:highlight w:val="none"/>
          <w:u w:val="single"/>
        </w:rPr>
        <w:t xml:space="preserve">          </w:t>
      </w:r>
    </w:p>
    <w:p w14:paraId="067F13E1">
      <w:pPr>
        <w:snapToGrid w:val="0"/>
        <w:spacing w:before="50" w:after="50" w:line="360" w:lineRule="exact"/>
        <w:rPr>
          <w:rFonts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 xml:space="preserve">盖章：                               日  期：         </w:t>
      </w:r>
    </w:p>
    <w:p w14:paraId="268C7EF6">
      <w:pPr>
        <w:snapToGrid w:val="0"/>
        <w:spacing w:before="156" w:beforeLines="50" w:after="50" w:line="360" w:lineRule="exact"/>
        <w:rPr>
          <w:rFonts w:ascii="宋体" w:hAnsi="宋体" w:eastAsia="宋体"/>
          <w:b/>
          <w:szCs w:val="21"/>
          <w:highlight w:val="none"/>
        </w:rPr>
      </w:pPr>
      <w:r>
        <w:rPr>
          <w:rFonts w:hint="eastAsia" w:ascii="宋体" w:hAnsi="宋体"/>
          <w:b/>
          <w:szCs w:val="21"/>
          <w:highlight w:val="none"/>
        </w:rPr>
        <w:t>【注：请</w:t>
      </w:r>
      <w:r>
        <w:rPr>
          <w:rFonts w:hint="eastAsia" w:ascii="宋体" w:hAnsi="宋体"/>
          <w:b/>
          <w:szCs w:val="21"/>
          <w:highlight w:val="none"/>
          <w:lang w:eastAsia="zh-CN"/>
        </w:rPr>
        <w:t>供应商</w:t>
      </w:r>
      <w:r>
        <w:rPr>
          <w:rFonts w:hint="eastAsia" w:ascii="宋体" w:hAnsi="宋体"/>
          <w:b/>
          <w:szCs w:val="21"/>
          <w:highlight w:val="none"/>
        </w:rPr>
        <w:t>审核好</w:t>
      </w:r>
      <w:r>
        <w:rPr>
          <w:rFonts w:hint="eastAsia" w:ascii="宋体" w:hAnsi="宋体"/>
          <w:b/>
          <w:szCs w:val="21"/>
          <w:highlight w:val="none"/>
          <w:lang w:eastAsia="zh-CN"/>
        </w:rPr>
        <w:t>产品</w:t>
      </w:r>
      <w:r>
        <w:rPr>
          <w:rFonts w:hint="eastAsia" w:ascii="宋体" w:hAnsi="宋体"/>
          <w:b/>
          <w:szCs w:val="21"/>
          <w:highlight w:val="none"/>
        </w:rPr>
        <w:t>名称（项号）、数量、单价，</w:t>
      </w:r>
      <w:r>
        <w:rPr>
          <w:rFonts w:hint="eastAsia" w:ascii="宋体" w:hAnsi="宋体"/>
          <w:b/>
          <w:szCs w:val="21"/>
          <w:highlight w:val="none"/>
          <w:lang w:eastAsia="zh-CN"/>
        </w:rPr>
        <w:t>采购报价</w:t>
      </w:r>
      <w:r>
        <w:rPr>
          <w:rFonts w:hint="eastAsia" w:ascii="宋体" w:hAnsi="宋体"/>
          <w:b/>
          <w:szCs w:val="21"/>
          <w:highlight w:val="none"/>
        </w:rPr>
        <w:t>金额（大小写报价一致）】</w:t>
      </w:r>
    </w:p>
    <w:p w14:paraId="621339A8">
      <w:pPr>
        <w:numPr>
          <w:ilvl w:val="0"/>
          <w:numId w:val="0"/>
        </w:numPr>
        <w:snapToGrid w:val="0"/>
        <w:spacing w:before="156" w:beforeLines="50" w:after="50" w:line="360" w:lineRule="exact"/>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2</w:t>
      </w:r>
      <w:r>
        <w:rPr>
          <w:rFonts w:hint="eastAsia" w:ascii="宋体" w:hAnsi="宋体"/>
          <w:szCs w:val="21"/>
          <w:highlight w:val="none"/>
          <w:lang w:eastAsia="zh-CN"/>
        </w:rPr>
        <w:t>）供应商</w:t>
      </w:r>
      <w:r>
        <w:rPr>
          <w:rFonts w:hint="eastAsia" w:ascii="宋体" w:hAnsi="宋体"/>
          <w:szCs w:val="21"/>
          <w:highlight w:val="none"/>
        </w:rPr>
        <w:t>针对报价需要说明的其他文件和说明（格式自拟）</w:t>
      </w:r>
    </w:p>
    <w:p w14:paraId="2037B93A">
      <w:pPr>
        <w:numPr>
          <w:ilvl w:val="0"/>
          <w:numId w:val="0"/>
        </w:numPr>
        <w:spacing w:line="340" w:lineRule="exact"/>
        <w:outlineLvl w:val="1"/>
        <w:rPr>
          <w:rFonts w:hint="default" w:ascii="宋体" w:hAnsi="宋体" w:eastAsia="宋体" w:cs="Times New Roman"/>
          <w:b/>
          <w:bCs w:val="0"/>
          <w:color w:val="auto"/>
          <w:sz w:val="24"/>
          <w:highlight w:val="none"/>
          <w:lang w:val="en-US" w:eastAsia="zh-CN"/>
        </w:rPr>
      </w:pPr>
    </w:p>
    <w:p w14:paraId="71726EEE">
      <w:pPr>
        <w:rPr>
          <w:rFonts w:hint="default" w:ascii="宋体" w:hAnsi="宋体" w:eastAsia="宋体" w:cs="Times New Roman"/>
          <w:b/>
          <w:bCs w:val="0"/>
          <w:color w:val="auto"/>
          <w:sz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auto"/>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82FBD"/>
    <w:rsid w:val="0D725A20"/>
    <w:rsid w:val="19AE6783"/>
    <w:rsid w:val="1EA72B18"/>
    <w:rsid w:val="2A2F3A54"/>
    <w:rsid w:val="2C182FBD"/>
    <w:rsid w:val="355B4871"/>
    <w:rsid w:val="6FF52935"/>
    <w:rsid w:val="7A771A51"/>
    <w:rsid w:val="FF5A05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keepNext/>
      <w:keepLines/>
      <w:spacing w:before="120" w:after="120" w:line="360" w:lineRule="auto"/>
      <w:ind w:left="2900" w:hanging="2900"/>
      <w:outlineLvl w:val="3"/>
    </w:pPr>
    <w:rPr>
      <w:rFonts w:ascii="Arial" w:hAnsi="Arial" w:eastAsia="黑体" w:cs="Times New Roman"/>
      <w:color w:val="000000"/>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pPr>
    <w:rPr>
      <w:rFonts w:ascii="Times New Roman" w:hAnsi="Times New Roman"/>
      <w:szCs w:val="20"/>
    </w:rPr>
  </w:style>
  <w:style w:type="paragraph" w:styleId="4">
    <w:name w:val="Plain Text"/>
    <w:basedOn w:val="1"/>
    <w:next w:val="2"/>
    <w:unhideWhenUsed/>
    <w:qFormat/>
    <w:uiPriority w:val="99"/>
    <w:pPr>
      <w:shd w:val="clear" w:color="auto" w:fill="FFFFFF"/>
      <w:spacing w:before="100" w:beforeAutospacing="1" w:after="100" w:afterAutospacing="1"/>
    </w:pPr>
    <w:rPr>
      <w:rFonts w:ascii="ˎ̥" w:hAnsi="ˎ̥"/>
      <w:sz w:val="18"/>
      <w:szCs w:val="18"/>
    </w:rPr>
  </w:style>
  <w:style w:type="paragraph" w:styleId="5">
    <w:name w:val="caption"/>
    <w:basedOn w:val="1"/>
    <w:next w:val="1"/>
    <w:qFormat/>
    <w:uiPriority w:val="0"/>
    <w:pPr>
      <w:spacing w:before="152" w:after="160"/>
    </w:pPr>
    <w:rPr>
      <w:rFonts w:ascii="Arial" w:hAnsi="Arial" w:eastAsia="黑体" w:cs="Arial"/>
      <w:sz w:val="20"/>
      <w:szCs w:val="20"/>
    </w:rPr>
  </w:style>
  <w:style w:type="paragraph" w:styleId="6">
    <w:name w:val="annotation text"/>
    <w:basedOn w:val="1"/>
    <w:qFormat/>
    <w:uiPriority w:val="0"/>
    <w:pPr>
      <w:jc w:val="left"/>
    </w:pPr>
  </w:style>
  <w:style w:type="paragraph" w:styleId="7">
    <w:name w:val="Body Text 3"/>
    <w:basedOn w:val="1"/>
    <w:qFormat/>
    <w:uiPriority w:val="0"/>
    <w:pPr>
      <w:spacing w:line="500" w:lineRule="exact"/>
    </w:pPr>
    <w:rPr>
      <w:b/>
      <w:bCs/>
      <w:sz w:val="24"/>
    </w:rPr>
  </w:style>
  <w:style w:type="paragraph" w:styleId="8">
    <w:name w:val="Body Text"/>
    <w:basedOn w:val="1"/>
    <w:next w:val="1"/>
    <w:qFormat/>
    <w:uiPriority w:val="0"/>
    <w:pPr>
      <w:spacing w:line="400" w:lineRule="exact"/>
    </w:pPr>
    <w:rPr>
      <w:rFonts w:ascii="楷体_GB2312"/>
      <w:sz w:val="28"/>
    </w:rPr>
  </w:style>
  <w:style w:type="paragraph" w:styleId="9">
    <w:name w:val="List 2"/>
    <w:basedOn w:val="1"/>
    <w:unhideWhenUsed/>
    <w:qFormat/>
    <w:uiPriority w:val="99"/>
    <w:pPr>
      <w:ind w:left="100" w:leftChars="200" w:hanging="200" w:hangingChars="200"/>
      <w:contextualSpacing/>
    </w:pPr>
  </w:style>
  <w:style w:type="paragraph" w:styleId="10">
    <w:name w:val="toc 1"/>
    <w:basedOn w:val="1"/>
    <w:next w:val="1"/>
    <w:qFormat/>
    <w:uiPriority w:val="39"/>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11">
    <w:name w:val="List"/>
    <w:basedOn w:val="1"/>
    <w:qFormat/>
    <w:uiPriority w:val="0"/>
    <w:pPr>
      <w:ind w:left="200" w:hanging="200" w:hangingChars="200"/>
    </w:pPr>
    <w:rPr>
      <w:sz w:val="28"/>
    </w:rPr>
  </w:style>
  <w:style w:type="paragraph" w:styleId="12">
    <w:name w:val="toc 2"/>
    <w:basedOn w:val="1"/>
    <w:next w:val="1"/>
    <w:qFormat/>
    <w:uiPriority w:val="39"/>
    <w:pPr>
      <w:ind w:left="420" w:leftChars="200"/>
    </w:pPr>
  </w:style>
  <w:style w:type="character" w:customStyle="1" w:styleId="15">
    <w:name w:val="font21"/>
    <w:basedOn w:val="14"/>
    <w:qFormat/>
    <w:uiPriority w:val="0"/>
    <w:rPr>
      <w:rFonts w:hint="eastAsia" w:ascii="宋体" w:hAnsi="宋体" w:eastAsia="宋体" w:cs="宋体"/>
      <w:b/>
      <w:bCs/>
      <w:color w:val="000000"/>
      <w:sz w:val="22"/>
      <w:szCs w:val="22"/>
      <w:u w:val="none"/>
    </w:rPr>
  </w:style>
  <w:style w:type="character" w:customStyle="1" w:styleId="16">
    <w:name w:val="font111"/>
    <w:basedOn w:val="14"/>
    <w:qFormat/>
    <w:uiPriority w:val="0"/>
    <w:rPr>
      <w:rFonts w:hint="eastAsia" w:ascii="等线" w:hAnsi="等线" w:eastAsia="等线" w:cs="等线"/>
      <w:b/>
      <w:bCs/>
      <w:color w:val="000000"/>
      <w:sz w:val="22"/>
      <w:szCs w:val="22"/>
      <w:u w:val="none"/>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108</Pages>
  <Words>1898</Words>
  <Characters>1929</Characters>
  <Lines>0</Lines>
  <Paragraphs>0</Paragraphs>
  <TotalTime>17</TotalTime>
  <ScaleCrop>false</ScaleCrop>
  <LinksUpToDate>false</LinksUpToDate>
  <CharactersWithSpaces>1931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2026-09-24T10:06:00Z</dcterms:created>
  <dc:creator>切犬巴</dc:creator>
  <cp:lastModifiedBy>QFL</cp:lastModifiedBy>
  <dcterms:modified xsi:type="dcterms:W3CDTF">2026-10-06T15:11:24Z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1A101C2353454CF3BCEF118AFB00EC73_13</vt:lpwstr>
  </property>
  <property fmtid="{D5CDD505-2E9C-101B-9397-08002B2CF9AE}" pid="4" name="KSOTemplateDocerSaveRecord">
    <vt:lpwstr>eyJoZGlkIjoiZGNiNDYzZTBlNmJmODQzYjIyNTNjMDdlMGI5ODQwYTkiLCJ1c2VySWQiOiIxMjExOTA1NDcwIn0=</vt:lpwstr>
  </property>
</Properties>
</file>