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260" w:tblpY="144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745"/>
        <w:gridCol w:w="846"/>
        <w:gridCol w:w="3893"/>
        <w:gridCol w:w="847"/>
        <w:gridCol w:w="662"/>
        <w:gridCol w:w="662"/>
        <w:gridCol w:w="662"/>
      </w:tblGrid>
      <w:tr w14:paraId="6C62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02" w:type="dxa"/>
            <w:noWrap w:val="0"/>
            <w:vAlign w:val="center"/>
          </w:tcPr>
          <w:p w14:paraId="7C64EAB3">
            <w:pPr>
              <w:pStyle w:val="3"/>
              <w:snapToGrid w:val="0"/>
              <w:spacing w:line="40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745" w:type="dxa"/>
            <w:noWrap w:val="0"/>
            <w:vAlign w:val="center"/>
          </w:tcPr>
          <w:p w14:paraId="09B42D8C">
            <w:pPr>
              <w:pStyle w:val="3"/>
              <w:snapToGrid w:val="0"/>
              <w:spacing w:line="40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货物名称</w:t>
            </w:r>
          </w:p>
        </w:tc>
        <w:tc>
          <w:tcPr>
            <w:tcW w:w="846" w:type="dxa"/>
            <w:noWrap w:val="0"/>
            <w:vAlign w:val="top"/>
          </w:tcPr>
          <w:p w14:paraId="2333C3F0">
            <w:pPr>
              <w:pStyle w:val="3"/>
              <w:snapToGrid w:val="0"/>
              <w:spacing w:line="40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参考</w:t>
            </w:r>
          </w:p>
          <w:p w14:paraId="4568F95A">
            <w:pPr>
              <w:pStyle w:val="3"/>
              <w:snapToGrid w:val="0"/>
              <w:spacing w:line="40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品牌</w:t>
            </w:r>
          </w:p>
        </w:tc>
        <w:tc>
          <w:tcPr>
            <w:tcW w:w="3893" w:type="dxa"/>
            <w:noWrap w:val="0"/>
            <w:vAlign w:val="center"/>
          </w:tcPr>
          <w:p w14:paraId="5A2085AA">
            <w:pPr>
              <w:pStyle w:val="3"/>
              <w:snapToGrid w:val="0"/>
              <w:spacing w:line="400" w:lineRule="exact"/>
              <w:jc w:val="center"/>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项目要求及技术需求</w:t>
            </w:r>
          </w:p>
        </w:tc>
        <w:tc>
          <w:tcPr>
            <w:tcW w:w="847" w:type="dxa"/>
            <w:noWrap w:val="0"/>
            <w:vAlign w:val="center"/>
          </w:tcPr>
          <w:p w14:paraId="660DEE9C">
            <w:pPr>
              <w:pStyle w:val="3"/>
              <w:snapToGrid w:val="0"/>
              <w:spacing w:line="400" w:lineRule="exact"/>
              <w:jc w:val="center"/>
              <w:outlineLvl w:val="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数量</w:t>
            </w:r>
          </w:p>
        </w:tc>
        <w:tc>
          <w:tcPr>
            <w:tcW w:w="662" w:type="dxa"/>
            <w:noWrap w:val="0"/>
            <w:vAlign w:val="center"/>
          </w:tcPr>
          <w:p w14:paraId="0C869C7A">
            <w:pPr>
              <w:pStyle w:val="3"/>
              <w:snapToGrid w:val="0"/>
              <w:spacing w:line="400" w:lineRule="exact"/>
              <w:jc w:val="center"/>
              <w:outlineLvl w:val="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单位</w:t>
            </w:r>
          </w:p>
        </w:tc>
        <w:tc>
          <w:tcPr>
            <w:tcW w:w="662" w:type="dxa"/>
            <w:noWrap w:val="0"/>
            <w:vAlign w:val="center"/>
          </w:tcPr>
          <w:p w14:paraId="42631829">
            <w:pPr>
              <w:pStyle w:val="3"/>
              <w:snapToGrid w:val="0"/>
              <w:spacing w:line="400" w:lineRule="exact"/>
              <w:jc w:val="center"/>
              <w:outlineLvl w:val="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单价</w:t>
            </w:r>
          </w:p>
        </w:tc>
        <w:tc>
          <w:tcPr>
            <w:tcW w:w="662" w:type="dxa"/>
            <w:noWrap w:val="0"/>
            <w:vAlign w:val="center"/>
          </w:tcPr>
          <w:p w14:paraId="54C800CC">
            <w:pPr>
              <w:pStyle w:val="3"/>
              <w:snapToGrid w:val="0"/>
              <w:spacing w:line="400" w:lineRule="exact"/>
              <w:jc w:val="center"/>
              <w:outlineLvl w:val="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总价</w:t>
            </w:r>
          </w:p>
        </w:tc>
      </w:tr>
      <w:tr w14:paraId="1194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noWrap w:val="0"/>
            <w:vAlign w:val="center"/>
          </w:tcPr>
          <w:p w14:paraId="05A6B0D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1</w:t>
            </w:r>
          </w:p>
        </w:tc>
        <w:tc>
          <w:tcPr>
            <w:tcW w:w="745" w:type="dxa"/>
            <w:noWrap w:val="0"/>
            <w:vAlign w:val="center"/>
          </w:tcPr>
          <w:p w14:paraId="1928CEE1">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LED显示屏室内</w:t>
            </w:r>
            <w:r>
              <w:rPr>
                <w:rFonts w:hint="eastAsia" w:ascii="宋体" w:hAnsi="宋体" w:cs="宋体"/>
                <w:b/>
                <w:bCs/>
                <w:color w:val="auto"/>
                <w:sz w:val="22"/>
                <w:szCs w:val="22"/>
                <w:highlight w:val="none"/>
                <w:vertAlign w:val="baseline"/>
                <w:lang w:val="en-US" w:eastAsia="zh-CN"/>
              </w:rPr>
              <w:t>单色屏</w:t>
            </w:r>
          </w:p>
        </w:tc>
        <w:tc>
          <w:tcPr>
            <w:tcW w:w="846" w:type="dxa"/>
            <w:noWrap w:val="0"/>
            <w:vAlign w:val="center"/>
          </w:tcPr>
          <w:p w14:paraId="2E4EDF74">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kern w:val="2"/>
                <w:sz w:val="22"/>
                <w:szCs w:val="22"/>
                <w:highlight w:val="none"/>
                <w:vertAlign w:val="baseline"/>
                <w:lang w:val="en-US" w:eastAsia="zh-CN" w:bidi="ar-SA"/>
              </w:rPr>
              <w:t>强力巨彩P4.75</w:t>
            </w:r>
          </w:p>
        </w:tc>
        <w:tc>
          <w:tcPr>
            <w:tcW w:w="3893" w:type="dxa"/>
            <w:noWrap w:val="0"/>
            <w:vAlign w:val="center"/>
          </w:tcPr>
          <w:p w14:paraId="746CE216">
            <w:pPr>
              <w:numPr>
                <w:ilvl w:val="0"/>
                <w:numId w:val="0"/>
              </w:numPr>
              <w:ind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显示屏净屏尺寸≥</w:t>
            </w:r>
            <w:r>
              <w:rPr>
                <w:rFonts w:hint="eastAsia" w:ascii="宋体" w:hAnsi="宋体" w:cs="宋体"/>
                <w:color w:val="auto"/>
                <w:sz w:val="22"/>
                <w:szCs w:val="22"/>
                <w:highlight w:val="none"/>
                <w:lang w:val="en-US" w:eastAsia="zh-CN"/>
              </w:rPr>
              <w:t>6.08</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m(宽)*</w:t>
            </w: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0.456</w:t>
            </w:r>
            <w:r>
              <w:rPr>
                <w:rFonts w:hint="eastAsia" w:ascii="宋体" w:hAnsi="宋体" w:eastAsia="宋体" w:cs="宋体"/>
                <w:color w:val="auto"/>
                <w:sz w:val="22"/>
                <w:szCs w:val="22"/>
                <w:highlight w:val="none"/>
              </w:rPr>
              <w:t>m(高)</w:t>
            </w:r>
          </w:p>
          <w:p w14:paraId="1B08415A">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像素点间距</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4.75mm（提供由第三方权威检测机构出具带有“CNAS”、“CMA”、“ilac-MRA”标志的检测报告复印件，加盖制造商公章）</w:t>
            </w:r>
          </w:p>
          <w:p w14:paraId="223A65AF">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单元板分辨率</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2048Dots</w:t>
            </w:r>
          </w:p>
          <w:p w14:paraId="5AFFEBC8">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刷新率≥960Hz</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4C485C51">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像素构成：1R</w:t>
            </w:r>
          </w:p>
          <w:p w14:paraId="6D16F265">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模组套件采用无螺丝工艺套件；模组结构为灯驱合一</w:t>
            </w:r>
          </w:p>
          <w:p w14:paraId="323D653C">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对比度≥6</w:t>
            </w:r>
            <w:r>
              <w:rPr>
                <w:rFonts w:hint="eastAsia" w:ascii="宋体" w:hAnsi="宋体" w:eastAsia="宋体" w:cs="宋体"/>
                <w:b w:val="0"/>
                <w:bCs w:val="0"/>
                <w:color w:val="auto"/>
                <w:sz w:val="21"/>
                <w:szCs w:val="21"/>
                <w:highlight w:val="none"/>
                <w:lang w:val="en-US" w:eastAsia="zh-CN"/>
              </w:rPr>
              <w:t>000</w:t>
            </w:r>
            <w:r>
              <w:rPr>
                <w:rFonts w:hint="eastAsia" w:ascii="宋体" w:hAnsi="宋体" w:eastAsia="宋体" w:cs="宋体"/>
                <w:b w:val="0"/>
                <w:bCs w:val="0"/>
                <w:color w:val="auto"/>
                <w:sz w:val="21"/>
                <w:szCs w:val="21"/>
                <w:highlight w:val="none"/>
                <w:lang w:eastAsia="zh-CN"/>
              </w:rPr>
              <w:t>：1；灰度等级≥8bit；水平视角≥160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，垂直视角≥160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（提供由第三方权威检测机构出具带有“CNAS”、“CMA”、“ilac-MRA”标志的检测报告复印件，加盖制造商公章）</w:t>
            </w:r>
          </w:p>
          <w:p w14:paraId="20772E6B">
            <w:pPr>
              <w:numPr>
                <w:ilvl w:val="0"/>
                <w:numId w:val="1"/>
              </w:numPr>
              <w:ind w:left="0" w:leftChars="0" w:firstLine="0" w:firstLineChars="0"/>
              <w:rPr>
                <w:rFonts w:hint="eastAsia"/>
                <w:color w:val="auto"/>
                <w:highlight w:val="none"/>
                <w:lang w:eastAsia="zh-CN"/>
              </w:rPr>
            </w:pPr>
            <w:r>
              <w:rPr>
                <w:rFonts w:hint="eastAsia" w:ascii="宋体" w:hAnsi="宋体" w:eastAsia="宋体" w:cs="宋体"/>
                <w:b w:val="0"/>
                <w:bCs w:val="0"/>
                <w:color w:val="auto"/>
                <w:sz w:val="21"/>
                <w:szCs w:val="21"/>
                <w:highlight w:val="none"/>
                <w:lang w:eastAsia="zh-CN"/>
              </w:rPr>
              <w:t>峰值功耗</w:t>
            </w:r>
            <w:r>
              <w:rPr>
                <w:rFonts w:hint="eastAsia" w:ascii="宋体" w:hAnsi="宋体" w:eastAsia="宋体" w:cs="宋体"/>
                <w:b w:val="0"/>
                <w:bCs w:val="0"/>
                <w:color w:val="auto"/>
                <w:sz w:val="21"/>
                <w:szCs w:val="21"/>
                <w:highlight w:val="none"/>
                <w:lang w:val="en-US" w:eastAsia="zh-CN"/>
              </w:rPr>
              <w:t>≤200W/m²</w:t>
            </w:r>
            <w:r>
              <w:rPr>
                <w:rFonts w:hint="eastAsia" w:ascii="宋体" w:hAnsi="宋体" w:eastAsia="宋体" w:cs="宋体"/>
                <w:b w:val="0"/>
                <w:bCs w:val="0"/>
                <w:color w:val="auto"/>
                <w:sz w:val="21"/>
                <w:szCs w:val="21"/>
                <w:highlight w:val="none"/>
                <w:lang w:eastAsia="zh-CN"/>
              </w:rPr>
              <w:t>；平均功耗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00W/m²</w:t>
            </w:r>
          </w:p>
          <w:p w14:paraId="746A18C2">
            <w:pPr>
              <w:numPr>
                <w:ilvl w:val="0"/>
                <w:numId w:val="1"/>
              </w:numPr>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反光率≤</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highlight w:val="none"/>
                <w:lang w:eastAsia="zh-CN"/>
              </w:rPr>
              <w:t>白平衡亮度≥</w:t>
            </w:r>
            <w:r>
              <w:rPr>
                <w:rFonts w:hint="eastAsia" w:ascii="宋体" w:hAnsi="宋体" w:eastAsia="宋体" w:cs="宋体"/>
                <w:color w:val="auto"/>
                <w:highlight w:val="none"/>
                <w:lang w:val="en-US" w:eastAsia="zh-CN"/>
              </w:rPr>
              <w:t>250c</w:t>
            </w:r>
            <w:r>
              <w:rPr>
                <w:rFonts w:hint="eastAsia" w:ascii="宋体" w:hAnsi="宋体" w:eastAsia="宋体" w:cs="宋体"/>
                <w:color w:val="auto"/>
                <w:szCs w:val="21"/>
                <w:highlight w:val="none"/>
                <w:lang w:val="en-US" w:eastAsia="zh-CN"/>
              </w:rPr>
              <w:t>d/m²</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亮度调节：0-100%亮度可调，屏幕亮度具有随环境照度的变化任意调整功能</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亮度均匀性≥9</w:t>
            </w:r>
            <w:r>
              <w:rPr>
                <w:rFonts w:hint="eastAsia" w:ascii="宋体" w:hAnsi="宋体" w:eastAsia="宋体" w:cs="宋体"/>
                <w:color w:val="auto"/>
                <w:highlight w:val="none"/>
                <w:lang w:val="en-US" w:eastAsia="zh-CN"/>
              </w:rPr>
              <w:t>8%</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2A94CDA1">
            <w:pPr>
              <w:numPr>
                <w:ilvl w:val="0"/>
                <w:numId w:val="1"/>
              </w:numPr>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eastAsia="zh-CN"/>
              </w:rPr>
              <w:t>为不影响屏体周边人员的健康，要求投标人所投LED显示屏在正常工作中，显示屏1m范围内，前后左右4个位置噪音小于1.4dB；所投LED显示屏观看舒适度需符合：“人眼视觉舒适度(VICO)1级，基本无疲劳感（提供由第三方权威检测机构出具带有“CNAS”、“CMA”、“ilac-MRA”标志的检测报告复印件，加盖制造商公章）</w:t>
            </w:r>
          </w:p>
          <w:p w14:paraId="79974E8C">
            <w:pPr>
              <w:numPr>
                <w:ilvl w:val="0"/>
                <w:numId w:val="1"/>
              </w:numPr>
              <w:ind w:left="0" w:leftChars="0" w:firstLine="0" w:firstLineChars="0"/>
              <w:rPr>
                <w:color w:val="auto"/>
                <w:highlight w:val="none"/>
              </w:rPr>
            </w:pPr>
            <w:r>
              <w:rPr>
                <w:rFonts w:hint="eastAsia" w:ascii="宋体" w:hAnsi="宋体" w:eastAsia="宋体" w:cs="宋体"/>
                <w:b w:val="0"/>
                <w:bCs w:val="0"/>
                <w:color w:val="auto"/>
                <w:sz w:val="21"/>
                <w:szCs w:val="21"/>
                <w:highlight w:val="none"/>
                <w:lang w:val="en-US" w:eastAsia="zh-CN"/>
              </w:rPr>
              <w:t>▲具有SELV电路；供电电源：在4.2*（1±10%）VDC～4.5*（1±10%）VDC范围内能正常工作；输入电压：4.2±0.1V；在器具输入插座端与屏正面之间施加试验电压3kv/50Hz，保持1min，不应出现飞弧和击穿现象，产品能正常工作；在5000米海拔环境下，产品可正常工作（提供由第三方权威检测机构出具带有“CNAS”、“CMA”、“ilac-MRA”标志的检测报告复印件，加盖制造商公章）</w:t>
            </w:r>
          </w:p>
          <w:p w14:paraId="2E496216">
            <w:pPr>
              <w:numPr>
                <w:ilvl w:val="0"/>
                <w:numId w:val="1"/>
              </w:numPr>
              <w:ind w:left="0" w:leftChars="0" w:firstLine="0" w:firstLineChars="0"/>
              <w:rPr>
                <w:color w:val="auto"/>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eastAsia="zh-CN"/>
              </w:rPr>
              <w:t>防护性能：具有防静电、防电磁干扰、防腐蚀、防霉菌、防虫、防潮、抗震动、抗雷击等功能；具有电源过压、过流、断电保护、分布上电措施</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78CCCAE2">
            <w:pPr>
              <w:numPr>
                <w:ilvl w:val="0"/>
                <w:numId w:val="1"/>
              </w:numPr>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eastAsia="zh-CN"/>
              </w:rPr>
              <w:t>支持手机、平板可视化控制LED大屏，切换播放内容，定制播放计划等；支持一键点屏技术，开机后自动识别系统连接，无需重置系统配置；支持手机添加LOGO、时间、日期、文字标语、滚动字幕</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7947D74C">
            <w:pPr>
              <w:numPr>
                <w:ilvl w:val="0"/>
                <w:numId w:val="1"/>
              </w:numPr>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屏幕表面光反射率，照度=10Lux/5600K条件下， 显示屏屏幕表面光反射率（单位面积反射亮度）＜3.0cd/m²</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2AAC91FA">
            <w:pPr>
              <w:numPr>
                <w:ilvl w:val="0"/>
                <w:numId w:val="1"/>
              </w:numPr>
              <w:ind w:left="0" w:leftChars="0" w:firstLine="0" w:firstLineChars="0"/>
              <w:rPr>
                <w:color w:val="auto"/>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eastAsia="zh-CN"/>
              </w:rPr>
              <w:t>所投LED显示屏的灯管耐焊耐热：灯珠引脚无氧化,焊接正常,灯珠胶体正常,点亮正常；灯管抗静电(ESD)测试：HBM模式:ESD&gt;2000V,灯珠点亮无异常；灯管红墨水试验：纯红墨水常温浸泡24h,无渗透,灯管气密性良好（提供由第三方权威检测机构出具带有“CNAS”、“CMA”、“ilac-MRA”标志的检测报告复印件，加盖制造商公章）</w:t>
            </w:r>
          </w:p>
          <w:p w14:paraId="1F8C9989">
            <w:pPr>
              <w:numPr>
                <w:ilvl w:val="0"/>
                <w:numId w:val="1"/>
              </w:numPr>
              <w:ind w:left="0" w:leftChars="0" w:firstLine="0" w:firstLineChars="0"/>
              <w:rPr>
                <w:color w:val="auto"/>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eastAsia="zh-CN"/>
              </w:rPr>
              <w:t>具备智能除湿功能，通过预热灯珠，蒸发掉灯珠内部湿气</w:t>
            </w:r>
            <w:r>
              <w:rPr>
                <w:rFonts w:hint="eastAsia" w:ascii="宋体" w:hAnsi="宋体" w:eastAsia="宋体" w:cs="宋体"/>
                <w:b w:val="0"/>
                <w:bCs w:val="0"/>
                <w:color w:val="auto"/>
                <w:sz w:val="21"/>
                <w:szCs w:val="21"/>
                <w:highlight w:val="none"/>
                <w:lang w:val="en-US" w:eastAsia="zh-CN"/>
              </w:rPr>
              <w:t>（提供由第三方权威检测机构出具带有“CNAS”、“CMA”、“ilac-MRA”标志的检测报告复印件，加盖制造商公章）</w:t>
            </w:r>
          </w:p>
          <w:p w14:paraId="1769959C">
            <w:pPr>
              <w:numPr>
                <w:ilvl w:val="0"/>
                <w:numId w:val="1"/>
              </w:numPr>
              <w:ind w:left="0" w:leftChars="0" w:firstLine="0" w:firstLineChars="0"/>
              <w:rPr>
                <w:rFonts w:hint="eastAsia"/>
                <w:color w:val="auto"/>
                <w:highlight w:val="none"/>
                <w:lang w:eastAsia="zh-CN"/>
              </w:rPr>
            </w:pPr>
            <w:r>
              <w:rPr>
                <w:rFonts w:hint="eastAsia" w:ascii="宋体" w:hAnsi="宋体" w:eastAsia="宋体" w:cs="宋体"/>
                <w:color w:val="auto"/>
                <w:highlight w:val="none"/>
                <w:lang w:eastAsia="zh-CN"/>
              </w:rPr>
              <w:t>▲为保证产品使用安全，静电电压衰减期（±1000-±100V）≤2S；摩擦起电电压|V|≤100V（提供由第三方权威检测机构出具带有“CNAS”、“CMA”、“ilac-MRA”标志的检测报告复印件，加盖制造商公章）</w:t>
            </w:r>
          </w:p>
          <w:p w14:paraId="6EE7FCC9">
            <w:pPr>
              <w:numPr>
                <w:ilvl w:val="0"/>
                <w:numId w:val="1"/>
              </w:numPr>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为保障产品用电安全，led显示屏具备在器具输入插座端或者电源引入端子与外壳裸露金属部件之间的绝缘电阻在正常大气条件下≥100MΩ，湿热条件下≥2MΩ</w:t>
            </w:r>
          </w:p>
          <w:p w14:paraId="4845902B">
            <w:pPr>
              <w:numPr>
                <w:ilvl w:val="0"/>
                <w:numId w:val="1"/>
              </w:numPr>
              <w:ind w:left="0" w:leftChars="0" w:firstLine="0" w:firstLineChars="0"/>
              <w:rPr>
                <w:rFonts w:hint="eastAsia"/>
                <w:color w:val="auto"/>
                <w:highlight w:val="none"/>
                <w:lang w:val="en-US" w:eastAsia="zh-CN"/>
              </w:rPr>
            </w:pPr>
            <w:r>
              <w:rPr>
                <w:rFonts w:hint="eastAsia" w:ascii="宋体" w:hAnsi="宋体" w:eastAsia="宋体" w:cs="宋体"/>
                <w:color w:val="auto"/>
                <w:highlight w:val="none"/>
                <w:lang w:val="en-US" w:eastAsia="zh-CN"/>
              </w:rPr>
              <w:t>▲为保证产品的绿色环保性能，对人体不产生危害，所投LED显示屏符合GB/T 26125-2011和GB/T 26572-2011认证标准要求，且符合CQC21-NV330-2019《电器电子产品有害物质限制使用认证实施细则》的要求，具有电器电子产品有害物质限制使用产品认证证书，提供证书复印件，加盖制造商公章</w:t>
            </w:r>
          </w:p>
          <w:p w14:paraId="4D4D58FA">
            <w:pPr>
              <w:numPr>
                <w:ilvl w:val="0"/>
                <w:numId w:val="1"/>
              </w:numPr>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sz w:val="21"/>
                <w:szCs w:val="21"/>
                <w:highlight w:val="none"/>
              </w:rPr>
              <w:t>▲</w:t>
            </w:r>
            <w:r>
              <w:rPr>
                <w:rFonts w:hint="eastAsia" w:ascii="宋体" w:hAnsi="宋体" w:eastAsia="宋体" w:cs="宋体"/>
                <w:color w:val="auto"/>
                <w:highlight w:val="none"/>
                <w:lang w:val="en-US" w:eastAsia="zh-CN"/>
              </w:rPr>
              <w:t>本项目LED显示屏不接受ODM产品，要求LED显示屏3C认证证书中申请人（委托人）、制造商（生产者）、生产企业三者名称须一致或为同一集团、法人企业，并提供证书复印件，加盖制造商公章，不提供按无效标处理</w:t>
            </w:r>
          </w:p>
        </w:tc>
        <w:tc>
          <w:tcPr>
            <w:tcW w:w="847" w:type="dxa"/>
            <w:noWrap w:val="0"/>
            <w:vAlign w:val="center"/>
          </w:tcPr>
          <w:p w14:paraId="0CF9299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2.77</w:t>
            </w:r>
          </w:p>
        </w:tc>
        <w:tc>
          <w:tcPr>
            <w:tcW w:w="662" w:type="dxa"/>
            <w:noWrap w:val="0"/>
            <w:vAlign w:val="center"/>
          </w:tcPr>
          <w:p w14:paraId="03B96925">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m²</w:t>
            </w:r>
          </w:p>
        </w:tc>
        <w:tc>
          <w:tcPr>
            <w:tcW w:w="662" w:type="dxa"/>
            <w:noWrap w:val="0"/>
            <w:vAlign w:val="center"/>
          </w:tcPr>
          <w:p w14:paraId="1DBF1E7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p>
        </w:tc>
        <w:tc>
          <w:tcPr>
            <w:tcW w:w="662" w:type="dxa"/>
            <w:noWrap w:val="0"/>
            <w:vAlign w:val="center"/>
          </w:tcPr>
          <w:p w14:paraId="4885C174">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p>
        </w:tc>
      </w:tr>
      <w:tr w14:paraId="762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2" w:type="dxa"/>
            <w:vAlign w:val="center"/>
          </w:tcPr>
          <w:p w14:paraId="46BA223F">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2</w:t>
            </w:r>
          </w:p>
        </w:tc>
        <w:tc>
          <w:tcPr>
            <w:tcW w:w="745" w:type="dxa"/>
            <w:vAlign w:val="center"/>
          </w:tcPr>
          <w:p w14:paraId="76590D80">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控制卡ZH-W5</w:t>
            </w:r>
          </w:p>
        </w:tc>
        <w:tc>
          <w:tcPr>
            <w:tcW w:w="846" w:type="dxa"/>
            <w:vAlign w:val="center"/>
          </w:tcPr>
          <w:p w14:paraId="6CBF347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kern w:val="2"/>
                <w:sz w:val="22"/>
                <w:szCs w:val="22"/>
                <w:highlight w:val="none"/>
                <w:vertAlign w:val="baseline"/>
                <w:lang w:val="en-US" w:eastAsia="zh-CN" w:bidi="ar-SA"/>
              </w:rPr>
              <w:t>中航</w:t>
            </w:r>
          </w:p>
        </w:tc>
        <w:tc>
          <w:tcPr>
            <w:tcW w:w="3893" w:type="dxa"/>
            <w:vAlign w:val="center"/>
          </w:tcPr>
          <w:p w14:paraId="04E779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1.操作系统：支持Win7、Win8、Win10、Android、IOS</w:t>
            </w:r>
          </w:p>
          <w:p w14:paraId="693BD8B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2.配套软件：手机软件LED魔宝，电脑软件LED Control System V6</w:t>
            </w:r>
          </w:p>
          <w:p w14:paraId="4881B71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3.节目编辑：支持65536个节目，每个节目支持16个自由分区。</w:t>
            </w:r>
          </w:p>
          <w:p w14:paraId="2B04E98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4.跑边类型：幻影跑边，支持整屏跑边/分区跑边/自定义跑边。</w:t>
            </w:r>
          </w:p>
          <w:p w14:paraId="2E24060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5.播放类型：支持多节目顺序播放/定时播放/定长播放/分时段播放/锁定单节目播放。</w:t>
            </w:r>
          </w:p>
          <w:p w14:paraId="3B072CF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6.时钟显示：支持多国时钟播放，支持时差设置。</w:t>
            </w:r>
          </w:p>
          <w:p w14:paraId="7344DC5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7.区域类型：图文/字幕/时间/模拟表盘/计时/动画。</w:t>
            </w:r>
          </w:p>
          <w:p w14:paraId="2E9ACF9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8.显示效果：支持软件自动生成字体动画;字体动画、魔幻跑边叠加播放，两千余种特技组合，实时预览功能。</w:t>
            </w:r>
          </w:p>
          <w:p w14:paraId="6D2E068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9.软件开关机 ：支持定时自动开关机/软件开关机</w:t>
            </w:r>
          </w:p>
          <w:p w14:paraId="2277A97C">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10.通讯方式：WIFI极速稳定；U盘，即插即播</w:t>
            </w:r>
          </w:p>
          <w:p w14:paraId="07C0B7C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11.显示接口：1组标准50P </w:t>
            </w:r>
          </w:p>
          <w:p w14:paraId="102DF6E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12.适配范围：支持各种规格室内、外单双色。</w:t>
            </w:r>
          </w:p>
          <w:p w14:paraId="238D665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13.带载范围：256*640  128*1280</w:t>
            </w:r>
          </w:p>
          <w:p w14:paraId="313ED06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14.存储容量：8M</w:t>
            </w:r>
          </w:p>
          <w:p w14:paraId="0B3491C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15.工作电压：+4.5V~6V</w:t>
            </w:r>
          </w:p>
          <w:p w14:paraId="402A0F83">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16.最大功耗：&lt;1W</w:t>
            </w:r>
          </w:p>
          <w:p w14:paraId="4C00841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17.工作温度：-30°C~70°C </w:t>
            </w:r>
          </w:p>
        </w:tc>
        <w:tc>
          <w:tcPr>
            <w:tcW w:w="847" w:type="dxa"/>
            <w:vAlign w:val="center"/>
          </w:tcPr>
          <w:p w14:paraId="4379CB2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1</w:t>
            </w:r>
          </w:p>
        </w:tc>
        <w:tc>
          <w:tcPr>
            <w:tcW w:w="662" w:type="dxa"/>
            <w:vAlign w:val="center"/>
          </w:tcPr>
          <w:p w14:paraId="4F6E1694">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张</w:t>
            </w:r>
          </w:p>
        </w:tc>
        <w:tc>
          <w:tcPr>
            <w:tcW w:w="662" w:type="dxa"/>
            <w:vAlign w:val="center"/>
          </w:tcPr>
          <w:p w14:paraId="4DF02B0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vAlign w:val="center"/>
          </w:tcPr>
          <w:p w14:paraId="2020018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r w14:paraId="375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2" w:type="dxa"/>
            <w:vAlign w:val="center"/>
          </w:tcPr>
          <w:p w14:paraId="16179C3B">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4</w:t>
            </w:r>
          </w:p>
        </w:tc>
        <w:tc>
          <w:tcPr>
            <w:tcW w:w="745" w:type="dxa"/>
            <w:vAlign w:val="center"/>
          </w:tcPr>
          <w:p w14:paraId="68A25E03">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电源JC200-4.5-30H</w:t>
            </w:r>
          </w:p>
        </w:tc>
        <w:tc>
          <w:tcPr>
            <w:tcW w:w="846" w:type="dxa"/>
            <w:vAlign w:val="center"/>
          </w:tcPr>
          <w:p w14:paraId="3042CB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vertAlign w:val="baseline"/>
                <w:lang w:val="en-US" w:eastAsia="zh-CN"/>
              </w:rPr>
              <w:t>铂航</w:t>
            </w:r>
          </w:p>
        </w:tc>
        <w:tc>
          <w:tcPr>
            <w:tcW w:w="3893" w:type="dxa"/>
            <w:vAlign w:val="center"/>
          </w:tcPr>
          <w:p w14:paraId="77D734E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1.极限工作范围： 180Vac to 264Vac</w:t>
            </w:r>
          </w:p>
          <w:p w14:paraId="78871B4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2.输入电压： 200Vac to 240Vac</w:t>
            </w:r>
          </w:p>
          <w:p w14:paraId="7D461E4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3.频率范围：  50Hz/60Hz士5%</w:t>
            </w:r>
          </w:p>
          <w:p w14:paraId="58F832D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4.满载输入电流 ：在满载且交流电压为 180Vac的条件下，最大电流为 2.5A。</w:t>
            </w:r>
          </w:p>
          <w:p w14:paraId="188CCE6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5.浪涌电流 ：在满载、冷态且交流电压为 230Vac的条件下，最大电流为 100A。</w:t>
            </w:r>
          </w:p>
          <w:p w14:paraId="0429923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6.功率因数：在额定负载且交流电压处于 180V~240Vac的条件下，最小值为 90%。</w:t>
            </w:r>
          </w:p>
          <w:p w14:paraId="68A36C5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7.效率：87%min.@230Vac(PCB 板端)</w:t>
            </w:r>
          </w:p>
          <w:p w14:paraId="033C2E9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8.泄漏电流：在输入交流电压为  230Vac的情况下，电流小于 3.5 mA。</w:t>
            </w:r>
          </w:p>
          <w:p w14:paraId="17239451">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9.输入保险：T5AL/250Vac</w:t>
            </w:r>
          </w:p>
          <w:p w14:paraId="5567D0E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10.额定功率：180W@+4.5V</w:t>
            </w:r>
          </w:p>
          <w:p w14:paraId="23413B6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11、工作温度：-30℃to +60℃，存储温度：-40℃ to +80℃</w:t>
            </w:r>
          </w:p>
          <w:p w14:paraId="43F4D3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12、工作湿度范围：10% to 50%（非冷凝状态），存储湿度范围：10% to 90%</w:t>
            </w:r>
          </w:p>
        </w:tc>
        <w:tc>
          <w:tcPr>
            <w:tcW w:w="847" w:type="dxa"/>
            <w:vAlign w:val="center"/>
          </w:tcPr>
          <w:p w14:paraId="66A8EEDD">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8</w:t>
            </w:r>
          </w:p>
        </w:tc>
        <w:tc>
          <w:tcPr>
            <w:tcW w:w="662" w:type="dxa"/>
            <w:vAlign w:val="center"/>
          </w:tcPr>
          <w:p w14:paraId="0B85DCE8">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662" w:type="dxa"/>
            <w:vAlign w:val="center"/>
          </w:tcPr>
          <w:p w14:paraId="69CF13A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c>
          <w:tcPr>
            <w:tcW w:w="662" w:type="dxa"/>
            <w:vAlign w:val="center"/>
          </w:tcPr>
          <w:p w14:paraId="1740D5E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r>
      <w:tr w14:paraId="1ED7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2" w:type="dxa"/>
            <w:vAlign w:val="center"/>
          </w:tcPr>
          <w:p w14:paraId="6A1ED614">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6</w:t>
            </w:r>
          </w:p>
        </w:tc>
        <w:tc>
          <w:tcPr>
            <w:tcW w:w="745" w:type="dxa"/>
            <w:shd w:val="clear" w:color="auto" w:fill="auto"/>
            <w:vAlign w:val="center"/>
          </w:tcPr>
          <w:p w14:paraId="70DDFC65">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显示屏框架结构设计施工</w:t>
            </w:r>
          </w:p>
        </w:tc>
        <w:tc>
          <w:tcPr>
            <w:tcW w:w="846" w:type="dxa"/>
            <w:shd w:val="clear" w:color="auto" w:fill="auto"/>
            <w:vAlign w:val="center"/>
          </w:tcPr>
          <w:p w14:paraId="77BF8AB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r>
              <w:rPr>
                <w:rFonts w:hint="eastAsia" w:ascii="宋体" w:hAnsi="宋体" w:eastAsia="宋体" w:cs="宋体"/>
                <w:b/>
                <w:bCs/>
                <w:color w:val="auto"/>
                <w:sz w:val="22"/>
                <w:szCs w:val="22"/>
                <w:highlight w:val="none"/>
                <w:vertAlign w:val="baseline"/>
              </w:rPr>
              <w:t>国产</w:t>
            </w:r>
          </w:p>
          <w:p w14:paraId="49F5F160">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定制</w:t>
            </w:r>
          </w:p>
        </w:tc>
        <w:tc>
          <w:tcPr>
            <w:tcW w:w="3893" w:type="dxa"/>
            <w:shd w:val="clear" w:color="auto" w:fill="auto"/>
            <w:vAlign w:val="center"/>
          </w:tcPr>
          <w:p w14:paraId="2CEBFF7B">
            <w:pPr>
              <w:keepNext w:val="0"/>
              <w:keepLines w:val="0"/>
              <w:pageBreakBefore w:val="0"/>
              <w:kinsoku/>
              <w:wordWrap/>
              <w:overflowPunct/>
              <w:topLinePunct w:val="0"/>
              <w:autoSpaceDE/>
              <w:autoSpaceDN/>
              <w:bidi w:val="0"/>
              <w:adjustRightInd/>
              <w:snapToGrid/>
              <w:jc w:val="left"/>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rPr>
              <w:t>显示屏含外框包边面积:</w:t>
            </w:r>
            <w:r>
              <w:rPr>
                <w:rFonts w:hint="eastAsia" w:ascii="宋体" w:hAnsi="宋体" w:eastAsia="宋体" w:cs="宋体"/>
                <w:color w:val="auto"/>
                <w:sz w:val="22"/>
                <w:szCs w:val="22"/>
                <w:highlight w:val="none"/>
                <w:vertAlign w:val="baseline"/>
                <w:lang w:val="en-US" w:eastAsia="zh-CN"/>
              </w:rPr>
              <w:t xml:space="preserve"> </w:t>
            </w:r>
            <w:r>
              <w:rPr>
                <w:rFonts w:hint="eastAsia" w:ascii="宋体" w:hAnsi="宋体" w:cs="宋体"/>
                <w:color w:val="auto"/>
                <w:sz w:val="22"/>
                <w:szCs w:val="22"/>
                <w:highlight w:val="none"/>
                <w:vertAlign w:val="baseline"/>
                <w:lang w:val="en-US" w:eastAsia="zh-CN"/>
              </w:rPr>
              <w:t>6.17</w:t>
            </w:r>
            <w:r>
              <w:rPr>
                <w:rFonts w:hint="eastAsia" w:ascii="宋体" w:hAnsi="宋体" w:eastAsia="宋体" w:cs="宋体"/>
                <w:color w:val="auto"/>
                <w:sz w:val="22"/>
                <w:szCs w:val="22"/>
                <w:highlight w:val="none"/>
                <w:vertAlign w:val="baseline"/>
                <w:lang w:val="en-US" w:eastAsia="zh-CN"/>
              </w:rPr>
              <w:t xml:space="preserve">m </w:t>
            </w:r>
            <w:r>
              <w:rPr>
                <w:rFonts w:hint="eastAsia" w:ascii="宋体" w:hAnsi="宋体" w:eastAsia="宋体" w:cs="宋体"/>
                <w:color w:val="auto"/>
                <w:sz w:val="22"/>
                <w:szCs w:val="22"/>
                <w:highlight w:val="none"/>
                <w:vertAlign w:val="baseline"/>
              </w:rPr>
              <w:t>*</w:t>
            </w:r>
            <w:r>
              <w:rPr>
                <w:rFonts w:hint="eastAsia" w:ascii="宋体" w:hAnsi="宋体" w:cs="宋体"/>
                <w:color w:val="auto"/>
                <w:sz w:val="22"/>
                <w:szCs w:val="22"/>
                <w:highlight w:val="none"/>
                <w:vertAlign w:val="baseline"/>
                <w:lang w:val="en-US" w:eastAsia="zh-CN"/>
              </w:rPr>
              <w:t xml:space="preserve">0.546 </w:t>
            </w:r>
            <w:r>
              <w:rPr>
                <w:rFonts w:hint="eastAsia" w:ascii="宋体" w:hAnsi="宋体" w:eastAsia="宋体" w:cs="宋体"/>
                <w:color w:val="auto"/>
                <w:sz w:val="22"/>
                <w:szCs w:val="22"/>
                <w:highlight w:val="none"/>
                <w:vertAlign w:val="baseline"/>
                <w:lang w:val="en-US" w:eastAsia="zh-CN"/>
              </w:rPr>
              <w:t xml:space="preserve">m </w:t>
            </w:r>
            <w:r>
              <w:rPr>
                <w:rFonts w:hint="eastAsia" w:ascii="宋体" w:hAnsi="宋体" w:eastAsia="宋体" w:cs="宋体"/>
                <w:color w:val="auto"/>
                <w:sz w:val="22"/>
                <w:szCs w:val="22"/>
                <w:highlight w:val="none"/>
                <w:vertAlign w:val="baseline"/>
              </w:rPr>
              <w:t>=</w:t>
            </w:r>
            <w:r>
              <w:rPr>
                <w:rFonts w:hint="eastAsia" w:ascii="宋体" w:hAnsi="宋体" w:cs="宋体"/>
                <w:color w:val="auto"/>
                <w:sz w:val="22"/>
                <w:szCs w:val="22"/>
                <w:highlight w:val="none"/>
                <w:vertAlign w:val="baseline"/>
                <w:lang w:val="en-US" w:eastAsia="zh-CN"/>
              </w:rPr>
              <w:t>3.37</w:t>
            </w:r>
            <w:r>
              <w:rPr>
                <w:rFonts w:hint="eastAsia" w:ascii="宋体" w:hAnsi="宋体" w:eastAsia="宋体" w:cs="宋体"/>
                <w:color w:val="auto"/>
                <w:sz w:val="22"/>
                <w:szCs w:val="22"/>
                <w:highlight w:val="none"/>
                <w:vertAlign w:val="baseline"/>
                <w:lang w:val="en-US" w:eastAsia="zh-CN"/>
              </w:rPr>
              <w:t xml:space="preserve"> m²</w:t>
            </w:r>
            <w:r>
              <w:rPr>
                <w:rFonts w:hint="eastAsia" w:ascii="宋体" w:hAnsi="宋体" w:cs="宋体"/>
                <w:color w:val="auto"/>
                <w:sz w:val="22"/>
                <w:szCs w:val="22"/>
                <w:highlight w:val="none"/>
                <w:vertAlign w:val="baseline"/>
                <w:lang w:val="en-US" w:eastAsia="zh-CN"/>
              </w:rPr>
              <w:t>,包边上下左右各包4.5公分</w:t>
            </w:r>
          </w:p>
          <w:p w14:paraId="772D27E0">
            <w:pPr>
              <w:keepNext w:val="0"/>
              <w:keepLines w:val="0"/>
              <w:pageBreakBefore w:val="0"/>
              <w:kinsoku/>
              <w:wordWrap/>
              <w:overflowPunct/>
              <w:topLinePunct w:val="0"/>
              <w:autoSpaceDE/>
              <w:autoSpaceDN/>
              <w:bidi w:val="0"/>
              <w:adjustRightInd/>
              <w:snapToGrid/>
              <w:jc w:val="left"/>
              <w:rPr>
                <w:rFonts w:hint="eastAsia" w:ascii="宋体" w:hAnsi="宋体" w:eastAsia="宋体" w:cs="宋体"/>
                <w:color w:val="auto"/>
                <w:kern w:val="2"/>
                <w:sz w:val="22"/>
                <w:szCs w:val="22"/>
                <w:highlight w:val="none"/>
                <w:vertAlign w:val="baseline"/>
                <w:lang w:val="en-US" w:eastAsia="zh-CN" w:bidi="ar-SA"/>
              </w:rPr>
            </w:pPr>
          </w:p>
        </w:tc>
        <w:tc>
          <w:tcPr>
            <w:tcW w:w="847" w:type="dxa"/>
            <w:shd w:val="clear" w:color="auto" w:fill="auto"/>
            <w:vAlign w:val="center"/>
          </w:tcPr>
          <w:p w14:paraId="2F968F13">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3.37</w:t>
            </w:r>
          </w:p>
        </w:tc>
        <w:tc>
          <w:tcPr>
            <w:tcW w:w="662" w:type="dxa"/>
            <w:shd w:val="clear" w:color="auto" w:fill="auto"/>
            <w:vAlign w:val="center"/>
          </w:tcPr>
          <w:p w14:paraId="293964C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m²</w:t>
            </w:r>
          </w:p>
        </w:tc>
        <w:tc>
          <w:tcPr>
            <w:tcW w:w="662" w:type="dxa"/>
            <w:vAlign w:val="center"/>
          </w:tcPr>
          <w:p w14:paraId="714428EF">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c>
          <w:tcPr>
            <w:tcW w:w="662" w:type="dxa"/>
            <w:vAlign w:val="center"/>
          </w:tcPr>
          <w:p w14:paraId="0B4D1417">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r>
      <w:tr w14:paraId="587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2" w:type="dxa"/>
            <w:shd w:val="clear" w:color="auto" w:fill="auto"/>
            <w:vAlign w:val="center"/>
          </w:tcPr>
          <w:p w14:paraId="0821D06E">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sz w:val="22"/>
                <w:szCs w:val="22"/>
                <w:highlight w:val="none"/>
                <w:vertAlign w:val="baseline"/>
                <w:lang w:val="en-US" w:eastAsia="zh-CN"/>
              </w:rPr>
              <w:t>7</w:t>
            </w:r>
          </w:p>
        </w:tc>
        <w:tc>
          <w:tcPr>
            <w:tcW w:w="745" w:type="dxa"/>
            <w:shd w:val="clear" w:color="auto" w:fill="auto"/>
            <w:vAlign w:val="center"/>
          </w:tcPr>
          <w:p w14:paraId="3ACF5326">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屏内布线</w:t>
            </w:r>
          </w:p>
        </w:tc>
        <w:tc>
          <w:tcPr>
            <w:tcW w:w="846" w:type="dxa"/>
            <w:shd w:val="clear" w:color="auto" w:fill="auto"/>
            <w:vAlign w:val="center"/>
          </w:tcPr>
          <w:p w14:paraId="16D7871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r>
              <w:rPr>
                <w:rFonts w:hint="eastAsia" w:ascii="宋体" w:hAnsi="宋体" w:eastAsia="宋体" w:cs="宋体"/>
                <w:b/>
                <w:bCs/>
                <w:color w:val="auto"/>
                <w:sz w:val="22"/>
                <w:szCs w:val="22"/>
                <w:highlight w:val="none"/>
                <w:vertAlign w:val="baseline"/>
              </w:rPr>
              <w:t>国产</w:t>
            </w:r>
          </w:p>
          <w:p w14:paraId="48FA77CC">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定制</w:t>
            </w:r>
          </w:p>
        </w:tc>
        <w:tc>
          <w:tcPr>
            <w:tcW w:w="3893" w:type="dxa"/>
            <w:shd w:val="clear" w:color="auto" w:fill="auto"/>
            <w:vAlign w:val="center"/>
          </w:tcPr>
          <w:p w14:paraId="48AE712C">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rPr>
              <w:t>包含屏内电源、网线、排线、电缆线及配件（包含水晶头、扎带、绝缘胶布、接头等耗材），屏体安装调试。</w:t>
            </w:r>
          </w:p>
        </w:tc>
        <w:tc>
          <w:tcPr>
            <w:tcW w:w="847" w:type="dxa"/>
            <w:shd w:val="clear" w:color="auto" w:fill="auto"/>
            <w:vAlign w:val="center"/>
          </w:tcPr>
          <w:p w14:paraId="01AD34E6">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1</w:t>
            </w:r>
          </w:p>
        </w:tc>
        <w:tc>
          <w:tcPr>
            <w:tcW w:w="662" w:type="dxa"/>
            <w:shd w:val="clear" w:color="auto" w:fill="auto"/>
            <w:vAlign w:val="center"/>
          </w:tcPr>
          <w:p w14:paraId="698E49C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项</w:t>
            </w:r>
          </w:p>
        </w:tc>
        <w:tc>
          <w:tcPr>
            <w:tcW w:w="662" w:type="dxa"/>
            <w:shd w:val="clear" w:color="auto" w:fill="auto"/>
            <w:vAlign w:val="center"/>
          </w:tcPr>
          <w:p w14:paraId="6FFFD7E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shd w:val="clear" w:color="auto" w:fill="auto"/>
            <w:vAlign w:val="center"/>
          </w:tcPr>
          <w:p w14:paraId="62CC87D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r w14:paraId="409F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noWrap w:val="0"/>
            <w:vAlign w:val="center"/>
          </w:tcPr>
          <w:p w14:paraId="32840D46">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1</w:t>
            </w:r>
          </w:p>
        </w:tc>
        <w:tc>
          <w:tcPr>
            <w:tcW w:w="745" w:type="dxa"/>
            <w:noWrap w:val="0"/>
            <w:vAlign w:val="center"/>
          </w:tcPr>
          <w:p w14:paraId="65C6E965">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lang w:val="en-US" w:eastAsia="zh-CN"/>
              </w:rPr>
              <w:t>LED显示屏室内</w:t>
            </w:r>
            <w:r>
              <w:rPr>
                <w:rFonts w:hint="eastAsia" w:ascii="宋体" w:hAnsi="宋体" w:cs="宋体"/>
                <w:b/>
                <w:bCs/>
                <w:color w:val="auto"/>
                <w:sz w:val="22"/>
                <w:szCs w:val="22"/>
                <w:highlight w:val="none"/>
                <w:vertAlign w:val="baseline"/>
                <w:lang w:val="en-US" w:eastAsia="zh-CN"/>
              </w:rPr>
              <w:t>全彩</w:t>
            </w:r>
            <w:r>
              <w:rPr>
                <w:rFonts w:hint="eastAsia" w:ascii="宋体" w:hAnsi="宋体" w:eastAsia="宋体" w:cs="宋体"/>
                <w:b/>
                <w:bCs/>
                <w:color w:val="auto"/>
                <w:sz w:val="22"/>
                <w:szCs w:val="22"/>
                <w:highlight w:val="none"/>
                <w:vertAlign w:val="baseline"/>
                <w:lang w:val="en-US" w:eastAsia="zh-CN"/>
              </w:rPr>
              <w:t>Q</w:t>
            </w:r>
            <w:r>
              <w:rPr>
                <w:rFonts w:hint="eastAsia" w:ascii="宋体" w:hAnsi="宋体" w:cs="宋体"/>
                <w:b/>
                <w:bCs/>
                <w:color w:val="auto"/>
                <w:sz w:val="22"/>
                <w:szCs w:val="22"/>
                <w:highlight w:val="none"/>
                <w:vertAlign w:val="baseline"/>
                <w:lang w:val="en-US" w:eastAsia="zh-CN"/>
              </w:rPr>
              <w:t>2H</w:t>
            </w:r>
          </w:p>
        </w:tc>
        <w:tc>
          <w:tcPr>
            <w:tcW w:w="846" w:type="dxa"/>
            <w:noWrap w:val="0"/>
            <w:vAlign w:val="center"/>
          </w:tcPr>
          <w:p w14:paraId="21ED1128">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强力</w:t>
            </w:r>
          </w:p>
          <w:p w14:paraId="20975CD3">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巨彩</w:t>
            </w:r>
          </w:p>
          <w:p w14:paraId="6BA70260">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p>
        </w:tc>
        <w:tc>
          <w:tcPr>
            <w:tcW w:w="3893" w:type="dxa"/>
            <w:noWrap w:val="0"/>
            <w:vAlign w:val="center"/>
          </w:tcPr>
          <w:p w14:paraId="51877C13">
            <w:pPr>
              <w:numPr>
                <w:ilvl w:val="0"/>
                <w:numId w:val="0"/>
              </w:numPr>
              <w:ind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显示屏净屏尺寸≥</w:t>
            </w:r>
            <w:r>
              <w:rPr>
                <w:rFonts w:hint="eastAsia" w:ascii="宋体" w:hAnsi="宋体" w:cs="宋体"/>
                <w:color w:val="auto"/>
                <w:sz w:val="22"/>
                <w:szCs w:val="22"/>
                <w:highlight w:val="none"/>
                <w:lang w:val="en-US" w:eastAsia="zh-CN"/>
              </w:rPr>
              <w:t>5.12</w:t>
            </w:r>
            <w:r>
              <w:rPr>
                <w:rFonts w:hint="eastAsia" w:ascii="宋体" w:hAnsi="宋体" w:eastAsia="宋体" w:cs="宋体"/>
                <w:color w:val="auto"/>
                <w:sz w:val="22"/>
                <w:szCs w:val="22"/>
                <w:highlight w:val="none"/>
              </w:rPr>
              <w:t>m(宽)*</w:t>
            </w:r>
            <w:r>
              <w:rPr>
                <w:rFonts w:hint="eastAsia" w:ascii="宋体" w:hAnsi="宋体" w:cs="宋体"/>
                <w:color w:val="auto"/>
                <w:sz w:val="22"/>
                <w:szCs w:val="22"/>
                <w:highlight w:val="none"/>
                <w:lang w:val="en-US" w:eastAsia="zh-CN"/>
              </w:rPr>
              <w:t>2.72</w:t>
            </w:r>
            <w:r>
              <w:rPr>
                <w:rFonts w:hint="eastAsia" w:ascii="宋体" w:hAnsi="宋体" w:eastAsia="宋体" w:cs="宋体"/>
                <w:color w:val="auto"/>
                <w:sz w:val="22"/>
                <w:szCs w:val="22"/>
                <w:highlight w:val="none"/>
              </w:rPr>
              <w:t>m(高)</w:t>
            </w:r>
          </w:p>
          <w:p w14:paraId="79B1E2CD">
            <w:pPr>
              <w:numPr>
                <w:ilvl w:val="0"/>
                <w:numId w:val="2"/>
              </w:numPr>
              <w:ind w:left="425" w:leftChars="0" w:hanging="425" w:firstLineChars="0"/>
              <w:rPr>
                <w:rFonts w:hint="eastAsia"/>
                <w:color w:val="auto"/>
                <w:highlight w:val="none"/>
              </w:rPr>
            </w:pPr>
            <w:r>
              <w:rPr>
                <w:rFonts w:hint="eastAsia"/>
                <w:color w:val="auto"/>
                <w:highlight w:val="none"/>
              </w:rPr>
              <w:t>▲像素点间距：≤2mm</w:t>
            </w:r>
          </w:p>
          <w:p w14:paraId="0EF25019">
            <w:pPr>
              <w:numPr>
                <w:ilvl w:val="0"/>
                <w:numId w:val="0"/>
              </w:numPr>
              <w:ind w:leftChars="0"/>
              <w:rPr>
                <w:rFonts w:hint="eastAsia"/>
                <w:color w:val="auto"/>
                <w:highlight w:val="none"/>
              </w:rPr>
            </w:pPr>
            <w:r>
              <w:rPr>
                <w:rFonts w:hint="eastAsia"/>
                <w:color w:val="auto"/>
                <w:highlight w:val="none"/>
              </w:rPr>
              <w:t>（提供由第三方权威检测机构出具带有“CNAS”、“CMA”、“ilac-MRA”标志的检测报告复印件，加盖制造商公章）</w:t>
            </w:r>
          </w:p>
          <w:p w14:paraId="74FEDBFB">
            <w:pPr>
              <w:numPr>
                <w:ilvl w:val="0"/>
                <w:numId w:val="2"/>
              </w:numPr>
              <w:ind w:left="425" w:leftChars="0" w:hanging="425" w:firstLineChars="0"/>
              <w:rPr>
                <w:rFonts w:hint="eastAsia"/>
                <w:color w:val="auto"/>
                <w:highlight w:val="none"/>
              </w:rPr>
            </w:pPr>
            <w:r>
              <w:rPr>
                <w:rFonts w:hint="eastAsia"/>
                <w:color w:val="auto"/>
                <w:highlight w:val="none"/>
              </w:rPr>
              <w:t>单元板分辨率：≥12800 Dots</w:t>
            </w:r>
          </w:p>
          <w:p w14:paraId="098F1ECC">
            <w:pPr>
              <w:numPr>
                <w:ilvl w:val="0"/>
                <w:numId w:val="2"/>
              </w:numPr>
              <w:ind w:left="425" w:leftChars="0" w:hanging="425" w:firstLineChars="0"/>
              <w:rPr>
                <w:rFonts w:hint="eastAsia"/>
                <w:color w:val="auto"/>
                <w:highlight w:val="none"/>
              </w:rPr>
            </w:pPr>
            <w:r>
              <w:rPr>
                <w:rFonts w:hint="eastAsia"/>
                <w:color w:val="auto"/>
                <w:highlight w:val="none"/>
              </w:rPr>
              <w:t>▲刷新率：≥3840Hz，支持通过配套控制软件调节刷新率设置选项（提供由第三方权威检测机构出具带有“CNAS”、“CMA”、“ilac-MRA”标志的检测报告复印件，加盖制造商公章）</w:t>
            </w:r>
          </w:p>
          <w:p w14:paraId="4DFA35E6">
            <w:pPr>
              <w:numPr>
                <w:ilvl w:val="0"/>
                <w:numId w:val="2"/>
              </w:numPr>
              <w:ind w:left="425" w:leftChars="0" w:hanging="425" w:firstLineChars="0"/>
              <w:rPr>
                <w:rFonts w:hint="eastAsia"/>
                <w:color w:val="auto"/>
                <w:highlight w:val="none"/>
              </w:rPr>
            </w:pPr>
            <w:r>
              <w:rPr>
                <w:rFonts w:hint="eastAsia"/>
                <w:color w:val="auto"/>
                <w:highlight w:val="none"/>
              </w:rPr>
              <w:t>▲封装方式：SMD表贴三合一，灯芯键合线材质为铜线，五面黑灯，表面不反光（提供由第三方权威检测机构出具带有“CNAS”、“CMA”、“ilac-MRA”标志的检测报告复印件，加盖制造商公章）</w:t>
            </w:r>
          </w:p>
          <w:p w14:paraId="5C4D004A">
            <w:pPr>
              <w:numPr>
                <w:ilvl w:val="0"/>
                <w:numId w:val="2"/>
              </w:numPr>
              <w:ind w:left="425" w:leftChars="0" w:hanging="425" w:firstLineChars="0"/>
              <w:rPr>
                <w:rFonts w:hint="eastAsia"/>
                <w:color w:val="auto"/>
                <w:highlight w:val="none"/>
              </w:rPr>
            </w:pPr>
            <w:r>
              <w:rPr>
                <w:rFonts w:hint="eastAsia"/>
                <w:color w:val="auto"/>
                <w:highlight w:val="none"/>
              </w:rPr>
              <w:t>整屏平整度≤0.04mm；模组平整度≤0.03mm</w:t>
            </w:r>
          </w:p>
          <w:p w14:paraId="42C9DB86">
            <w:pPr>
              <w:numPr>
                <w:ilvl w:val="0"/>
                <w:numId w:val="2"/>
              </w:numPr>
              <w:ind w:left="425" w:leftChars="0" w:hanging="425" w:firstLineChars="0"/>
              <w:rPr>
                <w:rFonts w:hint="eastAsia"/>
                <w:color w:val="auto"/>
                <w:highlight w:val="none"/>
              </w:rPr>
            </w:pPr>
            <w:r>
              <w:rPr>
                <w:rFonts w:hint="eastAsia"/>
                <w:color w:val="auto"/>
                <w:highlight w:val="none"/>
              </w:rPr>
              <w:t>▲白平衡亮度：0-700cd/㎡可调；亮度均匀性：≥99%（提供由第三方权威检测机构出具带有“CNAS”、“CMA”、“ilac-MRA”标志的检测报告复印件，加盖制造商公章）</w:t>
            </w:r>
          </w:p>
          <w:p w14:paraId="43CA8858">
            <w:pPr>
              <w:numPr>
                <w:ilvl w:val="0"/>
                <w:numId w:val="2"/>
              </w:numPr>
              <w:ind w:left="425" w:leftChars="0" w:hanging="425" w:firstLineChars="0"/>
              <w:rPr>
                <w:rFonts w:hint="eastAsia"/>
                <w:color w:val="auto"/>
                <w:highlight w:val="none"/>
              </w:rPr>
            </w:pPr>
            <w:r>
              <w:rPr>
                <w:rFonts w:hint="eastAsia"/>
                <w:color w:val="auto"/>
                <w:highlight w:val="none"/>
              </w:rPr>
              <w:t>色温800K-18000K可调；白平衡状态下色温在6500K±5%；色温为6500K时，100%75%50%25%档电平白场调节色温误差≤100K</w:t>
            </w:r>
          </w:p>
          <w:p w14:paraId="7B496FF5">
            <w:pPr>
              <w:numPr>
                <w:ilvl w:val="0"/>
                <w:numId w:val="2"/>
              </w:numPr>
              <w:ind w:left="425" w:leftChars="0" w:hanging="425" w:firstLineChars="0"/>
              <w:rPr>
                <w:rFonts w:hint="eastAsia"/>
                <w:color w:val="auto"/>
                <w:highlight w:val="none"/>
              </w:rPr>
            </w:pPr>
            <w:r>
              <w:rPr>
                <w:rFonts w:hint="eastAsia"/>
                <w:color w:val="auto"/>
                <w:highlight w:val="none"/>
              </w:rPr>
              <w:t>水平视角≥170°；垂直视角≥170°</w:t>
            </w:r>
          </w:p>
          <w:p w14:paraId="6E535485">
            <w:pPr>
              <w:numPr>
                <w:ilvl w:val="0"/>
                <w:numId w:val="2"/>
              </w:numPr>
              <w:ind w:left="425" w:leftChars="0" w:hanging="425" w:firstLineChars="0"/>
              <w:rPr>
                <w:rFonts w:hint="eastAsia"/>
                <w:color w:val="auto"/>
                <w:highlight w:val="none"/>
              </w:rPr>
            </w:pPr>
            <w:r>
              <w:rPr>
                <w:rFonts w:hint="eastAsia"/>
                <w:color w:val="auto"/>
                <w:highlight w:val="none"/>
              </w:rPr>
              <w:t>对比度≥9000：1</w:t>
            </w:r>
          </w:p>
          <w:p w14:paraId="01AD7E87">
            <w:pPr>
              <w:numPr>
                <w:ilvl w:val="0"/>
                <w:numId w:val="2"/>
              </w:numPr>
              <w:ind w:left="425" w:leftChars="0" w:hanging="425" w:firstLineChars="0"/>
              <w:rPr>
                <w:rFonts w:hint="eastAsia"/>
                <w:color w:val="auto"/>
                <w:highlight w:val="none"/>
              </w:rPr>
            </w:pPr>
            <w:r>
              <w:rPr>
                <w:rFonts w:hint="eastAsia"/>
                <w:color w:val="auto"/>
                <w:highlight w:val="none"/>
              </w:rPr>
              <w:t>灰度等级≥14bit，红绿蓝各256级，可达16384级；</w:t>
            </w:r>
          </w:p>
          <w:p w14:paraId="2C1E8F40">
            <w:pPr>
              <w:numPr>
                <w:ilvl w:val="0"/>
                <w:numId w:val="2"/>
              </w:numPr>
              <w:ind w:left="425" w:leftChars="0" w:hanging="425" w:firstLineChars="0"/>
              <w:rPr>
                <w:rFonts w:hint="eastAsia"/>
                <w:color w:val="auto"/>
                <w:highlight w:val="none"/>
              </w:rPr>
            </w:pPr>
            <w:r>
              <w:rPr>
                <w:rFonts w:hint="eastAsia"/>
                <w:color w:val="auto"/>
                <w:highlight w:val="none"/>
              </w:rPr>
              <w:t>供电电源：在4.2*（1±10%）VDC～4.5*（1±10%）VDC范围内能正常工作；峰值功耗≤300W/m²；平均功耗≤120W/m²</w:t>
            </w:r>
          </w:p>
          <w:p w14:paraId="36998471">
            <w:pPr>
              <w:numPr>
                <w:ilvl w:val="0"/>
                <w:numId w:val="2"/>
              </w:numPr>
              <w:ind w:left="425" w:leftChars="0" w:hanging="425" w:firstLineChars="0"/>
              <w:rPr>
                <w:rFonts w:hint="eastAsia"/>
                <w:color w:val="auto"/>
                <w:highlight w:val="none"/>
              </w:rPr>
            </w:pPr>
            <w:r>
              <w:rPr>
                <w:rFonts w:hint="eastAsia"/>
                <w:color w:val="auto"/>
                <w:highlight w:val="none"/>
              </w:rPr>
              <w:t>▲在器具输入插座端与屏正面之间施加试验电压3kv/50Hz，保持1min，不应出现飞弧和击穿现象，产品能正常工作；在5000米海拔环境下，产品可正常工作；输入电压：支持宽压输入在96-264VAC，支持窄压输入在200-240VAC，在该范围内能正常工作（提供由第三方权威检测机构出具带有“CNAS”、“CMA”、“ilac-MRA”标志的检测报告复印件，加盖制造商公章）</w:t>
            </w:r>
          </w:p>
          <w:p w14:paraId="6F0D85C3">
            <w:pPr>
              <w:numPr>
                <w:ilvl w:val="0"/>
                <w:numId w:val="2"/>
              </w:numPr>
              <w:ind w:left="425" w:leftChars="0" w:hanging="425" w:firstLineChars="0"/>
              <w:rPr>
                <w:rFonts w:hint="eastAsia"/>
                <w:color w:val="auto"/>
                <w:highlight w:val="none"/>
              </w:rPr>
            </w:pPr>
            <w:r>
              <w:rPr>
                <w:rFonts w:hint="eastAsia"/>
                <w:color w:val="auto"/>
                <w:highlight w:val="none"/>
              </w:rPr>
              <w:t>▲防护性能：具有防静电、防电磁干扰、防腐蚀、防霉菌、防虫、防潮、抗震动、抗雷击等功能；具有电源过压、过流、断电保护、分布上电措施、防护等级达到IP60（提供由第三方权威检测机构出具带有“CNAS”、“CMA”、“ilac-MRA”标志的检测报告复印件，加盖制造商公章）</w:t>
            </w:r>
          </w:p>
          <w:p w14:paraId="45164C95">
            <w:pPr>
              <w:numPr>
                <w:ilvl w:val="0"/>
                <w:numId w:val="2"/>
              </w:numPr>
              <w:ind w:left="425" w:leftChars="0" w:hanging="425" w:firstLineChars="0"/>
              <w:rPr>
                <w:rFonts w:hint="eastAsia"/>
                <w:color w:val="auto"/>
                <w:highlight w:val="none"/>
              </w:rPr>
            </w:pPr>
            <w:r>
              <w:rPr>
                <w:rFonts w:hint="eastAsia"/>
                <w:color w:val="auto"/>
                <w:highlight w:val="none"/>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提供由第三方权威检测机构出具带有“CNAS”、“CMA”、“ilac-MRA”标志的检测报告复印件，加盖制造商公章）</w:t>
            </w:r>
          </w:p>
          <w:p w14:paraId="4662008F">
            <w:pPr>
              <w:numPr>
                <w:ilvl w:val="0"/>
                <w:numId w:val="2"/>
              </w:numPr>
              <w:ind w:left="425" w:leftChars="0" w:hanging="425" w:firstLineChars="0"/>
              <w:rPr>
                <w:rFonts w:hint="eastAsia"/>
                <w:color w:val="auto"/>
                <w:highlight w:val="none"/>
              </w:rPr>
            </w:pPr>
            <w:r>
              <w:rPr>
                <w:rFonts w:hint="eastAsia"/>
                <w:color w:val="auto"/>
                <w:highlight w:val="none"/>
              </w:rPr>
              <w:t>▲防电击等级依据GB4943.1标准，使用基本绝缘作为基本安全防护，同时使用保护连接和保护接地作为附加安全防护，达到防电击保护I类设备（提供由第三方权威检测机构出具带有“CNAS”、“CMA”、“ilac-MRA”标志的检测报告复印件，加盖制造商公章）</w:t>
            </w:r>
          </w:p>
          <w:p w14:paraId="413921DE">
            <w:pPr>
              <w:numPr>
                <w:ilvl w:val="0"/>
                <w:numId w:val="2"/>
              </w:numPr>
              <w:ind w:left="425" w:leftChars="0" w:hanging="425" w:firstLineChars="0"/>
              <w:rPr>
                <w:rFonts w:hint="eastAsia"/>
                <w:color w:val="auto"/>
                <w:highlight w:val="none"/>
              </w:rPr>
            </w:pPr>
            <w:r>
              <w:rPr>
                <w:rFonts w:hint="eastAsia"/>
                <w:color w:val="auto"/>
                <w:highlight w:val="none"/>
              </w:rPr>
              <w:t>▲产品采用高端芯片，可智能调节正常工作与睡眠状态下的节能效果（动态节能，智能息屏），开启智能节电功能比没有开启节能50%以上（提供由第三方权威检测机构出具带有“CNAS”、“CMA”、“ilac-MRA”标志的检测报告复印件，加盖制造商公章）</w:t>
            </w:r>
          </w:p>
          <w:p w14:paraId="793C44AB">
            <w:pPr>
              <w:numPr>
                <w:ilvl w:val="0"/>
                <w:numId w:val="2"/>
              </w:numPr>
              <w:ind w:left="425" w:leftChars="0" w:hanging="425" w:firstLineChars="0"/>
              <w:rPr>
                <w:rFonts w:hint="eastAsia"/>
                <w:color w:val="auto"/>
                <w:highlight w:val="none"/>
              </w:rPr>
            </w:pPr>
            <w:r>
              <w:rPr>
                <w:rFonts w:hint="eastAsia"/>
                <w:color w:val="auto"/>
                <w:highlight w:val="none"/>
              </w:rPr>
              <w:t>具备防蓝光护眼功能，蓝光辐射能量≤20%。蓝光辐射能量值对人眼视网膜无伤害，LED显示屏蓝光辐亮度≤0.5W.m-2.sr-1,符合肉眼观看标准。</w:t>
            </w:r>
          </w:p>
          <w:p w14:paraId="0374D859">
            <w:pPr>
              <w:numPr>
                <w:ilvl w:val="0"/>
                <w:numId w:val="2"/>
              </w:numPr>
              <w:ind w:left="425" w:leftChars="0" w:hanging="425" w:firstLineChars="0"/>
              <w:rPr>
                <w:rFonts w:hint="eastAsia"/>
                <w:color w:val="auto"/>
              </w:rPr>
            </w:pPr>
            <w:r>
              <w:rPr>
                <w:rFonts w:hint="eastAsia"/>
                <w:color w:val="auto"/>
                <w:highlight w:val="none"/>
              </w:rPr>
              <w:t>▲为保证产品的绿色环保性能，对人体不产生危害，所投LED显示屏符合GB/T 26125-2011和GB/T 26572-2011认证标准要求，且符合CQC21-NV330-2019《电器电子产品有害物质限制使用认证实施细则》的要求，具有电器电子产品有害物质限制使用产品认证证书，提供证书复印件，加盖制造商公章</w:t>
            </w:r>
          </w:p>
          <w:p w14:paraId="20EEB34D">
            <w:pPr>
              <w:numPr>
                <w:ilvl w:val="0"/>
                <w:numId w:val="2"/>
              </w:numPr>
              <w:ind w:left="425" w:leftChars="0" w:hanging="425" w:firstLineChars="0"/>
              <w:rPr>
                <w:rFonts w:hint="eastAsia" w:ascii="宋体" w:hAnsi="宋体" w:eastAsia="宋体" w:cs="宋体"/>
                <w:color w:val="auto"/>
                <w:kern w:val="2"/>
                <w:sz w:val="22"/>
                <w:szCs w:val="22"/>
                <w:highlight w:val="none"/>
                <w:lang w:val="en-US" w:eastAsia="zh-CN" w:bidi="ar-SA"/>
              </w:rPr>
            </w:pPr>
            <w:r>
              <w:rPr>
                <w:rFonts w:hint="eastAsia"/>
                <w:color w:val="auto"/>
                <w:highlight w:val="none"/>
              </w:rPr>
              <w:t>▲本项目LED显示屏不接受ODM产品，要求LED显示屏3C认证证书中申请人（委托人）、制造商（生产者）、生产企业三者名称须一致或为同一集团、法人企业，并提供证书复印件，加盖制造商公章，不提供按无效标处理</w:t>
            </w:r>
          </w:p>
        </w:tc>
        <w:tc>
          <w:tcPr>
            <w:tcW w:w="847" w:type="dxa"/>
            <w:noWrap w:val="0"/>
            <w:vAlign w:val="center"/>
          </w:tcPr>
          <w:p w14:paraId="253699AE">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13.93</w:t>
            </w:r>
          </w:p>
        </w:tc>
        <w:tc>
          <w:tcPr>
            <w:tcW w:w="662" w:type="dxa"/>
            <w:noWrap w:val="0"/>
            <w:vAlign w:val="center"/>
          </w:tcPr>
          <w:p w14:paraId="24BA47DB">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m²</w:t>
            </w:r>
          </w:p>
        </w:tc>
        <w:tc>
          <w:tcPr>
            <w:tcW w:w="662" w:type="dxa"/>
            <w:noWrap w:val="0"/>
            <w:vAlign w:val="center"/>
          </w:tcPr>
          <w:p w14:paraId="5153127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p>
        </w:tc>
        <w:tc>
          <w:tcPr>
            <w:tcW w:w="662" w:type="dxa"/>
            <w:noWrap w:val="0"/>
            <w:vAlign w:val="center"/>
          </w:tcPr>
          <w:p w14:paraId="0735970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rPr>
                <w:rFonts w:hint="eastAsia" w:ascii="宋体" w:hAnsi="宋体" w:eastAsia="宋体" w:cs="宋体"/>
                <w:color w:val="auto"/>
                <w:kern w:val="2"/>
                <w:sz w:val="22"/>
                <w:szCs w:val="22"/>
                <w:highlight w:val="none"/>
                <w:lang w:val="en-US" w:eastAsia="zh-CN" w:bidi="ar-SA"/>
              </w:rPr>
            </w:pPr>
          </w:p>
        </w:tc>
      </w:tr>
      <w:tr w14:paraId="7C82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2" w:type="dxa"/>
            <w:vAlign w:val="center"/>
          </w:tcPr>
          <w:p w14:paraId="6EFD742F">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2</w:t>
            </w:r>
          </w:p>
        </w:tc>
        <w:tc>
          <w:tcPr>
            <w:tcW w:w="745" w:type="dxa"/>
            <w:vAlign w:val="center"/>
          </w:tcPr>
          <w:p w14:paraId="6DD37764">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主控</w:t>
            </w:r>
          </w:p>
          <w:p w14:paraId="7F783B61">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X</w:t>
            </w:r>
            <w:r>
              <w:rPr>
                <w:rFonts w:hint="eastAsia" w:ascii="宋体" w:hAnsi="宋体" w:cs="宋体"/>
                <w:b/>
                <w:bCs/>
                <w:color w:val="auto"/>
                <w:sz w:val="22"/>
                <w:szCs w:val="22"/>
                <w:highlight w:val="none"/>
                <w:vertAlign w:val="baseline"/>
                <w:lang w:val="en-US" w:eastAsia="zh-CN"/>
              </w:rPr>
              <w:t>8M</w:t>
            </w:r>
          </w:p>
        </w:tc>
        <w:tc>
          <w:tcPr>
            <w:tcW w:w="846" w:type="dxa"/>
            <w:vAlign w:val="center"/>
          </w:tcPr>
          <w:p w14:paraId="2FEA6FE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kern w:val="2"/>
                <w:sz w:val="22"/>
                <w:szCs w:val="22"/>
                <w:highlight w:val="none"/>
                <w:vertAlign w:val="baseline"/>
                <w:lang w:val="en-US" w:eastAsia="zh-CN" w:bidi="ar-SA"/>
              </w:rPr>
              <w:t>卡莱特</w:t>
            </w:r>
          </w:p>
        </w:tc>
        <w:tc>
          <w:tcPr>
            <w:tcW w:w="3893" w:type="dxa"/>
            <w:vAlign w:val="center"/>
          </w:tcPr>
          <w:p w14:paraId="790613E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1.最大4096X2160@60Hz输入分辨率</w:t>
            </w:r>
          </w:p>
          <w:p w14:paraId="497A586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2.最大带载524万像素，8路千兆网口输出</w:t>
            </w:r>
          </w:p>
          <w:p w14:paraId="7798F6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3.最宽16384像素点或最高8192像素点</w:t>
            </w:r>
          </w:p>
          <w:p w14:paraId="68D6CA9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4.支持6路信号输入: 1xHDMI2.0，1xDP1.2，4xHDMI1.4</w:t>
            </w:r>
          </w:p>
          <w:p w14:paraId="508D38B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5.支持视频同步锁相技术</w:t>
            </w:r>
          </w:p>
          <w:p w14:paraId="08ADB8D3">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6.支持1路独立音频输入，1路独立音频输出</w:t>
            </w:r>
          </w:p>
          <w:p w14:paraId="74BCEDE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7.支持6画面显示，位置、大小可自由调节</w:t>
            </w:r>
          </w:p>
          <w:p w14:paraId="19C254E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8.支持视频信号任意切换，裁剪，拼接，缩放</w:t>
            </w:r>
          </w:p>
          <w:p w14:paraId="1B9AEF6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9.支持低亮高灰，能有效地保持低亮下灰阶的完整显示</w:t>
            </w:r>
          </w:p>
          <w:p w14:paraId="739AAC5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10.支持LAN口控制，支持手机端APP控制</w:t>
            </w:r>
          </w:p>
          <w:p w14:paraId="36EC7183">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11.确保产品质量可靠，提供厂家3C认证证书</w:t>
            </w:r>
          </w:p>
          <w:p w14:paraId="4A6527F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支持自动倍频、2倍频、3倍频，采用独特的倍频算法，针对视频源信号小于30hz可启用2倍频，小于20hz可启用3倍频，可以将输入信号转成60Hz信号输出，提高画面显示效果，信号最高帧率可达100Hz；需提供具有CMA、CNAS、ilac-MRA认证标识的第三方厂家检测报告，并加盖供应商公章</w:t>
            </w:r>
          </w:p>
          <w:p w14:paraId="47B4D9C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13.▲为了保证HDMI或者DVI传输的高清晰信号不会被非法录制，设备具备HDCP1.4技术；需提供具有CMA、CNAS、ilac-MRA认证标识的第三方厂家检测报告，并加盖供应商公章</w:t>
            </w:r>
          </w:p>
          <w:p w14:paraId="0D4EB39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14.▲设备直接通过USB2.0级联，级联数据下发发送速率最高可达60Mb/s，最多支持64台同时调节亮度、色温、设备之间同步性，符合大型高标准活动现场低延时要求；配合外设级联最大带载宽度可达1048576像素点，最高可到524288像素点；需提供具有CMA、CNAS、ilac-MRA认证标识的第三方厂家检测报告，并加盖供应商公章</w:t>
            </w:r>
          </w:p>
          <w:p w14:paraId="56A5989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15.▲支持屏幕除湿功能，通过自定义设置预热屏幕减少屏幕水汽，可以减少死灯、短路、暗亮等问题，延长显示屏使用寿命；需提供具有CMA、CNAS、ilac-MRA认证标识的第三方厂家检测报告，并加盖供应商公章</w:t>
            </w:r>
          </w:p>
        </w:tc>
        <w:tc>
          <w:tcPr>
            <w:tcW w:w="847" w:type="dxa"/>
            <w:vAlign w:val="center"/>
          </w:tcPr>
          <w:p w14:paraId="11E84116">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1</w:t>
            </w:r>
          </w:p>
        </w:tc>
        <w:tc>
          <w:tcPr>
            <w:tcW w:w="662" w:type="dxa"/>
            <w:vAlign w:val="center"/>
          </w:tcPr>
          <w:p w14:paraId="76B5F09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台</w:t>
            </w:r>
          </w:p>
        </w:tc>
        <w:tc>
          <w:tcPr>
            <w:tcW w:w="662" w:type="dxa"/>
            <w:vAlign w:val="center"/>
          </w:tcPr>
          <w:p w14:paraId="2DDEBE4E">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vAlign w:val="center"/>
          </w:tcPr>
          <w:p w14:paraId="7A88FEF8">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r w14:paraId="3881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2" w:type="dxa"/>
            <w:vAlign w:val="center"/>
          </w:tcPr>
          <w:p w14:paraId="6E21EF0D">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3</w:t>
            </w:r>
          </w:p>
        </w:tc>
        <w:tc>
          <w:tcPr>
            <w:tcW w:w="745" w:type="dxa"/>
            <w:vAlign w:val="center"/>
          </w:tcPr>
          <w:p w14:paraId="0FCF2163">
            <w:pPr>
              <w:keepNext w:val="0"/>
              <w:keepLines w:val="0"/>
              <w:pageBreakBefore w:val="0"/>
              <w:kinsoku/>
              <w:wordWrap/>
              <w:overflowPunct/>
              <w:topLinePunct w:val="0"/>
              <w:autoSpaceDE/>
              <w:autoSpaceDN/>
              <w:bidi w:val="0"/>
              <w:adjustRightInd/>
              <w:snapToGrid/>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接收卡E</w:t>
            </w:r>
            <w:r>
              <w:rPr>
                <w:rFonts w:hint="eastAsia" w:ascii="宋体" w:hAnsi="宋体" w:cs="宋体"/>
                <w:b/>
                <w:bCs/>
                <w:color w:val="auto"/>
                <w:sz w:val="22"/>
                <w:szCs w:val="22"/>
                <w:highlight w:val="none"/>
                <w:vertAlign w:val="baseline"/>
                <w:lang w:val="en-US" w:eastAsia="zh-CN"/>
              </w:rPr>
              <w:t>120</w:t>
            </w:r>
          </w:p>
        </w:tc>
        <w:tc>
          <w:tcPr>
            <w:tcW w:w="846" w:type="dxa"/>
            <w:vAlign w:val="center"/>
          </w:tcPr>
          <w:p w14:paraId="4C4CCEA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kern w:val="2"/>
                <w:sz w:val="22"/>
                <w:szCs w:val="22"/>
                <w:highlight w:val="none"/>
                <w:vertAlign w:val="baseline"/>
                <w:lang w:val="en-US" w:eastAsia="zh-CN" w:bidi="ar-SA"/>
              </w:rPr>
              <w:t>卡莱特</w:t>
            </w:r>
          </w:p>
        </w:tc>
        <w:tc>
          <w:tcPr>
            <w:tcW w:w="3893" w:type="dxa"/>
            <w:vAlign w:val="center"/>
          </w:tcPr>
          <w:p w14:paraId="06B73A32">
            <w:pPr>
              <w:pStyle w:val="2"/>
              <w:ind w:left="0" w:leftChars="0" w:firstLine="0" w:firstLineChars="0"/>
              <w:rPr>
                <w:rFonts w:hint="eastAsia"/>
                <w:lang w:val="en-US" w:eastAsia="zh-CN"/>
              </w:rPr>
            </w:pPr>
            <w:r>
              <w:rPr>
                <w:rFonts w:hint="eastAsia"/>
                <w:lang w:val="en-US" w:eastAsia="zh-CN"/>
              </w:rPr>
              <w:t>1.集成12个HUB75，无需再配转接板</w:t>
            </w:r>
          </w:p>
          <w:p w14:paraId="276B1A1D">
            <w:pPr>
              <w:pStyle w:val="2"/>
              <w:ind w:left="0" w:leftChars="0" w:firstLine="0" w:firstLineChars="0"/>
              <w:rPr>
                <w:rFonts w:hint="eastAsia"/>
                <w:lang w:val="en-US" w:eastAsia="zh-CN"/>
              </w:rPr>
            </w:pPr>
            <w:r>
              <w:rPr>
                <w:rFonts w:hint="eastAsia"/>
                <w:lang w:val="en-US" w:eastAsia="zh-CN"/>
              </w:rPr>
              <w:t>2.单卡最大带载192×1024像素，最多支持24组并行数据</w:t>
            </w:r>
          </w:p>
          <w:p w14:paraId="0C62D723">
            <w:pPr>
              <w:pStyle w:val="2"/>
              <w:ind w:left="0" w:leftChars="0" w:firstLine="0" w:firstLineChars="0"/>
              <w:rPr>
                <w:rFonts w:hint="eastAsia"/>
                <w:lang w:val="en-US" w:eastAsia="zh-CN"/>
              </w:rPr>
            </w:pPr>
            <w:r>
              <w:rPr>
                <w:rFonts w:hint="eastAsia"/>
                <w:lang w:val="en-US" w:eastAsia="zh-CN"/>
              </w:rPr>
              <w:t>3.支持8bit色深视频源输入输出，单色灰阶为256，可搭配出16777216种混合色彩</w:t>
            </w:r>
          </w:p>
          <w:p w14:paraId="4791DB9D">
            <w:pPr>
              <w:pStyle w:val="2"/>
              <w:ind w:left="0" w:leftChars="0" w:firstLine="0" w:firstLineChars="0"/>
              <w:rPr>
                <w:rFonts w:hint="eastAsia"/>
                <w:lang w:val="en-US" w:eastAsia="zh-CN"/>
              </w:rPr>
            </w:pPr>
            <w:r>
              <w:rPr>
                <w:rFonts w:hint="eastAsia"/>
                <w:lang w:val="en-US" w:eastAsia="zh-CN"/>
              </w:rPr>
              <w:t>4.支持自适应帧率技术，不仅支持23.98/24/29.97/30/50/59.94/60Hz常规及非整数帧率，还可输出显示120/240Hz高帧率画面，大幅提升画面流畅度、减少拖影</w:t>
            </w:r>
          </w:p>
          <w:p w14:paraId="6AC346A3">
            <w:pPr>
              <w:pStyle w:val="2"/>
              <w:ind w:left="0" w:leftChars="0" w:firstLine="0" w:firstLineChars="0"/>
              <w:rPr>
                <w:rFonts w:hint="eastAsia"/>
                <w:lang w:val="en-US" w:eastAsia="zh-CN"/>
              </w:rPr>
            </w:pPr>
            <w:r>
              <w:rPr>
                <w:rFonts w:hint="eastAsia"/>
                <w:lang w:val="en-US" w:eastAsia="zh-CN"/>
              </w:rPr>
              <w:t>5.支持色温调节，提供调整色温，即饱和度调节，增强画面表现力</w:t>
            </w:r>
          </w:p>
          <w:p w14:paraId="3B33C78B">
            <w:pPr>
              <w:pStyle w:val="2"/>
              <w:ind w:left="0" w:leftChars="0" w:firstLine="0" w:firstLineChars="0"/>
              <w:rPr>
                <w:rFonts w:hint="eastAsia"/>
                <w:lang w:val="en-US" w:eastAsia="zh-CN"/>
              </w:rPr>
            </w:pPr>
            <w:r>
              <w:rPr>
                <w:rFonts w:hint="eastAsia"/>
                <w:lang w:val="en-US" w:eastAsia="zh-CN"/>
              </w:rPr>
              <w:t>6.支持低亮高灰</w:t>
            </w:r>
          </w:p>
          <w:p w14:paraId="0C4BF879">
            <w:pPr>
              <w:pStyle w:val="2"/>
              <w:ind w:left="0" w:leftChars="0" w:firstLine="0" w:firstLineChars="0"/>
              <w:rPr>
                <w:rFonts w:hint="eastAsia"/>
                <w:lang w:val="en-US" w:eastAsia="zh-CN"/>
              </w:rPr>
            </w:pPr>
            <w:r>
              <w:rPr>
                <w:rFonts w:hint="eastAsia"/>
                <w:lang w:val="en-US" w:eastAsia="zh-CN"/>
              </w:rPr>
              <w:t>7.支持亮色度逐点校正，能有效消除灯点色差，保证整屏的颜色亮度的均匀性和一致性，提升整体显示效果</w:t>
            </w:r>
          </w:p>
          <w:p w14:paraId="377DCFED">
            <w:pPr>
              <w:pStyle w:val="2"/>
              <w:ind w:left="0" w:leftChars="0" w:firstLine="0" w:firstLineChars="0"/>
              <w:rPr>
                <w:rFonts w:hint="eastAsia"/>
                <w:lang w:val="en-US" w:eastAsia="zh-CN"/>
              </w:rPr>
            </w:pPr>
            <w:r>
              <w:rPr>
                <w:rFonts w:hint="eastAsia"/>
                <w:lang w:val="en-US" w:eastAsia="zh-CN"/>
              </w:rPr>
              <w:t>8.支持箱体标定和快速标序</w:t>
            </w:r>
          </w:p>
          <w:p w14:paraId="23784190">
            <w:pPr>
              <w:pStyle w:val="2"/>
              <w:ind w:left="0" w:leftChars="0" w:firstLine="0" w:firstLineChars="0"/>
              <w:rPr>
                <w:rFonts w:hint="eastAsia"/>
                <w:lang w:val="en-US" w:eastAsia="zh-CN"/>
              </w:rPr>
            </w:pPr>
            <w:r>
              <w:rPr>
                <w:rFonts w:hint="eastAsia"/>
                <w:lang w:val="en-US" w:eastAsia="zh-CN"/>
              </w:rPr>
              <w:t>9.支持画面旋转，单个箱体画面以90°/180°/270°角度进行旋转，配合部分主控可实现单箱体画面任意角度旋转显示</w:t>
            </w:r>
          </w:p>
          <w:p w14:paraId="7295EEEE">
            <w:pPr>
              <w:pStyle w:val="2"/>
              <w:ind w:left="0" w:leftChars="0" w:firstLine="0" w:firstLineChars="0"/>
              <w:rPr>
                <w:rFonts w:hint="eastAsia"/>
                <w:lang w:val="en-US" w:eastAsia="zh-CN"/>
              </w:rPr>
            </w:pPr>
            <w:r>
              <w:rPr>
                <w:rFonts w:hint="eastAsia"/>
                <w:lang w:val="en-US" w:eastAsia="zh-CN"/>
              </w:rPr>
              <w:t>10.支持数据偏移</w:t>
            </w:r>
          </w:p>
          <w:p w14:paraId="68937B55">
            <w:pPr>
              <w:pStyle w:val="2"/>
              <w:ind w:left="0" w:leftChars="0" w:firstLine="0" w:firstLineChars="0"/>
              <w:rPr>
                <w:rFonts w:hint="eastAsia"/>
                <w:lang w:val="en-US" w:eastAsia="zh-CN"/>
              </w:rPr>
            </w:pPr>
            <w:r>
              <w:rPr>
                <w:rFonts w:hint="eastAsia"/>
                <w:lang w:val="en-US" w:eastAsia="zh-CN"/>
              </w:rPr>
              <w:t>11.支持环路备份，支持固件备份</w:t>
            </w:r>
          </w:p>
          <w:p w14:paraId="61F25AE3">
            <w:pPr>
              <w:pStyle w:val="2"/>
              <w:ind w:left="0" w:leftChars="0" w:firstLine="0" w:firstLineChars="0"/>
              <w:rPr>
                <w:rFonts w:hint="eastAsia"/>
                <w:lang w:val="en-US" w:eastAsia="zh-CN"/>
              </w:rPr>
            </w:pPr>
            <w:r>
              <w:rPr>
                <w:rFonts w:hint="eastAsia"/>
                <w:lang w:val="en-US" w:eastAsia="zh-CN"/>
              </w:rPr>
              <w:t>12.▲一帧延迟，发送端到显示端延迟达到一帧，解决系统延迟导致的画面不同步问题；需提供具有CMA、CNAS、ilac-MRA认证标识的第三方厂家检测报告，并加盖供应商公章</w:t>
            </w:r>
          </w:p>
          <w:p w14:paraId="5770C99D">
            <w:pPr>
              <w:pStyle w:val="2"/>
              <w:ind w:left="0" w:leftChars="0" w:firstLine="0" w:firstLineChars="0"/>
              <w:rPr>
                <w:rFonts w:hint="eastAsia"/>
                <w:lang w:val="en-US" w:eastAsia="zh-CN"/>
              </w:rPr>
            </w:pPr>
            <w:r>
              <w:rPr>
                <w:rFonts w:hint="eastAsia"/>
                <w:lang w:val="en-US" w:eastAsia="zh-CN"/>
              </w:rPr>
              <w:t>13.▲8bit/14bit精度的色度，亮度一体化逐点校正，能有效消除灯点色差，保证整屏的颜色亮度的均匀性和一致性，提升整体显示效果；需提供具有CMA、CNAS、ilac-MRA认证标识的第三方厂家检测报告，并加盖供应商公章</w:t>
            </w:r>
          </w:p>
          <w:p w14:paraId="739F63E9">
            <w:pPr>
              <w:pStyle w:val="2"/>
              <w:ind w:left="0" w:leftChars="0" w:firstLine="0" w:firstLineChars="0"/>
              <w:rPr>
                <w:rFonts w:hint="eastAsia"/>
                <w:lang w:val="en-US" w:eastAsia="zh-CN"/>
              </w:rPr>
            </w:pPr>
            <w:r>
              <w:rPr>
                <w:rFonts w:hint="eastAsia"/>
                <w:lang w:val="en-US" w:eastAsia="zh-CN"/>
              </w:rPr>
              <w:t>14.▲检测接收卡之间数据传输质量和误码情况，可以方便快捷地识别出硬件连接异常的箱体，便于维护；需提供具有CMA、CNAS、ilac-MRA认证标识的第三方厂家检测报告，并加盖供应商公章</w:t>
            </w:r>
          </w:p>
          <w:p w14:paraId="421B77F5">
            <w:pPr>
              <w:pStyle w:val="2"/>
              <w:ind w:left="0" w:leftChars="0" w:firstLine="0" w:firstLineChars="0"/>
              <w:rPr>
                <w:rFonts w:hint="eastAsia"/>
                <w:lang w:val="en-US" w:eastAsia="zh-CN"/>
              </w:rPr>
            </w:pPr>
            <w:r>
              <w:rPr>
                <w:rFonts w:hint="eastAsia"/>
                <w:lang w:val="en-US" w:eastAsia="zh-CN"/>
              </w:rPr>
              <w:t>15.▲通过对伽马表算法的优化，使得显示屏在降低亮度时能保持灰阶的完整无损失、完美显示，呈现低亮度高灰阶的显示效果；需提供具有CMA、CNAS、ilac-MRA认证标识的第三方厂家检测报告，并加盖供应商公章</w:t>
            </w:r>
          </w:p>
        </w:tc>
        <w:tc>
          <w:tcPr>
            <w:tcW w:w="847" w:type="dxa"/>
            <w:vAlign w:val="center"/>
          </w:tcPr>
          <w:p w14:paraId="075106BD">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33</w:t>
            </w:r>
          </w:p>
        </w:tc>
        <w:tc>
          <w:tcPr>
            <w:tcW w:w="662" w:type="dxa"/>
            <w:vAlign w:val="center"/>
          </w:tcPr>
          <w:p w14:paraId="172449AF">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张</w:t>
            </w:r>
          </w:p>
        </w:tc>
        <w:tc>
          <w:tcPr>
            <w:tcW w:w="662" w:type="dxa"/>
            <w:vAlign w:val="center"/>
          </w:tcPr>
          <w:p w14:paraId="4E6A316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vAlign w:val="center"/>
          </w:tcPr>
          <w:p w14:paraId="0665EA86">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r w14:paraId="0A6D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2" w:type="dxa"/>
            <w:vAlign w:val="center"/>
          </w:tcPr>
          <w:p w14:paraId="26ED0F11">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4</w:t>
            </w:r>
          </w:p>
        </w:tc>
        <w:tc>
          <w:tcPr>
            <w:tcW w:w="745" w:type="dxa"/>
            <w:vAlign w:val="center"/>
          </w:tcPr>
          <w:p w14:paraId="241769E0">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电源JC200-4.5-30H</w:t>
            </w:r>
          </w:p>
        </w:tc>
        <w:tc>
          <w:tcPr>
            <w:tcW w:w="846" w:type="dxa"/>
            <w:vAlign w:val="center"/>
          </w:tcPr>
          <w:p w14:paraId="67AB52F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vertAlign w:val="baseline"/>
                <w:lang w:val="en-US" w:eastAsia="zh-CN"/>
              </w:rPr>
              <w:t>铂航</w:t>
            </w:r>
          </w:p>
        </w:tc>
        <w:tc>
          <w:tcPr>
            <w:tcW w:w="3893" w:type="dxa"/>
            <w:vAlign w:val="center"/>
          </w:tcPr>
          <w:p w14:paraId="24533D4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1.极限工作范围： 180Vac to 264Vac</w:t>
            </w:r>
          </w:p>
          <w:p w14:paraId="5576DBA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2.输入电压： 200Vac to 240Vac</w:t>
            </w:r>
          </w:p>
          <w:p w14:paraId="3B99E5E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3.频率范围：  50Hz/60Hz士5%</w:t>
            </w:r>
          </w:p>
          <w:p w14:paraId="61554AD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4.满载输入电流 ：在满载且交流电压为 180Vac的条件下，最大电流为 2.5A。</w:t>
            </w:r>
          </w:p>
          <w:p w14:paraId="6D28049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5.浪涌电流 ：在满载、冷态且交流电压为 230Vac的条件下，最大电流为 100A。</w:t>
            </w:r>
          </w:p>
          <w:p w14:paraId="631B3E18">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6.功率因数：在额定负载且交流电压处于 180V~240Vac的条件下，最小值为 90%。</w:t>
            </w:r>
          </w:p>
          <w:p w14:paraId="737343BB">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7.效率：87%min.@230Vac(PCB 板端)</w:t>
            </w:r>
          </w:p>
          <w:p w14:paraId="3D929DDE">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8.泄漏电流：在输入交流电压为  230Vac的情况下，电流小于 3.5 mA。</w:t>
            </w:r>
          </w:p>
          <w:p w14:paraId="7E4E2576">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9.输入保险：T5AL/250Vac</w:t>
            </w:r>
          </w:p>
          <w:p w14:paraId="5D2531C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10.额定功率：180W@+4.5V</w:t>
            </w:r>
          </w:p>
          <w:p w14:paraId="076C937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11、工作温度：-30℃to +60℃，存储温度：-40℃ to +80℃</w:t>
            </w:r>
          </w:p>
          <w:p w14:paraId="465AD095">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12、工作湿度范围：10% to 50%（非冷凝状态），存储湿度范围：10% to 90%</w:t>
            </w:r>
          </w:p>
        </w:tc>
        <w:tc>
          <w:tcPr>
            <w:tcW w:w="847" w:type="dxa"/>
            <w:vAlign w:val="center"/>
          </w:tcPr>
          <w:p w14:paraId="0FEAAF4F">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47</w:t>
            </w:r>
          </w:p>
        </w:tc>
        <w:tc>
          <w:tcPr>
            <w:tcW w:w="662" w:type="dxa"/>
            <w:vAlign w:val="center"/>
          </w:tcPr>
          <w:p w14:paraId="2FF0B5B5">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662" w:type="dxa"/>
            <w:vAlign w:val="center"/>
          </w:tcPr>
          <w:p w14:paraId="01F2D7E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c>
          <w:tcPr>
            <w:tcW w:w="662" w:type="dxa"/>
            <w:vAlign w:val="center"/>
          </w:tcPr>
          <w:p w14:paraId="0670FD0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r>
      <w:tr w14:paraId="6768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02" w:type="dxa"/>
            <w:vAlign w:val="center"/>
          </w:tcPr>
          <w:p w14:paraId="45351DC3">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5</w:t>
            </w:r>
          </w:p>
        </w:tc>
        <w:tc>
          <w:tcPr>
            <w:tcW w:w="745" w:type="dxa"/>
            <w:vAlign w:val="center"/>
          </w:tcPr>
          <w:p w14:paraId="7803C035">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配电柜</w:t>
            </w:r>
            <w:r>
              <w:rPr>
                <w:rFonts w:hint="eastAsia" w:ascii="宋体" w:hAnsi="宋体" w:cs="宋体"/>
                <w:b/>
                <w:bCs/>
                <w:color w:val="auto"/>
                <w:sz w:val="22"/>
                <w:szCs w:val="22"/>
                <w:highlight w:val="none"/>
                <w:vertAlign w:val="baseline"/>
                <w:lang w:val="en-US" w:eastAsia="zh-CN"/>
              </w:rPr>
              <w:t>20</w:t>
            </w:r>
            <w:r>
              <w:rPr>
                <w:rFonts w:hint="eastAsia" w:ascii="宋体" w:hAnsi="宋体" w:eastAsia="宋体" w:cs="宋体"/>
                <w:b/>
                <w:bCs/>
                <w:color w:val="auto"/>
                <w:sz w:val="22"/>
                <w:szCs w:val="22"/>
                <w:highlight w:val="none"/>
                <w:vertAlign w:val="baseline"/>
                <w:lang w:val="en-US" w:eastAsia="zh-CN"/>
              </w:rPr>
              <w:t>KW</w:t>
            </w:r>
          </w:p>
        </w:tc>
        <w:tc>
          <w:tcPr>
            <w:tcW w:w="846" w:type="dxa"/>
            <w:vAlign w:val="center"/>
          </w:tcPr>
          <w:p w14:paraId="55D3AA5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定制</w:t>
            </w:r>
          </w:p>
        </w:tc>
        <w:tc>
          <w:tcPr>
            <w:tcW w:w="3893" w:type="dxa"/>
            <w:vAlign w:val="center"/>
          </w:tcPr>
          <w:p w14:paraId="2C305C4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1.输入电压:AC380V/AC220V/AC110V 50HZ</w:t>
            </w:r>
          </w:p>
          <w:p w14:paraId="1E133424">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2.输出电压：AC220V/AC110V 50HZ</w:t>
            </w:r>
          </w:p>
          <w:p w14:paraId="05AA8D82">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3.输出功率：20kw</w:t>
            </w:r>
          </w:p>
          <w:p w14:paraId="13863A09">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4.输出路数:6 路 32A/D 型/1P 空开 单路 3.5KW</w:t>
            </w:r>
          </w:p>
          <w:p w14:paraId="5EB37F8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5.额定电流：33.33A</w:t>
            </w:r>
          </w:p>
        </w:tc>
        <w:tc>
          <w:tcPr>
            <w:tcW w:w="847" w:type="dxa"/>
            <w:vAlign w:val="center"/>
          </w:tcPr>
          <w:p w14:paraId="58FEB5D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662" w:type="dxa"/>
            <w:vAlign w:val="center"/>
          </w:tcPr>
          <w:p w14:paraId="2392407D">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662" w:type="dxa"/>
            <w:vAlign w:val="center"/>
          </w:tcPr>
          <w:p w14:paraId="46B35C9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c>
          <w:tcPr>
            <w:tcW w:w="662" w:type="dxa"/>
            <w:vAlign w:val="center"/>
          </w:tcPr>
          <w:p w14:paraId="7ED04BFF">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r>
      <w:tr w14:paraId="15A8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2" w:type="dxa"/>
            <w:vAlign w:val="center"/>
          </w:tcPr>
          <w:p w14:paraId="1FE25C5B">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6</w:t>
            </w:r>
          </w:p>
        </w:tc>
        <w:tc>
          <w:tcPr>
            <w:tcW w:w="745" w:type="dxa"/>
            <w:shd w:val="clear" w:color="auto" w:fill="auto"/>
            <w:vAlign w:val="center"/>
          </w:tcPr>
          <w:p w14:paraId="6EDC8C6D">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显示屏框架结构设计施工</w:t>
            </w:r>
          </w:p>
        </w:tc>
        <w:tc>
          <w:tcPr>
            <w:tcW w:w="846" w:type="dxa"/>
            <w:shd w:val="clear" w:color="auto" w:fill="auto"/>
            <w:vAlign w:val="center"/>
          </w:tcPr>
          <w:p w14:paraId="32938F34">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r>
              <w:rPr>
                <w:rFonts w:hint="eastAsia" w:ascii="宋体" w:hAnsi="宋体" w:eastAsia="宋体" w:cs="宋体"/>
                <w:b/>
                <w:bCs/>
                <w:color w:val="auto"/>
                <w:sz w:val="22"/>
                <w:szCs w:val="22"/>
                <w:highlight w:val="none"/>
                <w:vertAlign w:val="baseline"/>
              </w:rPr>
              <w:t>国产</w:t>
            </w:r>
          </w:p>
          <w:p w14:paraId="6BD43F88">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定制</w:t>
            </w:r>
          </w:p>
        </w:tc>
        <w:tc>
          <w:tcPr>
            <w:tcW w:w="3893" w:type="dxa"/>
            <w:shd w:val="clear" w:color="auto" w:fill="auto"/>
            <w:vAlign w:val="center"/>
          </w:tcPr>
          <w:p w14:paraId="434857CA">
            <w:pPr>
              <w:keepNext w:val="0"/>
              <w:keepLines w:val="0"/>
              <w:pageBreakBefore w:val="0"/>
              <w:kinsoku/>
              <w:wordWrap/>
              <w:overflowPunct/>
              <w:topLinePunct w:val="0"/>
              <w:autoSpaceDE/>
              <w:autoSpaceDN/>
              <w:bidi w:val="0"/>
              <w:adjustRightInd/>
              <w:snapToGrid/>
              <w:jc w:val="left"/>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w:t>
            </w:r>
            <w:r>
              <w:rPr>
                <w:rFonts w:hint="eastAsia" w:ascii="宋体" w:hAnsi="宋体" w:eastAsia="宋体" w:cs="宋体"/>
                <w:color w:val="auto"/>
                <w:sz w:val="22"/>
                <w:szCs w:val="22"/>
                <w:highlight w:val="none"/>
                <w:vertAlign w:val="baseline"/>
              </w:rPr>
              <w:t>显示屏含外框包边面积:</w:t>
            </w:r>
            <w:r>
              <w:rPr>
                <w:rFonts w:hint="eastAsia" w:ascii="宋体" w:hAnsi="宋体" w:eastAsia="宋体" w:cs="宋体"/>
                <w:color w:val="auto"/>
                <w:sz w:val="22"/>
                <w:szCs w:val="22"/>
                <w:highlight w:val="none"/>
                <w:vertAlign w:val="baseline"/>
                <w:lang w:val="en-US" w:eastAsia="zh-CN"/>
              </w:rPr>
              <w:t xml:space="preserve"> </w:t>
            </w:r>
            <w:r>
              <w:rPr>
                <w:rFonts w:hint="eastAsia" w:ascii="宋体" w:hAnsi="宋体" w:cs="宋体"/>
                <w:color w:val="auto"/>
                <w:sz w:val="22"/>
                <w:szCs w:val="22"/>
                <w:highlight w:val="none"/>
                <w:vertAlign w:val="baseline"/>
                <w:lang w:val="en-US" w:eastAsia="zh-CN"/>
              </w:rPr>
              <w:t>5.21</w:t>
            </w:r>
            <w:r>
              <w:rPr>
                <w:rFonts w:hint="eastAsia" w:ascii="宋体" w:hAnsi="宋体" w:eastAsia="宋体" w:cs="宋体"/>
                <w:color w:val="auto"/>
                <w:sz w:val="22"/>
                <w:szCs w:val="22"/>
                <w:highlight w:val="none"/>
                <w:vertAlign w:val="baseline"/>
                <w:lang w:val="en-US" w:eastAsia="zh-CN"/>
              </w:rPr>
              <w:t xml:space="preserve">m </w:t>
            </w:r>
            <w:r>
              <w:rPr>
                <w:rFonts w:hint="eastAsia" w:ascii="宋体" w:hAnsi="宋体" w:eastAsia="宋体" w:cs="宋体"/>
                <w:color w:val="auto"/>
                <w:sz w:val="22"/>
                <w:szCs w:val="22"/>
                <w:highlight w:val="none"/>
                <w:vertAlign w:val="baseline"/>
              </w:rPr>
              <w:t>*</w:t>
            </w:r>
            <w:r>
              <w:rPr>
                <w:rFonts w:hint="eastAsia" w:ascii="宋体" w:hAnsi="宋体" w:cs="宋体"/>
                <w:color w:val="auto"/>
                <w:sz w:val="22"/>
                <w:szCs w:val="22"/>
                <w:highlight w:val="none"/>
                <w:vertAlign w:val="baseline"/>
                <w:lang w:val="en-US" w:eastAsia="zh-CN"/>
              </w:rPr>
              <w:t xml:space="preserve"> 2.81</w:t>
            </w:r>
            <w:r>
              <w:rPr>
                <w:rFonts w:hint="eastAsia" w:ascii="宋体" w:hAnsi="宋体" w:eastAsia="宋体" w:cs="宋体"/>
                <w:color w:val="auto"/>
                <w:sz w:val="22"/>
                <w:szCs w:val="22"/>
                <w:highlight w:val="none"/>
                <w:vertAlign w:val="baseline"/>
                <w:lang w:val="en-US" w:eastAsia="zh-CN"/>
              </w:rPr>
              <w:t xml:space="preserve">m </w:t>
            </w:r>
            <w:r>
              <w:rPr>
                <w:rFonts w:hint="eastAsia" w:ascii="宋体" w:hAnsi="宋体" w:eastAsia="宋体" w:cs="宋体"/>
                <w:color w:val="auto"/>
                <w:sz w:val="22"/>
                <w:szCs w:val="22"/>
                <w:highlight w:val="none"/>
                <w:vertAlign w:val="baseline"/>
              </w:rPr>
              <w:t>=</w:t>
            </w:r>
            <w:r>
              <w:rPr>
                <w:rFonts w:hint="eastAsia" w:ascii="宋体" w:hAnsi="宋体" w:cs="宋体"/>
                <w:color w:val="auto"/>
                <w:sz w:val="22"/>
                <w:szCs w:val="22"/>
                <w:highlight w:val="none"/>
                <w:vertAlign w:val="baseline"/>
                <w:lang w:val="en-US" w:eastAsia="zh-CN"/>
              </w:rPr>
              <w:t>14.64</w:t>
            </w:r>
            <w:r>
              <w:rPr>
                <w:rFonts w:hint="eastAsia" w:ascii="宋体" w:hAnsi="宋体" w:eastAsia="宋体" w:cs="宋体"/>
                <w:color w:val="auto"/>
                <w:sz w:val="22"/>
                <w:szCs w:val="22"/>
                <w:highlight w:val="none"/>
                <w:vertAlign w:val="baseline"/>
                <w:lang w:val="en-US" w:eastAsia="zh-CN"/>
              </w:rPr>
              <w:t xml:space="preserve"> m²</w:t>
            </w:r>
            <w:r>
              <w:rPr>
                <w:rFonts w:hint="eastAsia" w:ascii="宋体" w:hAnsi="宋体" w:cs="宋体"/>
                <w:color w:val="auto"/>
                <w:sz w:val="22"/>
                <w:szCs w:val="22"/>
                <w:highlight w:val="none"/>
                <w:vertAlign w:val="baseline"/>
                <w:lang w:val="en-US" w:eastAsia="zh-CN"/>
              </w:rPr>
              <w:t>,包边上下左右各包  4.5公分</w:t>
            </w:r>
          </w:p>
          <w:p w14:paraId="7E8EE0A8">
            <w:pPr>
              <w:keepNext w:val="0"/>
              <w:keepLines w:val="0"/>
              <w:pageBreakBefore w:val="0"/>
              <w:kinsoku/>
              <w:wordWrap/>
              <w:overflowPunct/>
              <w:topLinePunct w:val="0"/>
              <w:autoSpaceDE/>
              <w:autoSpaceDN/>
              <w:bidi w:val="0"/>
              <w:adjustRightInd/>
              <w:snapToGrid/>
              <w:jc w:val="left"/>
              <w:rPr>
                <w:rFonts w:hint="eastAsia" w:ascii="宋体" w:hAnsi="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2.不锈钢大屏幕包边，屏幕装修包边处理。</w:t>
            </w:r>
          </w:p>
          <w:p w14:paraId="76DCE9B8">
            <w:pPr>
              <w:keepNext w:val="0"/>
              <w:keepLines w:val="0"/>
              <w:pageBreakBefore w:val="0"/>
              <w:kinsoku/>
              <w:wordWrap/>
              <w:overflowPunct/>
              <w:topLinePunct w:val="0"/>
              <w:autoSpaceDE/>
              <w:autoSpaceDN/>
              <w:bidi w:val="0"/>
              <w:adjustRightInd/>
              <w:snapToGrid/>
              <w:jc w:val="left"/>
              <w:rPr>
                <w:rFonts w:hint="default" w:ascii="宋体" w:hAnsi="宋体" w:eastAsia="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3.按照国家钢结构设计规范，满足屏体安全承载需求。</w:t>
            </w:r>
          </w:p>
        </w:tc>
        <w:tc>
          <w:tcPr>
            <w:tcW w:w="847" w:type="dxa"/>
            <w:shd w:val="clear" w:color="auto" w:fill="auto"/>
            <w:vAlign w:val="center"/>
          </w:tcPr>
          <w:p w14:paraId="50901829">
            <w:pPr>
              <w:keepNext w:val="0"/>
              <w:keepLines w:val="0"/>
              <w:pageBreakBefore w:val="0"/>
              <w:kinsoku/>
              <w:wordWrap/>
              <w:overflowPunct/>
              <w:topLinePunct w:val="0"/>
              <w:autoSpaceDE/>
              <w:autoSpaceDN/>
              <w:bidi w:val="0"/>
              <w:adjustRightInd/>
              <w:snapToGrid/>
              <w:jc w:val="center"/>
              <w:rPr>
                <w:rFonts w:hint="default" w:ascii="宋体" w:hAnsi="宋体" w:eastAsia="宋体" w:cs="宋体"/>
                <w:color w:val="auto"/>
                <w:kern w:val="2"/>
                <w:sz w:val="22"/>
                <w:szCs w:val="22"/>
                <w:highlight w:val="none"/>
                <w:vertAlign w:val="baseline"/>
                <w:lang w:val="en-US" w:eastAsia="zh-CN" w:bidi="ar-SA"/>
              </w:rPr>
            </w:pPr>
            <w:r>
              <w:rPr>
                <w:rFonts w:hint="eastAsia" w:ascii="宋体" w:hAnsi="宋体" w:cs="宋体"/>
                <w:color w:val="auto"/>
                <w:kern w:val="2"/>
                <w:sz w:val="22"/>
                <w:szCs w:val="22"/>
                <w:highlight w:val="none"/>
                <w:vertAlign w:val="baseline"/>
                <w:lang w:val="en-US" w:eastAsia="zh-CN" w:bidi="ar-SA"/>
              </w:rPr>
              <w:t>14.64</w:t>
            </w:r>
          </w:p>
        </w:tc>
        <w:tc>
          <w:tcPr>
            <w:tcW w:w="662" w:type="dxa"/>
            <w:shd w:val="clear" w:color="auto" w:fill="auto"/>
            <w:vAlign w:val="center"/>
          </w:tcPr>
          <w:p w14:paraId="03E5491B">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lang w:val="en-US" w:eastAsia="zh-CN"/>
              </w:rPr>
              <w:t>m²</w:t>
            </w:r>
          </w:p>
        </w:tc>
        <w:tc>
          <w:tcPr>
            <w:tcW w:w="662" w:type="dxa"/>
            <w:vAlign w:val="center"/>
          </w:tcPr>
          <w:p w14:paraId="33B08676">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c>
          <w:tcPr>
            <w:tcW w:w="662" w:type="dxa"/>
            <w:vAlign w:val="center"/>
          </w:tcPr>
          <w:p w14:paraId="2BC55CB7">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val="en-US" w:eastAsia="zh-CN"/>
              </w:rPr>
            </w:pPr>
          </w:p>
        </w:tc>
      </w:tr>
      <w:tr w14:paraId="3062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2" w:type="dxa"/>
            <w:shd w:val="clear" w:color="auto" w:fill="auto"/>
            <w:vAlign w:val="center"/>
          </w:tcPr>
          <w:p w14:paraId="27F005C9">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sz w:val="22"/>
                <w:szCs w:val="22"/>
                <w:highlight w:val="none"/>
                <w:vertAlign w:val="baseline"/>
                <w:lang w:val="en-US" w:eastAsia="zh-CN"/>
              </w:rPr>
              <w:t>7</w:t>
            </w:r>
          </w:p>
        </w:tc>
        <w:tc>
          <w:tcPr>
            <w:tcW w:w="745" w:type="dxa"/>
            <w:shd w:val="clear" w:color="auto" w:fill="auto"/>
            <w:vAlign w:val="center"/>
          </w:tcPr>
          <w:p w14:paraId="2C864424">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屏内布线</w:t>
            </w:r>
          </w:p>
        </w:tc>
        <w:tc>
          <w:tcPr>
            <w:tcW w:w="846" w:type="dxa"/>
            <w:shd w:val="clear" w:color="auto" w:fill="auto"/>
            <w:vAlign w:val="center"/>
          </w:tcPr>
          <w:p w14:paraId="27D38C43">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r>
              <w:rPr>
                <w:rFonts w:hint="eastAsia" w:ascii="宋体" w:hAnsi="宋体" w:eastAsia="宋体" w:cs="宋体"/>
                <w:b/>
                <w:bCs/>
                <w:color w:val="auto"/>
                <w:sz w:val="22"/>
                <w:szCs w:val="22"/>
                <w:highlight w:val="none"/>
                <w:vertAlign w:val="baseline"/>
              </w:rPr>
              <w:t>国产</w:t>
            </w:r>
          </w:p>
          <w:p w14:paraId="6A058CD2">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eastAsia="宋体" w:cs="宋体"/>
                <w:b/>
                <w:bCs/>
                <w:color w:val="auto"/>
                <w:sz w:val="22"/>
                <w:szCs w:val="22"/>
                <w:highlight w:val="none"/>
                <w:vertAlign w:val="baseline"/>
              </w:rPr>
              <w:t>定制</w:t>
            </w:r>
          </w:p>
        </w:tc>
        <w:tc>
          <w:tcPr>
            <w:tcW w:w="3893" w:type="dxa"/>
            <w:shd w:val="clear" w:color="auto" w:fill="auto"/>
            <w:vAlign w:val="center"/>
          </w:tcPr>
          <w:p w14:paraId="09FBC21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vertAlign w:val="baseline"/>
              </w:rPr>
              <w:t>包含屏内电源、网线、排线、电缆线及配件（包含水晶头、扎带、绝缘胶布、接头等耗材），屏体安装调试。</w:t>
            </w:r>
          </w:p>
        </w:tc>
        <w:tc>
          <w:tcPr>
            <w:tcW w:w="847" w:type="dxa"/>
            <w:shd w:val="clear" w:color="auto" w:fill="auto"/>
            <w:vAlign w:val="center"/>
          </w:tcPr>
          <w:p w14:paraId="2237EB35">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1</w:t>
            </w:r>
          </w:p>
        </w:tc>
        <w:tc>
          <w:tcPr>
            <w:tcW w:w="662" w:type="dxa"/>
            <w:shd w:val="clear" w:color="auto" w:fill="auto"/>
            <w:vAlign w:val="center"/>
          </w:tcPr>
          <w:p w14:paraId="084E529E">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项</w:t>
            </w:r>
          </w:p>
        </w:tc>
        <w:tc>
          <w:tcPr>
            <w:tcW w:w="662" w:type="dxa"/>
            <w:shd w:val="clear" w:color="auto" w:fill="auto"/>
            <w:vAlign w:val="center"/>
          </w:tcPr>
          <w:p w14:paraId="4D8A2F9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shd w:val="clear" w:color="auto" w:fill="auto"/>
            <w:vAlign w:val="center"/>
          </w:tcPr>
          <w:p w14:paraId="512139E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r w14:paraId="7884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02" w:type="dxa"/>
            <w:shd w:val="clear" w:color="auto" w:fill="auto"/>
            <w:vAlign w:val="center"/>
          </w:tcPr>
          <w:p w14:paraId="28C068EB">
            <w:pPr>
              <w:keepNext w:val="0"/>
              <w:keepLines w:val="0"/>
              <w:pageBreakBefore w:val="0"/>
              <w:kinsoku/>
              <w:wordWrap/>
              <w:overflowPunct/>
              <w:topLinePunct w:val="0"/>
              <w:autoSpaceDE/>
              <w:autoSpaceDN/>
              <w:bidi w:val="0"/>
              <w:adjustRightInd/>
              <w:snapToGrid/>
              <w:jc w:val="center"/>
              <w:rPr>
                <w:rFonts w:hint="eastAsia" w:ascii="宋体" w:hAnsi="宋体" w:cs="宋体"/>
                <w:b/>
                <w:bCs/>
                <w:color w:val="auto"/>
                <w:sz w:val="22"/>
                <w:szCs w:val="22"/>
                <w:highlight w:val="none"/>
                <w:vertAlign w:val="baseline"/>
                <w:lang w:val="en-US" w:eastAsia="zh-CN"/>
              </w:rPr>
            </w:pPr>
          </w:p>
        </w:tc>
        <w:tc>
          <w:tcPr>
            <w:tcW w:w="745" w:type="dxa"/>
            <w:shd w:val="clear" w:color="auto" w:fill="auto"/>
            <w:vAlign w:val="center"/>
          </w:tcPr>
          <w:p w14:paraId="7CBAEBBF">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p>
        </w:tc>
        <w:tc>
          <w:tcPr>
            <w:tcW w:w="846" w:type="dxa"/>
            <w:shd w:val="clear" w:color="auto" w:fill="auto"/>
            <w:vAlign w:val="center"/>
          </w:tcPr>
          <w:p w14:paraId="55C20920">
            <w:pPr>
              <w:keepNext w:val="0"/>
              <w:keepLines w:val="0"/>
              <w:pageBreakBefore w:val="0"/>
              <w:kinsoku/>
              <w:wordWrap/>
              <w:overflowPunct/>
              <w:topLinePunct w:val="0"/>
              <w:autoSpaceDE/>
              <w:autoSpaceDN/>
              <w:bidi w:val="0"/>
              <w:adjustRightInd/>
              <w:snapToGrid/>
              <w:jc w:val="center"/>
              <w:rPr>
                <w:rFonts w:hint="eastAsia" w:ascii="宋体" w:hAnsi="宋体" w:eastAsia="宋体" w:cs="宋体"/>
                <w:b/>
                <w:bCs/>
                <w:color w:val="auto"/>
                <w:sz w:val="22"/>
                <w:szCs w:val="22"/>
                <w:highlight w:val="none"/>
                <w:vertAlign w:val="baseline"/>
              </w:rPr>
            </w:pPr>
          </w:p>
        </w:tc>
        <w:tc>
          <w:tcPr>
            <w:tcW w:w="3893" w:type="dxa"/>
            <w:shd w:val="clear" w:color="auto" w:fill="auto"/>
            <w:vAlign w:val="center"/>
          </w:tcPr>
          <w:p w14:paraId="209722A8">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合计</w:t>
            </w:r>
          </w:p>
        </w:tc>
        <w:tc>
          <w:tcPr>
            <w:tcW w:w="847" w:type="dxa"/>
            <w:shd w:val="clear" w:color="auto" w:fill="auto"/>
            <w:vAlign w:val="center"/>
          </w:tcPr>
          <w:p w14:paraId="70493F57">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shd w:val="clear" w:color="auto" w:fill="auto"/>
            <w:vAlign w:val="center"/>
          </w:tcPr>
          <w:p w14:paraId="127C26A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shd w:val="clear" w:color="auto" w:fill="auto"/>
            <w:vAlign w:val="center"/>
          </w:tcPr>
          <w:p w14:paraId="0E30AE3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c>
          <w:tcPr>
            <w:tcW w:w="662" w:type="dxa"/>
            <w:shd w:val="clear" w:color="auto" w:fill="auto"/>
            <w:vAlign w:val="center"/>
          </w:tcPr>
          <w:p w14:paraId="4AAC0B3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2"/>
                <w:szCs w:val="22"/>
                <w:highlight w:val="none"/>
                <w:vertAlign w:val="baseline"/>
                <w:lang w:val="en-US" w:eastAsia="zh-CN" w:bidi="ar-SA"/>
              </w:rPr>
            </w:pPr>
          </w:p>
        </w:tc>
      </w:tr>
    </w:tbl>
    <w:p w14:paraId="7D90D82D">
      <w:pPr>
        <w:keepNext w:val="0"/>
        <w:keepLines w:val="0"/>
        <w:pageBreakBefore w:val="0"/>
        <w:kinsoku/>
        <w:wordWrap/>
        <w:overflowPunct/>
        <w:topLinePunct w:val="0"/>
        <w:autoSpaceDE/>
        <w:autoSpaceDN/>
        <w:bidi w:val="0"/>
        <w:adjustRightInd/>
        <w:snapToGrid/>
        <w:jc w:val="center"/>
        <w:rPr>
          <w:rFonts w:hint="eastAsia" w:ascii="宋体" w:hAnsi="宋体" w:eastAsia="宋体" w:cs="宋体"/>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E28F0"/>
    <w:multiLevelType w:val="singleLevel"/>
    <w:tmpl w:val="BCDE28F0"/>
    <w:lvl w:ilvl="0" w:tentative="0">
      <w:start w:val="1"/>
      <w:numFmt w:val="decimal"/>
      <w:lvlText w:val="%1."/>
      <w:lvlJc w:val="left"/>
      <w:pPr>
        <w:ind w:left="425" w:hanging="425"/>
      </w:pPr>
      <w:rPr>
        <w:rFonts w:hint="default"/>
      </w:rPr>
    </w:lvl>
  </w:abstractNum>
  <w:abstractNum w:abstractNumId="1">
    <w:nsid w:val="3ED7D23E"/>
    <w:multiLevelType w:val="singleLevel"/>
    <w:tmpl w:val="3ED7D23E"/>
    <w:lvl w:ilvl="0" w:tentative="0">
      <w:start w:val="1"/>
      <w:numFmt w:val="decimal"/>
      <w:suff w:val="nothing"/>
      <w:lvlText w:val="%1、"/>
      <w:lvlJc w:val="left"/>
      <w:pPr>
        <w:tabs>
          <w:tab w:val="left" w:pos="0"/>
        </w:tabs>
      </w:pPr>
      <w:rPr>
        <w:rFonts w:hint="default"/>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MDg4Mjg5NGQ2YjQwMGZmMjA4OTg1Mjg0ODYyYzcifQ=="/>
  </w:docVars>
  <w:rsids>
    <w:rsidRoot w:val="00000000"/>
    <w:rsid w:val="010333FC"/>
    <w:rsid w:val="034F25EE"/>
    <w:rsid w:val="05463586"/>
    <w:rsid w:val="05C05BA0"/>
    <w:rsid w:val="05DE61E6"/>
    <w:rsid w:val="063B2B4D"/>
    <w:rsid w:val="074309F6"/>
    <w:rsid w:val="098A22EA"/>
    <w:rsid w:val="09E33DCA"/>
    <w:rsid w:val="0B1A59CF"/>
    <w:rsid w:val="0C17662A"/>
    <w:rsid w:val="0C601702"/>
    <w:rsid w:val="0DDF3FF2"/>
    <w:rsid w:val="0E7F6035"/>
    <w:rsid w:val="0F51745D"/>
    <w:rsid w:val="0FA6649C"/>
    <w:rsid w:val="10944A55"/>
    <w:rsid w:val="137D09AE"/>
    <w:rsid w:val="14764F07"/>
    <w:rsid w:val="17CF0821"/>
    <w:rsid w:val="191915B7"/>
    <w:rsid w:val="1BCE69F7"/>
    <w:rsid w:val="1BE1664A"/>
    <w:rsid w:val="1C085913"/>
    <w:rsid w:val="1C8F63EC"/>
    <w:rsid w:val="1E5E5F1D"/>
    <w:rsid w:val="20EB07AA"/>
    <w:rsid w:val="20FA7F20"/>
    <w:rsid w:val="21C55387"/>
    <w:rsid w:val="23016DB6"/>
    <w:rsid w:val="26151358"/>
    <w:rsid w:val="2D7C326C"/>
    <w:rsid w:val="2E0F7E41"/>
    <w:rsid w:val="2E494294"/>
    <w:rsid w:val="2F3D76CA"/>
    <w:rsid w:val="30BF7D19"/>
    <w:rsid w:val="32225202"/>
    <w:rsid w:val="32284A16"/>
    <w:rsid w:val="33576B0C"/>
    <w:rsid w:val="34C9456E"/>
    <w:rsid w:val="360E2CE4"/>
    <w:rsid w:val="36316394"/>
    <w:rsid w:val="3B666DCE"/>
    <w:rsid w:val="3C2A36B8"/>
    <w:rsid w:val="3C4A6FB1"/>
    <w:rsid w:val="3C9D1408"/>
    <w:rsid w:val="3CEF4259"/>
    <w:rsid w:val="40D76032"/>
    <w:rsid w:val="41720FB5"/>
    <w:rsid w:val="41976359"/>
    <w:rsid w:val="41DF489C"/>
    <w:rsid w:val="45D16BF2"/>
    <w:rsid w:val="46472A10"/>
    <w:rsid w:val="477C28E3"/>
    <w:rsid w:val="478F466E"/>
    <w:rsid w:val="4884619D"/>
    <w:rsid w:val="488C03BB"/>
    <w:rsid w:val="48BC5937"/>
    <w:rsid w:val="490756F2"/>
    <w:rsid w:val="4B7D03E7"/>
    <w:rsid w:val="4E8D5680"/>
    <w:rsid w:val="510A2FB8"/>
    <w:rsid w:val="513C3312"/>
    <w:rsid w:val="514B1AB1"/>
    <w:rsid w:val="52E74800"/>
    <w:rsid w:val="53B95953"/>
    <w:rsid w:val="563F39C5"/>
    <w:rsid w:val="56995BD0"/>
    <w:rsid w:val="56E70D77"/>
    <w:rsid w:val="58B02697"/>
    <w:rsid w:val="58C61EBA"/>
    <w:rsid w:val="59304AE1"/>
    <w:rsid w:val="5A4E6CB4"/>
    <w:rsid w:val="5AE20B01"/>
    <w:rsid w:val="5B514A6D"/>
    <w:rsid w:val="5D514CCE"/>
    <w:rsid w:val="5DD230AF"/>
    <w:rsid w:val="60B20495"/>
    <w:rsid w:val="60C221BC"/>
    <w:rsid w:val="631D6B7A"/>
    <w:rsid w:val="64153D51"/>
    <w:rsid w:val="64E2007C"/>
    <w:rsid w:val="650615BA"/>
    <w:rsid w:val="65FA7647"/>
    <w:rsid w:val="67B82468"/>
    <w:rsid w:val="6D3C3E39"/>
    <w:rsid w:val="6D515B2D"/>
    <w:rsid w:val="6D8F13CA"/>
    <w:rsid w:val="6FA64AAB"/>
    <w:rsid w:val="6FBA0A20"/>
    <w:rsid w:val="70240D68"/>
    <w:rsid w:val="73247AB1"/>
    <w:rsid w:val="755B5609"/>
    <w:rsid w:val="758D5DE2"/>
    <w:rsid w:val="769A76F5"/>
    <w:rsid w:val="778B00FF"/>
    <w:rsid w:val="779416A9"/>
    <w:rsid w:val="783A507E"/>
    <w:rsid w:val="7AE64C48"/>
    <w:rsid w:val="7BCE4A5E"/>
    <w:rsid w:val="7BDD1E8F"/>
    <w:rsid w:val="7D671240"/>
    <w:rsid w:val="7E3A3C04"/>
    <w:rsid w:val="7E9470C8"/>
    <w:rsid w:val="7F3B1061"/>
    <w:rsid w:val="7FC5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Paragraph"/>
    <w:basedOn w:val="1"/>
    <w:autoRedefine/>
    <w:qFormat/>
    <w:uiPriority w:val="34"/>
    <w:pPr>
      <w:ind w:firstLine="420" w:firstLineChars="200"/>
    </w:p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2264</Words>
  <Characters>2916</Characters>
  <Lines>0</Lines>
  <Paragraphs>0</Paragraphs>
  <TotalTime>1</TotalTime>
  <ScaleCrop>false</ScaleCrop>
  <LinksUpToDate>false</LinksUpToDate>
  <CharactersWithSpaces>2963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2024-05-21T05:51:00Z</dcterms:created>
  <dc:creator>Administrator</dc:creator>
  <cp:lastModifiedBy>WPS_1528076351</cp:lastModifiedBy>
  <dcterms:modified xsi:type="dcterms:W3CDTF">2026-06-18T11:28:44Z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B71E3E2EC6274C2BB0E84FE2828AB39F_13</vt:lpwstr>
  </property>
  <property fmtid="{D5CDD505-2E9C-101B-9397-08002B2CF9AE}" pid="4" name="KSOTemplateDocerSaveRecord">
    <vt:lpwstr>eyJoZGlkIjoiMzg0ODM3ZWFjODRhMGU4MWQ5NWY4NjI3MTNiYjFkNjMiLCJ1c2VySWQiOiIzNzU4Mzc2MjIifQ==</vt:lpwstr>
  </property>
</Properties>
</file>