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DA950">
      <w:pPr>
        <w:keepNext w:val="0"/>
        <w:keepLines w:val="0"/>
        <w:pageBreakBefore w:val="0"/>
        <w:widowControl/>
        <w:kinsoku/>
        <w:wordWrap/>
        <w:overflowPunct/>
        <w:topLinePunct w:val="0"/>
        <w:autoSpaceDE/>
        <w:autoSpaceDN/>
        <w:bidi w:val="0"/>
        <w:spacing w:line="288" w:lineRule="auto"/>
        <w:jc w:val="center"/>
        <w:textAlignment w:val="auto"/>
        <w:rPr>
          <w:rFonts w:hint="eastAsia" w:ascii="宋体" w:hAnsi="宋体" w:eastAsia="宋体" w:cs="宋体"/>
          <w:b/>
          <w:bCs/>
          <w:color w:val="auto"/>
          <w:sz w:val="40"/>
          <w:szCs w:val="40"/>
          <w:highlight w:val="none"/>
          <w:lang w:val="en-US" w:eastAsia="zh-CN"/>
        </w:rPr>
      </w:pPr>
      <w:bookmarkStart w:id="0" w:name="_GoBack"/>
      <w:r>
        <w:rPr>
          <w:rFonts w:hint="eastAsia" w:ascii="宋体" w:hAnsi="宋体" w:eastAsia="宋体" w:cs="宋体"/>
          <w:b/>
          <w:bCs/>
          <w:color w:val="auto"/>
          <w:sz w:val="40"/>
          <w:szCs w:val="40"/>
          <w:highlight w:val="none"/>
          <w:lang w:val="en-US" w:eastAsia="zh-CN"/>
        </w:rPr>
        <w:t>室内显示设备购置清单</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024"/>
        <w:gridCol w:w="1077"/>
        <w:gridCol w:w="9310"/>
        <w:gridCol w:w="656"/>
        <w:gridCol w:w="656"/>
        <w:gridCol w:w="1037"/>
        <w:gridCol w:w="1155"/>
      </w:tblGrid>
      <w:tr w14:paraId="237A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22" w:type="pct"/>
            <w:vAlign w:val="center"/>
          </w:tcPr>
          <w:p w14:paraId="18B1C556">
            <w:pPr>
              <w:keepNext w:val="0"/>
              <w:keepLines w:val="0"/>
              <w:pageBreakBefore w:val="0"/>
              <w:kinsoku/>
              <w:wordWrap/>
              <w:overflowPunct/>
              <w:topLinePunct w:val="0"/>
              <w:autoSpaceDE/>
              <w:autoSpaceDN/>
              <w:bidi w:val="0"/>
              <w:spacing w:line="288" w:lineRule="auto"/>
              <w:jc w:val="center"/>
              <w:textAlignment w:val="auto"/>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sz w:val="20"/>
                <w:szCs w:val="20"/>
                <w:highlight w:val="none"/>
              </w:rPr>
              <w:t>序号</w:t>
            </w:r>
          </w:p>
        </w:tc>
        <w:tc>
          <w:tcPr>
            <w:tcW w:w="328" w:type="pct"/>
            <w:vAlign w:val="center"/>
          </w:tcPr>
          <w:p w14:paraId="5E8967E4">
            <w:pPr>
              <w:keepNext w:val="0"/>
              <w:keepLines w:val="0"/>
              <w:pageBreakBefore w:val="0"/>
              <w:kinsoku/>
              <w:wordWrap/>
              <w:overflowPunct/>
              <w:topLinePunct w:val="0"/>
              <w:autoSpaceDE/>
              <w:autoSpaceDN/>
              <w:bidi w:val="0"/>
              <w:spacing w:line="288" w:lineRule="auto"/>
              <w:jc w:val="center"/>
              <w:textAlignment w:val="auto"/>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sz w:val="20"/>
                <w:szCs w:val="20"/>
                <w:highlight w:val="none"/>
              </w:rPr>
              <w:t>名称</w:t>
            </w:r>
          </w:p>
        </w:tc>
        <w:tc>
          <w:tcPr>
            <w:tcW w:w="345" w:type="pct"/>
            <w:vAlign w:val="center"/>
          </w:tcPr>
          <w:p w14:paraId="72DCD02D">
            <w:pPr>
              <w:keepNext w:val="0"/>
              <w:keepLines w:val="0"/>
              <w:pageBreakBefore w:val="0"/>
              <w:kinsoku/>
              <w:wordWrap/>
              <w:overflowPunct/>
              <w:topLinePunct w:val="0"/>
              <w:autoSpaceDE/>
              <w:autoSpaceDN/>
              <w:bidi w:val="0"/>
              <w:spacing w:line="288" w:lineRule="auto"/>
              <w:jc w:val="center"/>
              <w:textAlignment w:val="auto"/>
              <w:rPr>
                <w:rFonts w:hint="default"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参考品牌</w:t>
            </w:r>
          </w:p>
        </w:tc>
        <w:tc>
          <w:tcPr>
            <w:tcW w:w="2982" w:type="pct"/>
            <w:vAlign w:val="center"/>
          </w:tcPr>
          <w:p w14:paraId="1AF2A0D5">
            <w:pPr>
              <w:keepNext w:val="0"/>
              <w:keepLines w:val="0"/>
              <w:pageBreakBefore w:val="0"/>
              <w:kinsoku/>
              <w:wordWrap/>
              <w:overflowPunct/>
              <w:topLinePunct w:val="0"/>
              <w:autoSpaceDE/>
              <w:autoSpaceDN/>
              <w:bidi w:val="0"/>
              <w:spacing w:line="288" w:lineRule="auto"/>
              <w:jc w:val="center"/>
              <w:textAlignment w:val="auto"/>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sz w:val="20"/>
                <w:szCs w:val="20"/>
                <w:highlight w:val="none"/>
              </w:rPr>
              <w:t>规格参数</w:t>
            </w:r>
          </w:p>
        </w:tc>
        <w:tc>
          <w:tcPr>
            <w:tcW w:w="210" w:type="pct"/>
            <w:vAlign w:val="center"/>
          </w:tcPr>
          <w:p w14:paraId="47E28092">
            <w:pPr>
              <w:keepNext w:val="0"/>
              <w:keepLines w:val="0"/>
              <w:pageBreakBefore w:val="0"/>
              <w:kinsoku/>
              <w:wordWrap/>
              <w:overflowPunct/>
              <w:topLinePunct w:val="0"/>
              <w:autoSpaceDE/>
              <w:autoSpaceDN/>
              <w:bidi w:val="0"/>
              <w:spacing w:line="288" w:lineRule="auto"/>
              <w:jc w:val="both"/>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数量</w:t>
            </w:r>
          </w:p>
        </w:tc>
        <w:tc>
          <w:tcPr>
            <w:tcW w:w="210" w:type="pct"/>
            <w:vAlign w:val="center"/>
          </w:tcPr>
          <w:p w14:paraId="27AA3CB8">
            <w:pPr>
              <w:keepNext w:val="0"/>
              <w:keepLines w:val="0"/>
              <w:pageBreakBefore w:val="0"/>
              <w:kinsoku/>
              <w:wordWrap/>
              <w:overflowPunct/>
              <w:topLinePunct w:val="0"/>
              <w:autoSpaceDE/>
              <w:autoSpaceDN/>
              <w:bidi w:val="0"/>
              <w:spacing w:line="288" w:lineRule="auto"/>
              <w:jc w:val="both"/>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单位</w:t>
            </w:r>
          </w:p>
        </w:tc>
        <w:tc>
          <w:tcPr>
            <w:tcW w:w="332" w:type="pct"/>
            <w:vAlign w:val="center"/>
          </w:tcPr>
          <w:p w14:paraId="417169EC">
            <w:pPr>
              <w:keepNext w:val="0"/>
              <w:keepLines w:val="0"/>
              <w:pageBreakBefore w:val="0"/>
              <w:kinsoku/>
              <w:wordWrap/>
              <w:overflowPunct/>
              <w:topLinePunct w:val="0"/>
              <w:autoSpaceDE/>
              <w:autoSpaceDN/>
              <w:bidi w:val="0"/>
              <w:spacing w:line="288" w:lineRule="auto"/>
              <w:jc w:val="both"/>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单价（元）</w:t>
            </w:r>
          </w:p>
        </w:tc>
        <w:tc>
          <w:tcPr>
            <w:tcW w:w="370" w:type="pct"/>
            <w:vAlign w:val="center"/>
          </w:tcPr>
          <w:p w14:paraId="5010D55C">
            <w:pPr>
              <w:keepNext w:val="0"/>
              <w:keepLines w:val="0"/>
              <w:pageBreakBefore w:val="0"/>
              <w:kinsoku/>
              <w:wordWrap/>
              <w:overflowPunct/>
              <w:topLinePunct w:val="0"/>
              <w:autoSpaceDE/>
              <w:autoSpaceDN/>
              <w:bidi w:val="0"/>
              <w:spacing w:line="288" w:lineRule="auto"/>
              <w:jc w:val="both"/>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合价（元）</w:t>
            </w:r>
          </w:p>
        </w:tc>
      </w:tr>
      <w:tr w14:paraId="32B7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22" w:type="pct"/>
            <w:vAlign w:val="center"/>
          </w:tcPr>
          <w:p w14:paraId="332DF16E">
            <w:pPr>
              <w:keepNext w:val="0"/>
              <w:keepLines w:val="0"/>
              <w:pageBreakBefore w:val="0"/>
              <w:kinsoku/>
              <w:wordWrap/>
              <w:overflowPunct/>
              <w:topLinePunct w:val="0"/>
              <w:autoSpaceDE/>
              <w:autoSpaceDN/>
              <w:bidi w:val="0"/>
              <w:spacing w:line="288" w:lineRule="auto"/>
              <w:jc w:val="center"/>
              <w:textAlignment w:val="auto"/>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rPr>
              <w:t>1</w:t>
            </w:r>
          </w:p>
        </w:tc>
        <w:tc>
          <w:tcPr>
            <w:tcW w:w="328" w:type="pct"/>
            <w:vAlign w:val="center"/>
          </w:tcPr>
          <w:p w14:paraId="363CBE27">
            <w:pPr>
              <w:keepNext w:val="0"/>
              <w:keepLines w:val="0"/>
              <w:pageBreakBefore w:val="0"/>
              <w:kinsoku/>
              <w:wordWrap/>
              <w:overflowPunct/>
              <w:topLinePunct w:val="0"/>
              <w:autoSpaceDE/>
              <w:autoSpaceDN/>
              <w:bidi w:val="0"/>
              <w:spacing w:line="288" w:lineRule="auto"/>
              <w:jc w:val="center"/>
              <w:textAlignment w:val="auto"/>
              <w:rPr>
                <w:rFonts w:hint="default" w:ascii="宋体" w:hAnsi="宋体" w:eastAsia="宋体" w:cs="宋体"/>
                <w:color w:val="auto"/>
                <w:kern w:val="2"/>
                <w:sz w:val="20"/>
                <w:szCs w:val="20"/>
                <w:highlight w:val="none"/>
                <w:lang w:val="en-US" w:eastAsia="zh-CN" w:bidi="ar-SA"/>
              </w:rPr>
            </w:pPr>
            <w:r>
              <w:rPr>
                <w:rFonts w:hint="eastAsia" w:ascii="宋体" w:hAnsi="宋体" w:cs="宋体"/>
                <w:color w:val="auto"/>
                <w:kern w:val="2"/>
                <w:sz w:val="20"/>
                <w:szCs w:val="20"/>
                <w:highlight w:val="none"/>
                <w:lang w:val="en-US" w:eastAsia="zh-CN" w:bidi="ar-SA"/>
              </w:rPr>
              <w:t>党员活动室内LED显示屏</w:t>
            </w:r>
          </w:p>
        </w:tc>
        <w:tc>
          <w:tcPr>
            <w:tcW w:w="345" w:type="pct"/>
            <w:vAlign w:val="center"/>
          </w:tcPr>
          <w:p w14:paraId="03AFEA0C">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12BCAEA3">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230E6B89">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0DCEC744">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786B5279">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58E34E73">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2C5A07DE">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6851DC0B">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lang w:eastAsia="zh-CN"/>
              </w:rPr>
            </w:pPr>
          </w:p>
          <w:p w14:paraId="1BBDF04E">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eastAsia" w:ascii="宋体" w:hAnsi="宋体" w:cs="宋体"/>
                <w:b w:val="0"/>
                <w:bCs w:val="0"/>
                <w:color w:val="auto"/>
                <w:kern w:val="0"/>
                <w:sz w:val="20"/>
                <w:szCs w:val="20"/>
                <w:highlight w:val="none"/>
                <w:lang w:val="en-US" w:eastAsia="zh-CN"/>
              </w:rPr>
            </w:pPr>
          </w:p>
          <w:p w14:paraId="7003496C">
            <w:pPr>
              <w:keepNext w:val="0"/>
              <w:keepLines w:val="0"/>
              <w:pageBreakBefore w:val="0"/>
              <w:kinsoku/>
              <w:wordWrap/>
              <w:overflowPunct/>
              <w:topLinePunct w:val="0"/>
              <w:autoSpaceDE/>
              <w:autoSpaceDN/>
              <w:bidi w:val="0"/>
              <w:spacing w:line="288" w:lineRule="auto"/>
              <w:textAlignment w:val="auto"/>
              <w:rPr>
                <w:rFonts w:hint="default" w:ascii="宋体" w:hAnsi="宋体" w:eastAsia="宋体" w:cs="宋体"/>
                <w:b w:val="0"/>
                <w:bCs w:val="0"/>
                <w:color w:val="auto"/>
                <w:sz w:val="20"/>
                <w:szCs w:val="20"/>
                <w:highlight w:val="none"/>
                <w:lang w:val="en-US"/>
              </w:rPr>
            </w:pPr>
            <w:r>
              <w:rPr>
                <w:rFonts w:hint="eastAsia" w:ascii="宋体" w:hAnsi="宋体" w:eastAsia="宋体" w:cs="宋体"/>
                <w:b w:val="0"/>
                <w:bCs w:val="0"/>
                <w:color w:val="auto"/>
                <w:sz w:val="20"/>
                <w:szCs w:val="20"/>
                <w:highlight w:val="none"/>
                <w:lang w:eastAsia="zh-CN"/>
              </w:rPr>
              <w:t>洲明、</w:t>
            </w:r>
            <w:r>
              <w:rPr>
                <w:rFonts w:hint="eastAsia" w:ascii="宋体" w:hAnsi="宋体" w:cs="宋体"/>
                <w:b w:val="0"/>
                <w:bCs w:val="0"/>
                <w:color w:val="auto"/>
                <w:sz w:val="20"/>
                <w:szCs w:val="20"/>
                <w:highlight w:val="none"/>
                <w:lang w:val="en-US" w:eastAsia="zh-CN"/>
              </w:rPr>
              <w:t>创维、海峡彩亮（或同档次品牌以上）</w:t>
            </w:r>
          </w:p>
          <w:p w14:paraId="400B5901">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23586591">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54A18F0C">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2BBBD68F">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490BE883">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112FA824">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144B462F">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4FCA392D">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039BF708">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sz w:val="20"/>
                <w:szCs w:val="20"/>
                <w:highlight w:val="none"/>
              </w:rPr>
            </w:pPr>
          </w:p>
          <w:p w14:paraId="5E68A6B7">
            <w:pPr>
              <w:keepNext w:val="0"/>
              <w:keepLines w:val="0"/>
              <w:pageBreakBefore w:val="0"/>
              <w:kinsoku/>
              <w:wordWrap/>
              <w:overflowPunct/>
              <w:topLinePunct w:val="0"/>
              <w:autoSpaceDE/>
              <w:autoSpaceDN/>
              <w:bidi w:val="0"/>
              <w:spacing w:line="288" w:lineRule="auto"/>
              <w:textAlignment w:val="auto"/>
              <w:rPr>
                <w:rFonts w:hint="eastAsia" w:ascii="宋体" w:hAnsi="宋体" w:eastAsia="宋体" w:cs="宋体"/>
                <w:b w:val="0"/>
                <w:bCs w:val="0"/>
                <w:color w:val="auto"/>
                <w:kern w:val="2"/>
                <w:sz w:val="20"/>
                <w:szCs w:val="20"/>
                <w:highlight w:val="none"/>
                <w:lang w:val="en-US" w:eastAsia="zh-CN" w:bidi="ar-SA"/>
              </w:rPr>
            </w:pPr>
          </w:p>
        </w:tc>
        <w:tc>
          <w:tcPr>
            <w:tcW w:w="2982" w:type="pct"/>
          </w:tcPr>
          <w:p w14:paraId="00881239">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一、屏幕</w:t>
            </w:r>
            <w:r>
              <w:rPr>
                <w:rFonts w:hint="eastAsia" w:ascii="宋体" w:hAnsi="宋体" w:cs="宋体"/>
                <w:b w:val="0"/>
                <w:bCs w:val="0"/>
                <w:color w:val="auto"/>
                <w:kern w:val="0"/>
                <w:sz w:val="20"/>
                <w:szCs w:val="20"/>
                <w:highlight w:val="none"/>
                <w:lang w:val="en-US" w:eastAsia="zh-CN"/>
              </w:rPr>
              <w:t>（</w:t>
            </w:r>
            <w:r>
              <w:rPr>
                <w:rFonts w:hint="eastAsia" w:ascii="微软雅黑" w:hAnsi="微软雅黑" w:eastAsia="微软雅黑" w:cs="微软雅黑"/>
                <w:b w:val="0"/>
                <w:bCs w:val="0"/>
                <w:i w:val="0"/>
                <w:iCs w:val="0"/>
                <w:color w:val="000000"/>
                <w:kern w:val="0"/>
                <w:sz w:val="20"/>
                <w:szCs w:val="20"/>
                <w:highlight w:val="none"/>
                <w:u w:val="none"/>
                <w:lang w:val="en-US" w:eastAsia="zh-CN" w:bidi="ar"/>
              </w:rPr>
              <w:t>7.26㎡）</w:t>
            </w:r>
          </w:p>
          <w:p w14:paraId="6C63F232">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▲1、点间距:≤1.538mm；室内全彩屏-1R1G1B-SMD；</w:t>
            </w:r>
          </w:p>
          <w:p w14:paraId="19B0C17F">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eastAsia" w:ascii="宋体" w:hAnsi="宋体" w:cs="宋体"/>
                <w:b w:val="0"/>
                <w:bCs w:val="0"/>
                <w:color w:val="auto"/>
                <w:kern w:val="0"/>
                <w:sz w:val="20"/>
                <w:szCs w:val="20"/>
                <w:highlight w:val="none"/>
                <w:lang w:val="en-US" w:eastAsia="zh-CN"/>
              </w:rPr>
              <w:t>2</w:t>
            </w:r>
            <w:r>
              <w:rPr>
                <w:rFonts w:hint="default" w:ascii="宋体" w:hAnsi="宋体" w:cs="宋体"/>
                <w:b w:val="0"/>
                <w:bCs w:val="0"/>
                <w:color w:val="auto"/>
                <w:kern w:val="0"/>
                <w:sz w:val="20"/>
                <w:szCs w:val="20"/>
                <w:highlight w:val="none"/>
                <w:lang w:val="en-US" w:eastAsia="zh-CN"/>
              </w:rPr>
              <w:t>、模组尺寸：320mm*160mm；模组分辨率：208*104；</w:t>
            </w:r>
          </w:p>
          <w:p w14:paraId="03F9F8AB">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w:t>
            </w:r>
            <w:r>
              <w:rPr>
                <w:rFonts w:hint="eastAsia" w:ascii="宋体" w:hAnsi="宋体" w:cs="宋体"/>
                <w:b w:val="0"/>
                <w:bCs w:val="0"/>
                <w:color w:val="auto"/>
                <w:kern w:val="0"/>
                <w:sz w:val="20"/>
                <w:szCs w:val="20"/>
                <w:highlight w:val="none"/>
                <w:lang w:val="en-US" w:eastAsia="zh-CN"/>
              </w:rPr>
              <w:t>3</w:t>
            </w:r>
            <w:r>
              <w:rPr>
                <w:rFonts w:hint="default" w:ascii="宋体" w:hAnsi="宋体" w:cs="宋体"/>
                <w:b w:val="0"/>
                <w:bCs w:val="0"/>
                <w:color w:val="auto"/>
                <w:kern w:val="0"/>
                <w:sz w:val="20"/>
                <w:szCs w:val="20"/>
                <w:highlight w:val="none"/>
                <w:lang w:val="en-US" w:eastAsia="zh-CN"/>
              </w:rPr>
              <w:t>、LED 显示屏保护接地端子应有标记。进行标记耐久性试验后，标记应牢固、清晰可辨；LED 显示屏在熔断器和开关电源处应有警告标志。进行标记耐久性实验后，标记应稳固、清晰易辨；LED 显示屏具备辐射发射试验、传导发射试验、静电放电试验、浪涌试验、电快速瞬变脉冲群试验、传导抗扰度试验、工频磁场试验、电压暂降和短时中断试验、辐射抗扰度试验；</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48484362">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eastAsia" w:ascii="宋体" w:hAnsi="宋体" w:cs="宋体"/>
                <w:b w:val="0"/>
                <w:bCs w:val="0"/>
                <w:color w:val="auto"/>
                <w:kern w:val="0"/>
                <w:sz w:val="20"/>
                <w:szCs w:val="20"/>
                <w:highlight w:val="none"/>
                <w:lang w:val="en-US" w:eastAsia="zh-CN"/>
              </w:rPr>
              <w:t>4</w:t>
            </w:r>
            <w:r>
              <w:rPr>
                <w:rFonts w:hint="default" w:ascii="宋体" w:hAnsi="宋体" w:cs="宋体"/>
                <w:b w:val="0"/>
                <w:bCs w:val="0"/>
                <w:color w:val="auto"/>
                <w:kern w:val="0"/>
                <w:sz w:val="20"/>
                <w:szCs w:val="20"/>
                <w:highlight w:val="none"/>
                <w:lang w:val="en-US" w:eastAsia="zh-CN"/>
              </w:rPr>
              <w:t>、刷新率:≥3840Hz；</w:t>
            </w:r>
          </w:p>
          <w:p w14:paraId="2FEA150E">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eastAsia" w:ascii="宋体" w:hAnsi="宋体" w:cs="宋体"/>
                <w:b w:val="0"/>
                <w:bCs w:val="0"/>
                <w:color w:val="auto"/>
                <w:kern w:val="0"/>
                <w:sz w:val="20"/>
                <w:szCs w:val="20"/>
                <w:highlight w:val="none"/>
                <w:lang w:val="en-US" w:eastAsia="zh-CN"/>
              </w:rPr>
              <w:t>5</w:t>
            </w:r>
            <w:r>
              <w:rPr>
                <w:rFonts w:hint="default" w:ascii="宋体" w:hAnsi="宋体" w:cs="宋体"/>
                <w:b w:val="0"/>
                <w:bCs w:val="0"/>
                <w:color w:val="auto"/>
                <w:kern w:val="0"/>
                <w:sz w:val="20"/>
                <w:szCs w:val="20"/>
                <w:highlight w:val="none"/>
                <w:lang w:val="en-US" w:eastAsia="zh-CN"/>
              </w:rPr>
              <w:t>、LED显示屏的可视角度，水平视角应≥160°，垂直视角应≥140°；</w:t>
            </w:r>
          </w:p>
          <w:p w14:paraId="003D5C35">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eastAsia" w:ascii="宋体" w:hAnsi="宋体" w:cs="宋体"/>
                <w:b w:val="0"/>
                <w:bCs w:val="0"/>
                <w:color w:val="auto"/>
                <w:kern w:val="0"/>
                <w:sz w:val="20"/>
                <w:szCs w:val="20"/>
                <w:highlight w:val="none"/>
                <w:lang w:val="en-US" w:eastAsia="zh-CN"/>
              </w:rPr>
              <w:t>6</w:t>
            </w:r>
            <w:r>
              <w:rPr>
                <w:rFonts w:hint="default" w:ascii="宋体" w:hAnsi="宋体" w:cs="宋体"/>
                <w:b w:val="0"/>
                <w:bCs w:val="0"/>
                <w:color w:val="auto"/>
                <w:kern w:val="0"/>
                <w:sz w:val="20"/>
                <w:szCs w:val="20"/>
                <w:highlight w:val="none"/>
                <w:lang w:val="en-US" w:eastAsia="zh-CN"/>
              </w:rPr>
              <w:t>、发光点中心距偏差≤2%；</w:t>
            </w:r>
          </w:p>
          <w:p w14:paraId="5DAA6863">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eastAsia" w:ascii="宋体" w:hAnsi="宋体" w:cs="宋体"/>
                <w:b w:val="0"/>
                <w:bCs w:val="0"/>
                <w:color w:val="auto"/>
                <w:kern w:val="0"/>
                <w:sz w:val="20"/>
                <w:szCs w:val="20"/>
                <w:highlight w:val="none"/>
                <w:lang w:val="en-US" w:eastAsia="zh-CN"/>
              </w:rPr>
              <w:t>7</w:t>
            </w:r>
            <w:r>
              <w:rPr>
                <w:rFonts w:hint="default" w:ascii="宋体" w:hAnsi="宋体" w:cs="宋体"/>
                <w:b w:val="0"/>
                <w:bCs w:val="0"/>
                <w:color w:val="auto"/>
                <w:kern w:val="0"/>
                <w:sz w:val="20"/>
                <w:szCs w:val="20"/>
                <w:highlight w:val="none"/>
                <w:lang w:val="en-US" w:eastAsia="zh-CN"/>
              </w:rPr>
              <w:t>、抗震等级:依据 GB/T 17742-2020&lt;中国地震烈度表&gt;，抗震等级＞9级；冲击试验:GB 4943.1-2022 信息技术设备安全 第1部分 通用要求；支持通过配套软件0-100%无级调节，设置亮度定时调节，及通过亮度传感器自动调节（手动/自动/软件/任意调节）；</w:t>
            </w:r>
          </w:p>
          <w:p w14:paraId="61D591CD">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w:t>
            </w:r>
            <w:r>
              <w:rPr>
                <w:rFonts w:hint="eastAsia" w:ascii="宋体" w:hAnsi="宋体" w:cs="宋体"/>
                <w:b w:val="0"/>
                <w:bCs w:val="0"/>
                <w:color w:val="auto"/>
                <w:kern w:val="0"/>
                <w:sz w:val="20"/>
                <w:szCs w:val="20"/>
                <w:highlight w:val="none"/>
                <w:lang w:val="en-US" w:eastAsia="zh-CN"/>
              </w:rPr>
              <w:t>8</w:t>
            </w:r>
            <w:r>
              <w:rPr>
                <w:rFonts w:hint="default" w:ascii="宋体" w:hAnsi="宋体" w:cs="宋体"/>
                <w:b w:val="0"/>
                <w:bCs w:val="0"/>
                <w:color w:val="auto"/>
                <w:kern w:val="0"/>
                <w:sz w:val="20"/>
                <w:szCs w:val="20"/>
                <w:highlight w:val="none"/>
                <w:lang w:val="en-US" w:eastAsia="zh-CN"/>
              </w:rPr>
              <w:t>、LED显示屏工作电源满足波纹及噪音≤210mVp-p；电流增益调节级别：8位，电流增益调节范围1%—199%；动态节能：带有智能节电能功能、带电黑屏节电功能，开启智能节电功能比没有开启节能，节能60%以上；</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240F8DCD">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eastAsia" w:ascii="宋体" w:hAnsi="宋体" w:cs="宋体"/>
                <w:b w:val="0"/>
                <w:bCs w:val="0"/>
                <w:color w:val="auto"/>
                <w:kern w:val="0"/>
                <w:sz w:val="20"/>
                <w:szCs w:val="20"/>
                <w:highlight w:val="none"/>
                <w:lang w:val="en-US" w:eastAsia="zh-CN"/>
              </w:rPr>
              <w:t>9</w:t>
            </w:r>
            <w:r>
              <w:rPr>
                <w:rFonts w:hint="default" w:ascii="宋体" w:hAnsi="宋体" w:cs="宋体"/>
                <w:b w:val="0"/>
                <w:bCs w:val="0"/>
                <w:color w:val="auto"/>
                <w:kern w:val="0"/>
                <w:sz w:val="20"/>
                <w:szCs w:val="20"/>
                <w:highlight w:val="none"/>
                <w:lang w:val="en-US" w:eastAsia="zh-CN"/>
              </w:rPr>
              <w:t>、亮度:≥500cd/m²；</w:t>
            </w:r>
          </w:p>
          <w:p w14:paraId="391CBDBF">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0</w:t>
            </w:r>
            <w:r>
              <w:rPr>
                <w:rFonts w:hint="default" w:ascii="宋体" w:hAnsi="宋体" w:cs="宋体"/>
                <w:b w:val="0"/>
                <w:bCs w:val="0"/>
                <w:color w:val="auto"/>
                <w:kern w:val="0"/>
                <w:sz w:val="20"/>
                <w:szCs w:val="20"/>
                <w:highlight w:val="none"/>
                <w:lang w:val="en-US" w:eastAsia="zh-CN"/>
              </w:rPr>
              <w:t>、模组平整度:≤0.1mm ；</w:t>
            </w:r>
          </w:p>
          <w:p w14:paraId="62725085">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1</w:t>
            </w:r>
            <w:r>
              <w:rPr>
                <w:rFonts w:hint="default" w:ascii="宋体" w:hAnsi="宋体" w:cs="宋体"/>
                <w:b w:val="0"/>
                <w:bCs w:val="0"/>
                <w:color w:val="auto"/>
                <w:kern w:val="0"/>
                <w:sz w:val="20"/>
                <w:szCs w:val="20"/>
                <w:highlight w:val="none"/>
                <w:lang w:val="en-US" w:eastAsia="zh-CN"/>
              </w:rPr>
              <w:t>、抗拉力测试:以10mm/min 速度拉伸试样，测试样品发生破坏时的力值，破坏力实测≥4601N；抗压力测试:以10mm/ min 速度抗压试样，测试样品发生破坏时的 力值，破坏力实测≥4409N；模组机械强度:≥25MP；LED 显示屏样品处于自由状态下:检测面跌落、角跌落.倾跌与翻到、自由跌落、弹跳跌落，检测结果为合格；支持表面硬度测试，具备划痕性能技术，表面硬度≥4H；辐照强度:0.76W/m2.nm@340nm，温度60℃.冷凝温度:50℃、24循环，288H，试验后，样品外观无异常，符合5级；LED 显示屏采用数字化网络传输技术或标准化 HDCP 传输技术，支持 Tyte-C 接口、光纤接口或者 HDCP 协议的接口实现5G 大带载带宽传输；LED 全彩显示面板符合 CESI/TS006-2020的8K 超高清显示</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r>
              <w:rPr>
                <w:rFonts w:hint="default" w:ascii="宋体" w:hAnsi="宋体" w:cs="宋体"/>
                <w:b w:val="0"/>
                <w:bCs w:val="0"/>
                <w:color w:val="auto"/>
                <w:kern w:val="0"/>
                <w:sz w:val="20"/>
                <w:szCs w:val="20"/>
                <w:highlight w:val="none"/>
                <w:lang w:val="en-US" w:eastAsia="zh-CN"/>
              </w:rPr>
              <w:t>；</w:t>
            </w:r>
          </w:p>
          <w:p w14:paraId="41BDC84F">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2</w:t>
            </w:r>
            <w:r>
              <w:rPr>
                <w:rFonts w:hint="default" w:ascii="宋体" w:hAnsi="宋体" w:cs="宋体"/>
                <w:b w:val="0"/>
                <w:bCs w:val="0"/>
                <w:color w:val="auto"/>
                <w:kern w:val="0"/>
                <w:sz w:val="20"/>
                <w:szCs w:val="20"/>
                <w:highlight w:val="none"/>
                <w:lang w:val="en-US" w:eastAsia="zh-CN"/>
              </w:rPr>
              <w:t>、最大功耗:≤460W/m²，平均功耗≤150W/m²；</w:t>
            </w:r>
          </w:p>
          <w:p w14:paraId="1F794487">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3</w:t>
            </w:r>
            <w:r>
              <w:rPr>
                <w:rFonts w:hint="default" w:ascii="宋体" w:hAnsi="宋体" w:cs="宋体"/>
                <w:b w:val="0"/>
                <w:bCs w:val="0"/>
                <w:color w:val="auto"/>
                <w:kern w:val="0"/>
                <w:sz w:val="20"/>
                <w:szCs w:val="20"/>
                <w:highlight w:val="none"/>
                <w:lang w:val="en-US" w:eastAsia="zh-CN"/>
              </w:rPr>
              <w:t>、平均使用寿命：≥100000小时；</w:t>
            </w:r>
          </w:p>
          <w:p w14:paraId="58B15832">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4</w:t>
            </w:r>
            <w:r>
              <w:rPr>
                <w:rFonts w:hint="default" w:ascii="宋体" w:hAnsi="宋体" w:cs="宋体"/>
                <w:b w:val="0"/>
                <w:bCs w:val="0"/>
                <w:color w:val="auto"/>
                <w:kern w:val="0"/>
                <w:sz w:val="20"/>
                <w:szCs w:val="20"/>
                <w:highlight w:val="none"/>
                <w:lang w:val="en-US" w:eastAsia="zh-CN"/>
              </w:rPr>
              <w:t>、支持 PPA 碗杯结构、点胶封装、出光方式为单面发光；支持模组校正、数据存储及回读（需提供带有 CNAS 或 CMA 标识的第三方检测报告复印件并加盖投标人公章）；</w:t>
            </w:r>
          </w:p>
          <w:p w14:paraId="4BC41105">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5</w:t>
            </w:r>
            <w:r>
              <w:rPr>
                <w:rFonts w:hint="default" w:ascii="宋体" w:hAnsi="宋体" w:cs="宋体"/>
                <w:b w:val="0"/>
                <w:bCs w:val="0"/>
                <w:color w:val="auto"/>
                <w:kern w:val="0"/>
                <w:sz w:val="20"/>
                <w:szCs w:val="20"/>
                <w:highlight w:val="none"/>
                <w:lang w:val="en-US" w:eastAsia="zh-CN"/>
              </w:rPr>
              <w:t>、LED显示屏应具备防电力远程窃密技术和防信号远程窃密技术；在最常规的白场应用场景下，具有白场亮色度补偿技术，能够快速准确地对当前LED显示屏亮色度进行补偿，使显示屏白场亮色度达到目标状态</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7E49D901">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6</w:t>
            </w:r>
            <w:r>
              <w:rPr>
                <w:rFonts w:hint="default" w:ascii="宋体" w:hAnsi="宋体" w:cs="宋体"/>
                <w:b w:val="0"/>
                <w:bCs w:val="0"/>
                <w:color w:val="auto"/>
                <w:kern w:val="0"/>
                <w:sz w:val="20"/>
                <w:szCs w:val="20"/>
                <w:highlight w:val="none"/>
                <w:lang w:val="en-US" w:eastAsia="zh-CN"/>
              </w:rPr>
              <w:t>、对比度：≥5000：1；</w:t>
            </w:r>
          </w:p>
          <w:p w14:paraId="70FFE02D">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w:t>
            </w:r>
            <w:r>
              <w:rPr>
                <w:rFonts w:hint="eastAsia" w:ascii="宋体" w:hAnsi="宋体" w:cs="宋体"/>
                <w:b w:val="0"/>
                <w:bCs w:val="0"/>
                <w:color w:val="auto"/>
                <w:kern w:val="0"/>
                <w:sz w:val="20"/>
                <w:szCs w:val="20"/>
                <w:highlight w:val="none"/>
                <w:lang w:val="en-US" w:eastAsia="zh-CN"/>
              </w:rPr>
              <w:t>7</w:t>
            </w:r>
            <w:r>
              <w:rPr>
                <w:rFonts w:hint="default" w:ascii="宋体" w:hAnsi="宋体" w:cs="宋体"/>
                <w:b w:val="0"/>
                <w:bCs w:val="0"/>
                <w:color w:val="auto"/>
                <w:kern w:val="0"/>
                <w:sz w:val="20"/>
                <w:szCs w:val="20"/>
                <w:highlight w:val="none"/>
                <w:lang w:val="en-US" w:eastAsia="zh-CN"/>
              </w:rPr>
              <w:t>、LED显示屏具有显示管理功能，一体化控制平台，模块化统一管理，可针对LED显示模块进行统一管理，设置亮度坐标、色温、灰度等参数；LED显示屏经过循环测试，12个循环，每个循环8小时，测试总时长96小时，每个循环测试包括4小时的紫外线照射，及4小时的水分曝光，测试后样品零部件应该是未破损没有任何变形及无可见的腐蚀或氧化</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61230F39">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二、</w:t>
            </w:r>
            <w:r>
              <w:rPr>
                <w:rFonts w:hint="default" w:ascii="宋体" w:hAnsi="宋体" w:cs="宋体"/>
                <w:b/>
                <w:bCs/>
                <w:color w:val="auto"/>
                <w:kern w:val="0"/>
                <w:sz w:val="20"/>
                <w:szCs w:val="20"/>
                <w:highlight w:val="none"/>
                <w:lang w:val="en-US" w:eastAsia="zh-CN"/>
              </w:rPr>
              <w:t>处理器</w:t>
            </w:r>
            <w:r>
              <w:rPr>
                <w:rFonts w:hint="eastAsia" w:ascii="宋体" w:hAnsi="宋体" w:cs="宋体"/>
                <w:b w:val="0"/>
                <w:bCs w:val="0"/>
                <w:color w:val="auto"/>
                <w:kern w:val="0"/>
                <w:sz w:val="20"/>
                <w:szCs w:val="20"/>
                <w:highlight w:val="none"/>
                <w:lang w:val="en-US" w:eastAsia="zh-CN"/>
              </w:rPr>
              <w:t>（1台）</w:t>
            </w:r>
          </w:p>
          <w:p w14:paraId="2285974E">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整屏分辨率:整屏分辨率;2288*1248=2855424;</w:t>
            </w:r>
          </w:p>
          <w:p w14:paraId="2946B0FC">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1、采用1.5U标准机箱。</w:t>
            </w:r>
          </w:p>
          <w:p w14:paraId="05296959">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2、发送卡和视频处理器二合一、减少设备数量和设备间连线，提升稳定性和兼容性。</w:t>
            </w:r>
          </w:p>
          <w:p w14:paraId="0BD58082">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3、具备分辨率为320×240的LCD显示屏，显示操作菜单及系统信息。</w:t>
            </w:r>
          </w:p>
          <w:p w14:paraId="197F2C8F">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4、总带载390万像素点，最宽7680像素，最高3840像素。</w:t>
            </w:r>
          </w:p>
          <w:p w14:paraId="46CDB489">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5、具备6路千兆网口输出，单网口最大65万像素点。</w:t>
            </w:r>
          </w:p>
          <w:p w14:paraId="06AE91B5">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▲6、支持5路视频输入接口：1路HDMI1.4、1路HDMI2.0、1路DP1.2、1路VGA、1路DVI。</w:t>
            </w:r>
          </w:p>
          <w:p w14:paraId="5D24BCFB">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7、支持最大视频信号输入：3840×2160@60Hz。</w:t>
            </w:r>
          </w:p>
          <w:p w14:paraId="4C4B9601">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8、1路3.5mm音频输入接口，1路3.5mm音频输出接口。</w:t>
            </w:r>
          </w:p>
          <w:p w14:paraId="0244E83B">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9、具备1路USB-B调试接口；1路LAN百兆网通讯接口，支持调试控制；1路RS232接口，支持中控设备控制。</w:t>
            </w:r>
          </w:p>
          <w:p w14:paraId="7D262D8A">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▲10、支持4画面同时显示，可实现画中画或画外画，大小等均可调节，内置10种快捷窗口模板。</w:t>
            </w:r>
          </w:p>
          <w:p w14:paraId="0EE95492">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11、支持窗口位置、大小调整及窗口截取功能。</w:t>
            </w:r>
          </w:p>
          <w:p w14:paraId="34561BBD">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12、支持画面全屏缩放、点对点显示、自定义缩放三种缩放模式。</w:t>
            </w:r>
          </w:p>
          <w:p w14:paraId="09DD0665">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13、支持图像调节亮度、对比度、色温、饱和度、锐度、色调、伽马。</w:t>
            </w:r>
          </w:p>
          <w:p w14:paraId="73E5F3EE">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14、内置测试图，无需接入输入信号，开启测试模式，白、红、绿、蓝、黑等测试画面。</w:t>
            </w:r>
          </w:p>
          <w:p w14:paraId="2AFBEE59">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15、支持创建8个用户场景作为模板保存可直接调用，方便使用，支持一键进入用户场景作为模板保存、调用界面。</w:t>
            </w:r>
          </w:p>
          <w:p w14:paraId="49E69A26">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16、支持定时场景切换，最多可设置5段时间切换场景。</w:t>
            </w:r>
          </w:p>
          <w:p w14:paraId="3FCBA449">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17、支持快捷连屏，内置八种常用走线方式可选，简单操作即可完成屏体配置。</w:t>
            </w:r>
          </w:p>
          <w:p w14:paraId="2B7E8F07">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FF0000"/>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18、支持数据巡检，大屏更换接收卡后，免调试，工程文件“一键”巡检修复数据；屏幕巡检数据支持存储在SD卡或者设备内置存储器，支持屏幕巡检参数固化保存。19、支持千兆网误码率检测，监测接收卡间通讯时传输链路上的数据丢包情况。20、支持网线自由走线，多窗口功能，网线带载点数按带载实际LED点数计算，不在按照传统的矩形范围计算，提高网口利用率。</w:t>
            </w:r>
          </w:p>
          <w:p w14:paraId="3752F19B">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21、支持可视化调试连屏，积木拼图式连屏操作，直观的显示LED屏形状、位置和拼接效果;支持箱体程序快速添加、各种对齐方式、位置锁定、配置数据一键替换、网口快速选择等便捷功能，快速有效完成。</w:t>
            </w:r>
          </w:p>
          <w:p w14:paraId="03E3C0AA">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22、支持设备按键锁，3分钟无操作自动锁定，锁定按键功能，防止误操作。</w:t>
            </w:r>
          </w:p>
          <w:p w14:paraId="24E0069E">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eastAsia"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三．智能安全控电器</w:t>
            </w:r>
          </w:p>
          <w:p w14:paraId="0A605D8F">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1.设备功率：16KW</w:t>
            </w:r>
          </w:p>
          <w:p w14:paraId="57FE11D2">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▲2.高强度防火抗干扰外壳采用航空级高强度金属材质，通过国家级防火认证，兼具抗电磁干扰（EMI）与抗外力冲击性能，可承受≥1000N冲击载荷，显著提升设备耐用性，使用寿命延长至10年以上。</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65857708">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3.支持显示屏内部空间嵌入或吊顶安装，仅需2颗M4螺丝固定（无需膨胀螺丝），单人10分钟内可完成安装。</w:t>
            </w:r>
          </w:p>
          <w:p w14:paraId="58887FB8">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4.采用分布式上电技术，启停时无触点吸合噪音，运行噪音≤20dB，较传统设备降低90%。</w:t>
            </w:r>
          </w:p>
          <w:p w14:paraId="67EF5857">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5.内置双散热风机，配合全金属外壳导热设计，散热效率提升40%，可在-20℃~60℃宽温环境下稳定运行，避免高温老化导致的故障。</w:t>
            </w:r>
          </w:p>
          <w:p w14:paraId="752C97ED">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6.设备自带≥4.3英寸彩色触控屏实时显示三相电参数（电压/电流/ 功率/用电量）及12类信息查看（高压/低压/漏电/雷击 /过流/高温/烟雾/湿度/粉尘/亮度/自动重合闸/合闸前检测等）。</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7BA2014E">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▲7.支持身份证识别、Ukey数字密钥、动态二维码/短信密码登录。</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494F573A">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▲8.内置2组10A标准五孔插座，支持独立定时控制（精度±1秒），可设定显示屏与音频设备启停时差（如显示屏提前10分钟开机预热，下班同步关闭音视频等），解决LED显示屏与音频同步控制问题。</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212DFE35">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▲9.输出航空插头：输入/输出采用M20航空插头，标准化防呆设计，非专业人员亦可操作，接线效率提升50%。</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0ADD69EB">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bCs/>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▲10.采用 2P 双极保护器，集成1英寸高清液晶显示屏，实时动态显示电压、电流、功率等关键运行参数，设备状态一目了然，支持快速监控与故障诊断，显著提升运维效率。</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46D8E121">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11.支持局域网电脑控制（RJ45）、中控iPad控制（485）、无线遥控（2.4GHz）、WLAN移动端软件控制、86盒触控面板控制、4G无线控制可选。</w:t>
            </w:r>
          </w:p>
          <w:p w14:paraId="193FDD9D">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r>
              <w:rPr>
                <w:rFonts w:hint="default" w:ascii="宋体" w:hAnsi="宋体" w:cs="宋体"/>
                <w:b w:val="0"/>
                <w:bCs w:val="0"/>
                <w:color w:val="auto"/>
                <w:kern w:val="0"/>
                <w:sz w:val="20"/>
                <w:szCs w:val="20"/>
                <w:highlight w:val="none"/>
                <w:lang w:val="en-US" w:eastAsia="zh-CN"/>
              </w:rPr>
              <w:t>12.遥控器配备实时动态显示设备开关状态、操作指令执行结果。按键支持视觉提示（如按开启时遥控器指示灯亮起、无效指令则无反应），无需频繁往返现场或查看终端设备，操作状态通过指示灯实时可视化反馈。</w:t>
            </w:r>
            <w:r>
              <w:rPr>
                <w:rFonts w:hint="eastAsia" w:ascii="宋体" w:hAnsi="宋体" w:cs="宋体"/>
                <w:b/>
                <w:bCs/>
                <w:color w:val="auto"/>
                <w:kern w:val="0"/>
                <w:sz w:val="20"/>
                <w:szCs w:val="20"/>
                <w:highlight w:val="none"/>
                <w:lang w:val="en-US" w:eastAsia="zh-CN"/>
              </w:rPr>
              <w:t>（投标时须提供国家认可的第三方检测机构出具的关于该功能检测报告复印件）</w:t>
            </w:r>
          </w:p>
          <w:p w14:paraId="3ED7E917">
            <w:pPr>
              <w:keepNext w:val="0"/>
              <w:keepLines w:val="0"/>
              <w:pageBreakBefore w:val="0"/>
              <w:widowControl w:val="0"/>
              <w:numPr>
                <w:ilvl w:val="0"/>
                <w:numId w:val="0"/>
              </w:numPr>
              <w:kinsoku/>
              <w:wordWrap/>
              <w:overflowPunct/>
              <w:topLinePunct w:val="0"/>
              <w:autoSpaceDN/>
              <w:bidi w:val="0"/>
              <w:adjustRightInd/>
              <w:spacing w:line="460" w:lineRule="exact"/>
              <w:jc w:val="left"/>
              <w:textAlignment w:val="auto"/>
              <w:rPr>
                <w:rFonts w:hint="default" w:ascii="宋体" w:hAnsi="宋体" w:cs="宋体"/>
                <w:b w:val="0"/>
                <w:bCs w:val="0"/>
                <w:color w:val="auto"/>
                <w:kern w:val="0"/>
                <w:sz w:val="20"/>
                <w:szCs w:val="20"/>
                <w:highlight w:val="none"/>
                <w:lang w:val="en-US" w:eastAsia="zh-CN"/>
              </w:rPr>
            </w:pPr>
          </w:p>
        </w:tc>
        <w:tc>
          <w:tcPr>
            <w:tcW w:w="210" w:type="pct"/>
            <w:vAlign w:val="center"/>
          </w:tcPr>
          <w:p w14:paraId="5E486287">
            <w:pPr>
              <w:keepNext w:val="0"/>
              <w:keepLines w:val="0"/>
              <w:widowControl/>
              <w:suppressLineNumbers w:val="0"/>
              <w:jc w:val="center"/>
              <w:textAlignment w:val="center"/>
              <w:rPr>
                <w:rFonts w:hint="default" w:ascii="宋体" w:hAnsi="宋体" w:eastAsia="宋体" w:cs="宋体"/>
                <w:color w:val="auto"/>
                <w:kern w:val="2"/>
                <w:sz w:val="20"/>
                <w:szCs w:val="20"/>
                <w:highlight w:val="none"/>
                <w:vertAlign w:val="baseline"/>
                <w:lang w:val="en-US" w:eastAsia="zh-CN" w:bidi="ar-SA"/>
              </w:rPr>
            </w:pPr>
            <w:r>
              <w:rPr>
                <w:rFonts w:hint="eastAsia" w:ascii="宋体" w:hAnsi="宋体" w:cs="宋体"/>
                <w:color w:val="auto"/>
                <w:kern w:val="2"/>
                <w:sz w:val="20"/>
                <w:szCs w:val="20"/>
                <w:highlight w:val="none"/>
                <w:vertAlign w:val="baseline"/>
                <w:lang w:val="en-US" w:eastAsia="zh-CN" w:bidi="ar-SA"/>
              </w:rPr>
              <w:t>1</w:t>
            </w:r>
          </w:p>
        </w:tc>
        <w:tc>
          <w:tcPr>
            <w:tcW w:w="210" w:type="pct"/>
            <w:vAlign w:val="center"/>
          </w:tcPr>
          <w:p w14:paraId="4456A230">
            <w:pPr>
              <w:keepNext w:val="0"/>
              <w:keepLines w:val="0"/>
              <w:widowControl/>
              <w:suppressLineNumbers w:val="0"/>
              <w:jc w:val="center"/>
              <w:textAlignment w:val="center"/>
              <w:rPr>
                <w:rFonts w:hint="default" w:ascii="宋体" w:hAnsi="宋体" w:eastAsia="宋体" w:cs="宋体"/>
                <w:color w:val="auto"/>
                <w:kern w:val="2"/>
                <w:sz w:val="20"/>
                <w:szCs w:val="20"/>
                <w:highlight w:val="none"/>
                <w:vertAlign w:val="baseline"/>
                <w:lang w:val="en-US" w:eastAsia="zh-CN" w:bidi="ar-SA"/>
              </w:rPr>
            </w:pPr>
            <w:r>
              <w:rPr>
                <w:rFonts w:hint="eastAsia" w:ascii="宋体" w:hAnsi="宋体" w:cs="宋体"/>
                <w:color w:val="auto"/>
                <w:kern w:val="2"/>
                <w:sz w:val="20"/>
                <w:szCs w:val="20"/>
                <w:highlight w:val="none"/>
                <w:vertAlign w:val="baseline"/>
                <w:lang w:val="en-US" w:eastAsia="zh-CN" w:bidi="ar-SA"/>
              </w:rPr>
              <w:t>套</w:t>
            </w:r>
          </w:p>
        </w:tc>
        <w:tc>
          <w:tcPr>
            <w:tcW w:w="332" w:type="pct"/>
            <w:shd w:val="clear" w:color="auto" w:fill="auto"/>
            <w:vAlign w:val="center"/>
          </w:tcPr>
          <w:p w14:paraId="74167A36">
            <w:pPr>
              <w:keepNext w:val="0"/>
              <w:keepLines w:val="0"/>
              <w:widowControl/>
              <w:suppressLineNumbers w:val="0"/>
              <w:jc w:val="center"/>
              <w:textAlignment w:val="center"/>
              <w:rPr>
                <w:rFonts w:hint="default" w:ascii="黑体" w:hAnsi="宋体" w:eastAsia="黑体" w:cs="黑体"/>
                <w:b/>
                <w:bCs/>
                <w:i w:val="0"/>
                <w:iCs w:val="0"/>
                <w:color w:val="000000"/>
                <w:kern w:val="2"/>
                <w:sz w:val="22"/>
                <w:szCs w:val="22"/>
                <w:highlight w:val="none"/>
                <w:u w:val="none"/>
                <w:lang w:val="en-US" w:eastAsia="zh-CN" w:bidi="ar-SA"/>
              </w:rPr>
            </w:pPr>
            <w:r>
              <w:rPr>
                <w:rFonts w:hint="default" w:asciiTheme="minorEastAsia" w:hAnsiTheme="minorEastAsia" w:eastAsiaTheme="minorEastAsia" w:cstheme="minorEastAsia"/>
                <w:b w:val="0"/>
                <w:bCs w:val="0"/>
                <w:i w:val="0"/>
                <w:iCs w:val="0"/>
                <w:color w:val="000000"/>
                <w:kern w:val="2"/>
                <w:sz w:val="22"/>
                <w:szCs w:val="22"/>
                <w:highlight w:val="none"/>
                <w:u w:val="none"/>
                <w:lang w:val="en-US" w:eastAsia="zh-CN" w:bidi="ar-SA"/>
              </w:rPr>
              <w:t>5</w:t>
            </w:r>
            <w:r>
              <w:rPr>
                <w:rFonts w:hint="eastAsia" w:asciiTheme="minorEastAsia" w:hAnsiTheme="minorEastAsia" w:eastAsiaTheme="minorEastAsia" w:cstheme="minorEastAsia"/>
                <w:b w:val="0"/>
                <w:bCs w:val="0"/>
                <w:i w:val="0"/>
                <w:iCs w:val="0"/>
                <w:color w:val="000000"/>
                <w:kern w:val="2"/>
                <w:sz w:val="22"/>
                <w:szCs w:val="22"/>
                <w:highlight w:val="none"/>
                <w:u w:val="none"/>
                <w:lang w:val="en-US" w:eastAsia="zh-CN" w:bidi="ar-SA"/>
              </w:rPr>
              <w:t>5520</w:t>
            </w:r>
          </w:p>
        </w:tc>
        <w:tc>
          <w:tcPr>
            <w:tcW w:w="370" w:type="pct"/>
            <w:shd w:val="clear" w:color="auto" w:fill="auto"/>
            <w:vAlign w:val="center"/>
          </w:tcPr>
          <w:p w14:paraId="37E15E30">
            <w:pPr>
              <w:keepNext w:val="0"/>
              <w:keepLines w:val="0"/>
              <w:widowControl/>
              <w:suppressLineNumbers w:val="0"/>
              <w:jc w:val="center"/>
              <w:textAlignment w:val="center"/>
              <w:rPr>
                <w:rFonts w:hint="default" w:ascii="黑体" w:hAnsi="宋体" w:eastAsia="黑体" w:cs="黑体"/>
                <w:b w:val="0"/>
                <w:bCs w:val="0"/>
                <w:i w:val="0"/>
                <w:iCs w:val="0"/>
                <w:color w:val="000000"/>
                <w:kern w:val="2"/>
                <w:sz w:val="22"/>
                <w:szCs w:val="22"/>
                <w:highlight w:val="none"/>
                <w:u w:val="none"/>
                <w:lang w:val="en-US" w:eastAsia="zh-CN" w:bidi="ar-SA"/>
              </w:rPr>
            </w:pPr>
            <w:r>
              <w:rPr>
                <w:rFonts w:hint="default" w:asciiTheme="minorEastAsia" w:hAnsiTheme="minorEastAsia" w:eastAsiaTheme="minorEastAsia" w:cstheme="minorEastAsia"/>
                <w:b w:val="0"/>
                <w:bCs w:val="0"/>
                <w:i w:val="0"/>
                <w:iCs w:val="0"/>
                <w:color w:val="000000"/>
                <w:kern w:val="2"/>
                <w:sz w:val="22"/>
                <w:szCs w:val="22"/>
                <w:highlight w:val="none"/>
                <w:u w:val="none"/>
                <w:lang w:val="en-US" w:eastAsia="zh-CN" w:bidi="ar-SA"/>
              </w:rPr>
              <w:t>5</w:t>
            </w:r>
            <w:r>
              <w:rPr>
                <w:rFonts w:hint="eastAsia" w:asciiTheme="minorEastAsia" w:hAnsiTheme="minorEastAsia" w:eastAsiaTheme="minorEastAsia" w:cstheme="minorEastAsia"/>
                <w:b w:val="0"/>
                <w:bCs w:val="0"/>
                <w:i w:val="0"/>
                <w:iCs w:val="0"/>
                <w:color w:val="000000"/>
                <w:kern w:val="2"/>
                <w:sz w:val="22"/>
                <w:szCs w:val="22"/>
                <w:highlight w:val="none"/>
                <w:u w:val="none"/>
                <w:lang w:val="en-US" w:eastAsia="zh-CN" w:bidi="ar-SA"/>
              </w:rPr>
              <w:t>5520</w:t>
            </w:r>
          </w:p>
        </w:tc>
      </w:tr>
      <w:tr w14:paraId="3CD9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629" w:type="pct"/>
            <w:gridSpan w:val="7"/>
            <w:vAlign w:val="center"/>
          </w:tcPr>
          <w:p w14:paraId="4F873D1F">
            <w:pPr>
              <w:keepNext w:val="0"/>
              <w:keepLines w:val="0"/>
              <w:pageBreakBefore w:val="0"/>
              <w:widowControl/>
              <w:numPr>
                <w:ilvl w:val="0"/>
                <w:numId w:val="0"/>
              </w:numPr>
              <w:kinsoku/>
              <w:wordWrap/>
              <w:overflowPunct/>
              <w:topLinePunct w:val="0"/>
              <w:autoSpaceDE/>
              <w:autoSpaceDN/>
              <w:bidi w:val="0"/>
              <w:spacing w:line="288" w:lineRule="auto"/>
              <w:jc w:val="center"/>
              <w:textAlignment w:val="auto"/>
              <w:rPr>
                <w:rFonts w:hint="eastAsia" w:ascii="宋体" w:hAnsi="宋体" w:eastAsia="宋体" w:cs="宋体"/>
                <w:color w:val="auto"/>
                <w:kern w:val="2"/>
                <w:sz w:val="20"/>
                <w:szCs w:val="20"/>
                <w:highlight w:val="none"/>
                <w:vertAlign w:val="baseline"/>
                <w:lang w:val="en-US" w:eastAsia="zh-CN" w:bidi="ar-SA"/>
              </w:rPr>
            </w:pPr>
            <w:r>
              <w:rPr>
                <w:rFonts w:hint="eastAsia" w:ascii="宋体" w:hAnsi="宋体" w:eastAsia="宋体" w:cs="宋体"/>
                <w:b/>
                <w:bCs/>
                <w:color w:val="auto"/>
                <w:kern w:val="0"/>
                <w:sz w:val="20"/>
                <w:szCs w:val="20"/>
                <w:highlight w:val="none"/>
                <w:lang w:val="en-US" w:eastAsia="zh-CN"/>
              </w:rPr>
              <w:t>合计</w:t>
            </w:r>
          </w:p>
        </w:tc>
        <w:tc>
          <w:tcPr>
            <w:tcW w:w="370" w:type="pct"/>
            <w:shd w:val="clear" w:color="auto" w:fill="auto"/>
            <w:vAlign w:val="center"/>
          </w:tcPr>
          <w:p w14:paraId="1BBA2033">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000000"/>
                <w:kern w:val="2"/>
                <w:sz w:val="22"/>
                <w:szCs w:val="22"/>
                <w:highlight w:val="none"/>
                <w:u w:val="none"/>
                <w:lang w:val="en-US" w:eastAsia="zh-CN" w:bidi="ar-SA"/>
              </w:rPr>
            </w:pPr>
            <w:r>
              <w:rPr>
                <w:rFonts w:hint="default" w:asciiTheme="minorEastAsia" w:hAnsiTheme="minorEastAsia" w:eastAsiaTheme="minorEastAsia" w:cstheme="minorEastAsia"/>
                <w:b w:val="0"/>
                <w:bCs w:val="0"/>
                <w:i w:val="0"/>
                <w:iCs w:val="0"/>
                <w:color w:val="000000"/>
                <w:kern w:val="2"/>
                <w:sz w:val="22"/>
                <w:szCs w:val="22"/>
                <w:highlight w:val="none"/>
                <w:u w:val="none"/>
                <w:lang w:val="en-US" w:eastAsia="zh-CN" w:bidi="ar-SA"/>
              </w:rPr>
              <w:t>5</w:t>
            </w:r>
            <w:r>
              <w:rPr>
                <w:rFonts w:hint="eastAsia" w:asciiTheme="minorEastAsia" w:hAnsiTheme="minorEastAsia" w:eastAsiaTheme="minorEastAsia" w:cstheme="minorEastAsia"/>
                <w:b w:val="0"/>
                <w:bCs w:val="0"/>
                <w:i w:val="0"/>
                <w:iCs w:val="0"/>
                <w:color w:val="000000"/>
                <w:kern w:val="2"/>
                <w:sz w:val="22"/>
                <w:szCs w:val="22"/>
                <w:highlight w:val="none"/>
                <w:u w:val="none"/>
                <w:lang w:val="en-US" w:eastAsia="zh-CN" w:bidi="ar-SA"/>
              </w:rPr>
              <w:t>5520</w:t>
            </w:r>
          </w:p>
        </w:tc>
      </w:tr>
    </w:tbl>
    <w:p w14:paraId="07E7AC77">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6C2E01AA">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6812C8BC">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60452218">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04EAC8DC">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0148C7F3">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700D25E2">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6A7FD8F8">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3626F6CD">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36AAB23B">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2A707FA8">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35AC63D4">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6994DBBB">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4624"/>
      </w:tblGrid>
      <w:tr w14:paraId="1548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14" w:type="dxa"/>
            <w:gridSpan w:val="2"/>
          </w:tcPr>
          <w:p w14:paraId="6724E585">
            <w:pPr>
              <w:rPr>
                <w:rFonts w:hint="eastAsia" w:ascii="宋体" w:hAnsi="宋体" w:eastAsia="宋体" w:cs="宋体"/>
                <w:color w:val="auto"/>
                <w:highlight w:val="none"/>
                <w:vertAlign w:val="baseline"/>
              </w:rPr>
            </w:pPr>
            <w:r>
              <w:rPr>
                <w:rFonts w:hint="eastAsia" w:ascii="宋体" w:hAnsi="宋体" w:eastAsia="宋体" w:cs="Calibri"/>
                <w:b/>
                <w:bCs/>
                <w:color w:val="auto"/>
                <w:kern w:val="0"/>
                <w:sz w:val="20"/>
                <w:szCs w:val="20"/>
                <w:highlight w:val="none"/>
                <w:lang w:val="en-US" w:eastAsia="zh-CN"/>
              </w:rPr>
              <w:t>▲</w:t>
            </w:r>
            <w:r>
              <w:rPr>
                <w:rFonts w:hint="eastAsia" w:ascii="宋体" w:hAnsi="宋体" w:eastAsia="宋体" w:cs="宋体"/>
                <w:b/>
                <w:bCs/>
                <w:color w:val="auto"/>
                <w:kern w:val="0"/>
                <w:szCs w:val="21"/>
                <w:highlight w:val="none"/>
              </w:rPr>
              <w:t>二、商务服务要求表</w:t>
            </w:r>
          </w:p>
        </w:tc>
      </w:tr>
      <w:tr w14:paraId="668C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shd w:val="clear" w:color="auto" w:fill="auto"/>
            <w:vAlign w:val="center"/>
          </w:tcPr>
          <w:p w14:paraId="7B70F0AD">
            <w:pPr>
              <w:widowControl/>
              <w:snapToGrid w:val="0"/>
              <w:spacing w:line="400" w:lineRule="exact"/>
              <w:jc w:val="center"/>
              <w:textAlignment w:val="center"/>
              <w:rPr>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sz w:val="21"/>
                <w:szCs w:val="21"/>
                <w:highlight w:val="none"/>
              </w:rPr>
              <w:t>交货时间及地点</w:t>
            </w:r>
          </w:p>
        </w:tc>
        <w:tc>
          <w:tcPr>
            <w:tcW w:w="14624" w:type="dxa"/>
            <w:shd w:val="clear" w:color="auto" w:fill="auto"/>
            <w:vAlign w:val="center"/>
          </w:tcPr>
          <w:p w14:paraId="55E9414F">
            <w:pPr>
              <w:widowControl/>
              <w:numPr>
                <w:ilvl w:val="0"/>
                <w:numId w:val="0"/>
              </w:numPr>
              <w:snapToGrid w:val="0"/>
              <w:spacing w:line="400" w:lineRule="exact"/>
              <w:jc w:val="left"/>
              <w:textAlignment w:val="center"/>
              <w:rPr>
                <w:rFonts w:hint="eastAsia" w:asciiTheme="minorEastAsia" w:hAnsiTheme="minorEastAsia" w:cstheme="minorEastAsia"/>
                <w:kern w:val="0"/>
                <w:szCs w:val="21"/>
                <w:highlight w:val="none"/>
              </w:rPr>
            </w:pPr>
            <w:r>
              <w:rPr>
                <w:rFonts w:hint="eastAsia" w:asciiTheme="minorEastAsia" w:hAnsiTheme="minorEastAsia" w:cstheme="minorEastAsia"/>
                <w:kern w:val="0"/>
                <w:szCs w:val="21"/>
                <w:highlight w:val="none"/>
              </w:rPr>
              <w:t>1、合同签订日期：中标通知书发出后</w:t>
            </w:r>
            <w:r>
              <w:rPr>
                <w:rFonts w:hint="eastAsia" w:asciiTheme="minorEastAsia" w:hAnsiTheme="minorEastAsia" w:cstheme="minorEastAsia"/>
                <w:kern w:val="0"/>
                <w:szCs w:val="21"/>
                <w:highlight w:val="none"/>
                <w:lang w:val="en-US" w:eastAsia="zh-CN"/>
              </w:rPr>
              <w:t>7</w:t>
            </w:r>
            <w:r>
              <w:rPr>
                <w:rFonts w:hint="eastAsia" w:asciiTheme="minorEastAsia" w:hAnsiTheme="minorEastAsia" w:cstheme="minorEastAsia"/>
                <w:kern w:val="0"/>
                <w:szCs w:val="21"/>
                <w:highlight w:val="none"/>
              </w:rPr>
              <w:t>日</w:t>
            </w:r>
            <w:r>
              <w:rPr>
                <w:rFonts w:hint="eastAsia" w:asciiTheme="minorEastAsia" w:hAnsiTheme="minorEastAsia" w:cstheme="minorEastAsia"/>
                <w:kern w:val="0"/>
                <w:szCs w:val="21"/>
                <w:highlight w:val="none"/>
              </w:rPr>
              <w:t xml:space="preserve">内。 </w:t>
            </w:r>
          </w:p>
          <w:p w14:paraId="59F8EBB0">
            <w:pPr>
              <w:widowControl/>
              <w:numPr>
                <w:ilvl w:val="0"/>
                <w:numId w:val="0"/>
              </w:numPr>
              <w:snapToGrid w:val="0"/>
              <w:spacing w:line="400" w:lineRule="exact"/>
              <w:jc w:val="left"/>
              <w:textAlignment w:val="center"/>
              <w:rPr>
                <w:rFonts w:hint="eastAsia" w:asciiTheme="minorEastAsia" w:hAnsiTheme="minorEastAsia" w:cstheme="minorEastAsia"/>
                <w:kern w:val="0"/>
                <w:szCs w:val="21"/>
                <w:highlight w:val="none"/>
              </w:rPr>
            </w:pPr>
            <w:r>
              <w:rPr>
                <w:rFonts w:hint="eastAsia" w:asciiTheme="minorEastAsia" w:hAnsiTheme="minorEastAsia" w:cstheme="minorEastAsia"/>
                <w:kern w:val="0"/>
                <w:szCs w:val="21"/>
                <w:highlight w:val="none"/>
              </w:rPr>
              <w:t>2、交货（实施）时间：合同签订之日起</w:t>
            </w:r>
            <w:r>
              <w:rPr>
                <w:rFonts w:hint="eastAsia" w:asciiTheme="minorEastAsia" w:hAnsiTheme="minorEastAsia" w:cstheme="minorEastAsia"/>
                <w:kern w:val="0"/>
                <w:szCs w:val="21"/>
                <w:highlight w:val="none"/>
                <w:lang w:val="en-US" w:eastAsia="zh-CN"/>
              </w:rPr>
              <w:t>10</w:t>
            </w:r>
            <w:r>
              <w:rPr>
                <w:rFonts w:hint="eastAsia" w:asciiTheme="minorEastAsia" w:hAnsiTheme="minorEastAsia" w:cstheme="minorEastAsia"/>
                <w:kern w:val="0"/>
                <w:szCs w:val="21"/>
                <w:highlight w:val="none"/>
              </w:rPr>
              <w:t>个日历日</w:t>
            </w:r>
            <w:r>
              <w:rPr>
                <w:rFonts w:hint="eastAsia" w:asciiTheme="minorEastAsia" w:hAnsiTheme="minorEastAsia" w:cstheme="minorEastAsia"/>
                <w:kern w:val="0"/>
                <w:szCs w:val="21"/>
                <w:highlight w:val="none"/>
              </w:rPr>
              <w:t>内交货并安装调试完毕。</w:t>
            </w:r>
          </w:p>
          <w:p w14:paraId="3BE34CE9">
            <w:pPr>
              <w:widowControl/>
              <w:snapToGrid w:val="0"/>
              <w:spacing w:line="400" w:lineRule="exact"/>
              <w:jc w:val="left"/>
              <w:textAlignment w:val="center"/>
              <w:rPr>
                <w:rFonts w:hint="eastAsia" w:ascii="宋体" w:hAnsi="宋体" w:eastAsia="宋体" w:cs="宋体"/>
                <w:color w:val="auto"/>
                <w:kern w:val="2"/>
                <w:sz w:val="21"/>
                <w:szCs w:val="21"/>
                <w:highlight w:val="none"/>
                <w:lang w:val="en-US" w:eastAsia="zh-CN" w:bidi="ar-SA"/>
              </w:rPr>
            </w:pPr>
            <w:r>
              <w:rPr>
                <w:rStyle w:val="14"/>
                <w:rFonts w:hint="eastAsia" w:asciiTheme="minorEastAsia" w:hAnsiTheme="minorEastAsia" w:eastAsiaTheme="minorEastAsia" w:cstheme="minorEastAsia"/>
                <w:color w:val="auto"/>
                <w:sz w:val="21"/>
                <w:szCs w:val="21"/>
                <w:highlight w:val="none"/>
                <w:lang w:val="en-US" w:eastAsia="zh-CN"/>
              </w:rPr>
              <w:t>3</w:t>
            </w:r>
            <w:r>
              <w:rPr>
                <w:rStyle w:val="14"/>
                <w:rFonts w:hint="eastAsia" w:asciiTheme="minorEastAsia" w:hAnsiTheme="minorEastAsia" w:eastAsiaTheme="minorEastAsia" w:cstheme="minorEastAsia"/>
                <w:color w:val="auto"/>
                <w:sz w:val="21"/>
                <w:szCs w:val="21"/>
                <w:highlight w:val="none"/>
                <w:lang w:eastAsia="zh-CN"/>
              </w:rPr>
              <w:t>、</w:t>
            </w:r>
            <w:r>
              <w:rPr>
                <w:rStyle w:val="14"/>
                <w:rFonts w:hint="default" w:asciiTheme="minorEastAsia" w:hAnsiTheme="minorEastAsia" w:eastAsiaTheme="minorEastAsia" w:cstheme="minorEastAsia"/>
                <w:color w:val="auto"/>
                <w:sz w:val="21"/>
                <w:szCs w:val="21"/>
                <w:highlight w:val="none"/>
              </w:rPr>
              <w:t>交货地点：</w:t>
            </w:r>
            <w:r>
              <w:rPr>
                <w:rFonts w:hint="eastAsia" w:asciiTheme="minorEastAsia" w:hAnsiTheme="minorEastAsia" w:cstheme="minorEastAsia"/>
                <w:szCs w:val="21"/>
                <w:highlight w:val="none"/>
              </w:rPr>
              <w:t>广西南宁市采购人指定地点（广西水利电力职业技术学院）</w:t>
            </w:r>
            <w:r>
              <w:rPr>
                <w:rStyle w:val="14"/>
                <w:rFonts w:hint="default" w:asciiTheme="minorEastAsia" w:hAnsiTheme="minorEastAsia" w:eastAsiaTheme="minorEastAsia" w:cstheme="minorEastAsia"/>
                <w:color w:val="auto"/>
                <w:sz w:val="21"/>
                <w:szCs w:val="21"/>
                <w:highlight w:val="none"/>
              </w:rPr>
              <w:t>。</w:t>
            </w:r>
          </w:p>
        </w:tc>
      </w:tr>
      <w:tr w14:paraId="5B2C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shd w:val="clear" w:color="auto" w:fill="auto"/>
            <w:vAlign w:val="center"/>
          </w:tcPr>
          <w:p w14:paraId="3ABD7DCC">
            <w:pPr>
              <w:widowControl/>
              <w:snapToGrid w:val="0"/>
              <w:spacing w:line="400" w:lineRule="exact"/>
              <w:jc w:val="center"/>
              <w:textAlignment w:val="center"/>
              <w:rPr>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sz w:val="21"/>
                <w:szCs w:val="21"/>
                <w:highlight w:val="none"/>
              </w:rPr>
              <w:t>质保期</w:t>
            </w:r>
          </w:p>
        </w:tc>
        <w:tc>
          <w:tcPr>
            <w:tcW w:w="14624" w:type="dxa"/>
            <w:shd w:val="clear" w:color="auto" w:fill="auto"/>
            <w:vAlign w:val="center"/>
          </w:tcPr>
          <w:p w14:paraId="23EDCCBE">
            <w:pPr>
              <w:widowControl/>
              <w:numPr>
                <w:ilvl w:val="0"/>
                <w:numId w:val="0"/>
              </w:numPr>
              <w:jc w:val="left"/>
              <w:textAlignment w:val="center"/>
              <w:rPr>
                <w:rFonts w:hint="eastAsia" w:ascii="宋体" w:hAnsi="宋体" w:eastAsia="宋体" w:cs="宋体"/>
                <w:color w:val="auto"/>
                <w:kern w:val="2"/>
                <w:sz w:val="21"/>
                <w:szCs w:val="21"/>
                <w:highlight w:val="none"/>
                <w:lang w:val="en-US" w:eastAsia="zh-CN" w:bidi="ar-SA"/>
              </w:rPr>
            </w:pPr>
            <w:r>
              <w:rPr>
                <w:rStyle w:val="14"/>
                <w:rFonts w:hint="default" w:asciiTheme="minorEastAsia" w:hAnsiTheme="minorEastAsia" w:eastAsiaTheme="minorEastAsia" w:cstheme="minorEastAsia"/>
                <w:color w:val="auto"/>
                <w:sz w:val="21"/>
                <w:szCs w:val="21"/>
                <w:highlight w:val="none"/>
              </w:rPr>
              <w:t>按国家有关规定或厂家承诺实行“三包”，</w:t>
            </w:r>
            <w:r>
              <w:rPr>
                <w:rFonts w:hint="eastAsia" w:asciiTheme="minorEastAsia" w:hAnsiTheme="minorEastAsia" w:cstheme="minorEastAsia"/>
                <w:kern w:val="0"/>
                <w:szCs w:val="21"/>
                <w:highlight w:val="none"/>
              </w:rPr>
              <w:t>质保期从验收合格之日起整机不少于</w:t>
            </w:r>
            <w:r>
              <w:rPr>
                <w:rFonts w:hint="eastAsia" w:asciiTheme="minorEastAsia" w:hAnsiTheme="minorEastAsia" w:cstheme="minorEastAsia"/>
                <w:kern w:val="0"/>
                <w:szCs w:val="21"/>
                <w:highlight w:val="none"/>
                <w:u w:val="single"/>
                <w:lang w:val="en-US" w:eastAsia="zh-CN"/>
              </w:rPr>
              <w:t>3</w:t>
            </w:r>
            <w:r>
              <w:rPr>
                <w:rFonts w:hint="eastAsia" w:asciiTheme="minorEastAsia" w:hAnsiTheme="minorEastAsia" w:cstheme="minorEastAsia"/>
                <w:kern w:val="0"/>
                <w:szCs w:val="21"/>
                <w:highlight w:val="none"/>
              </w:rPr>
              <w:t>年</w:t>
            </w:r>
            <w:r>
              <w:rPr>
                <w:rFonts w:hint="eastAsia" w:asciiTheme="minorEastAsia" w:hAnsiTheme="minorEastAsia" w:cstheme="minorEastAsia"/>
                <w:kern w:val="0"/>
                <w:szCs w:val="21"/>
                <w:highlight w:val="none"/>
              </w:rPr>
              <w:t>（技术参数中有特别指明质保期的按参数要求，厂家质保期高于采购要求的按厂家质保）</w:t>
            </w:r>
            <w:r>
              <w:rPr>
                <w:rStyle w:val="14"/>
                <w:rFonts w:hint="default" w:asciiTheme="minorEastAsia" w:hAnsiTheme="minorEastAsia" w:eastAsiaTheme="minorEastAsia" w:cstheme="minorEastAsia"/>
                <w:color w:val="auto"/>
                <w:sz w:val="21"/>
                <w:szCs w:val="21"/>
                <w:highlight w:val="none"/>
              </w:rPr>
              <w:t>，质保期内全免费上门维修、免费更换零部件，质保期过后提供终身技术支持和维护。</w:t>
            </w:r>
          </w:p>
        </w:tc>
      </w:tr>
      <w:tr w14:paraId="4E1F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shd w:val="clear" w:color="auto" w:fill="auto"/>
            <w:vAlign w:val="center"/>
          </w:tcPr>
          <w:p w14:paraId="4891CE8A">
            <w:pPr>
              <w:widowControl/>
              <w:snapToGrid w:val="0"/>
              <w:spacing w:line="400" w:lineRule="exact"/>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Cs w:val="21"/>
                <w:highlight w:val="none"/>
              </w:rPr>
              <w:t>产品质量与售后服务要求</w:t>
            </w:r>
          </w:p>
        </w:tc>
        <w:tc>
          <w:tcPr>
            <w:tcW w:w="14624" w:type="dxa"/>
            <w:shd w:val="clear" w:color="auto" w:fill="auto"/>
            <w:vAlign w:val="center"/>
          </w:tcPr>
          <w:p w14:paraId="4011C85E">
            <w:pPr>
              <w:widowControl/>
              <w:snapToGrid w:val="0"/>
              <w:spacing w:line="400" w:lineRule="exact"/>
              <w:jc w:val="left"/>
              <w:textAlignment w:val="center"/>
              <w:rPr>
                <w:rFonts w:hint="eastAsia" w:ascii="宋体" w:hAnsi="宋体" w:eastAsia="宋体" w:cs="宋体"/>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所投产品必须能实质性响应采购要求（所投产品应完全满足或优于采购参数要求），供货时能按照采购需求的要求提供厂家的供货证明和售后服务承诺书原件，避免假冒伪劣产品。对不能满足参数要求虚假响应，采购人可作废标处理，并依法向供应商追究违约责任。</w:t>
            </w:r>
          </w:p>
          <w:p w14:paraId="47281F61">
            <w:pPr>
              <w:widowControl/>
              <w:snapToGrid w:val="0"/>
              <w:spacing w:line="400" w:lineRule="exact"/>
              <w:jc w:val="left"/>
              <w:textAlignment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故障响应时间：成交供应商收到采购人的故障维修通知后30分钟内电话服务应答，2小时内到达现场进行维修，4小时内排除故障，如24小时内无法修复的，质保期内成交供应商应无条件更换新设备或提供代用设备，或采取使设备可正常运转的措施。</w:t>
            </w:r>
          </w:p>
        </w:tc>
      </w:tr>
      <w:tr w14:paraId="118B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shd w:val="clear" w:color="auto" w:fill="auto"/>
            <w:vAlign w:val="center"/>
          </w:tcPr>
          <w:p w14:paraId="2DBED3ED">
            <w:pPr>
              <w:spacing w:line="400" w:lineRule="exact"/>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实施和安装要求</w:t>
            </w:r>
          </w:p>
        </w:tc>
        <w:tc>
          <w:tcPr>
            <w:tcW w:w="14624" w:type="dxa"/>
            <w:shd w:val="clear" w:color="auto" w:fill="auto"/>
            <w:vAlign w:val="center"/>
          </w:tcPr>
          <w:p w14:paraId="4DFD51E1">
            <w:p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本项目为交钥匙工程，成交后，供应商需应严格按竞标产品的安装规范要求进行安装调试，保证设备正常运行，质量合格。</w:t>
            </w:r>
          </w:p>
          <w:p w14:paraId="3897F2EA">
            <w:p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（1）根据采购要求的工期提供项目实施方案及进度安排计划表；</w:t>
            </w:r>
          </w:p>
          <w:p w14:paraId="248AD737">
            <w:pPr>
              <w:spacing w:line="400" w:lineRule="exact"/>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color w:val="auto"/>
                <w:szCs w:val="21"/>
                <w:highlight w:val="none"/>
              </w:rPr>
              <w:t>供应商必须服从采购单位现场负责人的指挥，按指定地点进行设备安装、调试，确保设备安装符合国家现行技术规范标准；</w:t>
            </w:r>
          </w:p>
          <w:p w14:paraId="726392B3">
            <w:p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（3）安装过程中的所有安全保障由供应商自行负责；</w:t>
            </w:r>
          </w:p>
          <w:p w14:paraId="1A4230A6">
            <w:pPr>
              <w:spacing w:line="400" w:lineRule="exact"/>
              <w:rPr>
                <w:rFonts w:hint="eastAsia" w:ascii="宋体" w:hAnsi="宋体" w:eastAsia="宋体" w:cs="宋体"/>
                <w:color w:val="auto"/>
                <w:kern w:val="0"/>
                <w:sz w:val="21"/>
                <w:szCs w:val="21"/>
                <w:highlight w:val="none"/>
                <w:lang w:val="zh-CN" w:eastAsia="zh-CN" w:bidi="ar-SA"/>
              </w:rPr>
            </w:pP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zh-CN"/>
              </w:rPr>
              <w:t>）项目实施过程中产生的垃圾废料由供应商负责清理至校外。</w:t>
            </w:r>
          </w:p>
        </w:tc>
      </w:tr>
      <w:tr w14:paraId="55B1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shd w:val="clear" w:color="auto" w:fill="auto"/>
            <w:vAlign w:val="center"/>
          </w:tcPr>
          <w:p w14:paraId="6C362CE8">
            <w:pPr>
              <w:widowControl/>
              <w:snapToGrid w:val="0"/>
              <w:spacing w:line="400" w:lineRule="exact"/>
              <w:jc w:val="center"/>
              <w:textAlignment w:val="center"/>
              <w:rPr>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sz w:val="21"/>
                <w:szCs w:val="21"/>
                <w:highlight w:val="none"/>
              </w:rPr>
              <w:t>付款方式</w:t>
            </w:r>
          </w:p>
        </w:tc>
        <w:tc>
          <w:tcPr>
            <w:tcW w:w="14624" w:type="dxa"/>
            <w:shd w:val="clear" w:color="auto" w:fill="auto"/>
            <w:vAlign w:val="center"/>
          </w:tcPr>
          <w:p w14:paraId="52FA89C8">
            <w:pPr>
              <w:widowControl/>
              <w:snapToGrid w:val="0"/>
              <w:spacing w:line="400" w:lineRule="exact"/>
              <w:jc w:val="left"/>
              <w:textAlignment w:val="center"/>
              <w:rPr>
                <w:rFonts w:hint="eastAsia" w:ascii="宋体" w:hAnsi="宋体" w:eastAsia="宋体" w:cs="宋体"/>
                <w:color w:val="auto"/>
                <w:sz w:val="21"/>
                <w:szCs w:val="21"/>
                <w:highlight w:val="none"/>
                <w:lang w:val="en-US" w:eastAsia="zh-CN"/>
              </w:rPr>
            </w:pPr>
            <w:r>
              <w:rPr>
                <w:szCs w:val="21"/>
                <w:highlight w:val="none"/>
              </w:rPr>
              <w:t> </w:t>
            </w:r>
            <w:r>
              <w:rPr>
                <w:rFonts w:hint="eastAsia" w:ascii="宋体" w:hAnsi="宋体"/>
                <w:kern w:val="0"/>
                <w:szCs w:val="21"/>
                <w:highlight w:val="none"/>
              </w:rPr>
              <w:t>项目全部货物服务交付并安装调试至正常运行，经采购人最终验收合格后，中标人开具增值税专用发票给采购人，采购人在收到发票后10个工作日内一次性支付100%合同货款。</w:t>
            </w:r>
          </w:p>
        </w:tc>
      </w:tr>
      <w:tr w14:paraId="1114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shd w:val="clear" w:color="auto" w:fill="auto"/>
            <w:vAlign w:val="center"/>
          </w:tcPr>
          <w:p w14:paraId="325E5B12">
            <w:pPr>
              <w:widowControl/>
              <w:snapToGrid w:val="0"/>
              <w:spacing w:line="400" w:lineRule="exact"/>
              <w:jc w:val="center"/>
              <w:textAlignment w:val="center"/>
              <w:rPr>
                <w:rFonts w:hint="eastAsia" w:ascii="宋体" w:hAnsi="宋体" w:eastAsia="宋体" w:cs="宋体"/>
                <w:color w:val="auto"/>
                <w:kern w:val="2"/>
                <w:sz w:val="21"/>
                <w:szCs w:val="21"/>
                <w:highlight w:val="none"/>
                <w:lang w:val="en-US" w:eastAsia="zh-CN" w:bidi="ar-SA"/>
              </w:rPr>
            </w:pPr>
            <w:r>
              <w:rPr>
                <w:rStyle w:val="14"/>
                <w:rFonts w:hint="eastAsia" w:ascii="宋体" w:hAnsi="宋体" w:eastAsia="宋体" w:cs="宋体"/>
                <w:color w:val="auto"/>
                <w:sz w:val="21"/>
                <w:szCs w:val="21"/>
                <w:highlight w:val="none"/>
              </w:rPr>
              <w:t>验收要求</w:t>
            </w:r>
          </w:p>
        </w:tc>
        <w:tc>
          <w:tcPr>
            <w:tcW w:w="14624" w:type="dxa"/>
            <w:shd w:val="clear" w:color="auto" w:fill="auto"/>
            <w:vAlign w:val="center"/>
          </w:tcPr>
          <w:p w14:paraId="1EE60033">
            <w:pPr>
              <w:widowControl/>
              <w:snapToGrid w:val="0"/>
              <w:spacing w:line="400" w:lineRule="exact"/>
              <w:ind w:firstLine="420" w:firstLineChars="200"/>
              <w:jc w:val="left"/>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1、验收标准：按合同要求及国家标准进行验收。验收时，采购人将严格按照合同要求及国家标准进行验收，对照采购文件的功能目标及技术指标全面核对检验，对所有要求出具的证明文件的原件进行核查（如有）。如交付产品不能满足采购要求和合同约定质量标准的视为验收不合格，按相关规定做退货处理及违约处理，成交供应商承担所有责任和费用，采购人保留进一步追究责任的权利。 </w:t>
            </w:r>
          </w:p>
          <w:p w14:paraId="1EC41D59">
            <w:pPr>
              <w:widowControl/>
              <w:snapToGrid w:val="0"/>
              <w:spacing w:line="400" w:lineRule="exact"/>
              <w:ind w:firstLine="420" w:firstLineChars="200"/>
              <w:jc w:val="left"/>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供应商完成设备安装与调试后，需对拟交付的合同成果及其组件进行自检并提出书面验收申请，经采购人同意后共同组织验收，签写相应验收意见并签名确认。如对验收存在异议的，可聘请第三方按合同约定组织验收，所有费用由成交供应商负责。</w:t>
            </w:r>
          </w:p>
          <w:p w14:paraId="344AE140">
            <w:pPr>
              <w:widowControl/>
              <w:snapToGrid w:val="0"/>
              <w:spacing w:line="400" w:lineRule="exact"/>
              <w:ind w:firstLine="420" w:firstLineChars="200"/>
              <w:jc w:val="left"/>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3、货物（设备）验收合格，项目约定产品或服务方可正式交接，双方对相关货物清单、随机附件及验收结论意见书等书面材料进行清点签字后，作为项目的最终验收。</w:t>
            </w:r>
          </w:p>
          <w:p w14:paraId="70F06C5C">
            <w:pPr>
              <w:widowControl/>
              <w:snapToGrid w:val="0"/>
              <w:spacing w:line="400" w:lineRule="exact"/>
              <w:ind w:firstLine="420" w:firstLineChars="200"/>
              <w:jc w:val="left"/>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4、验收费用：验收所产生的劳务费、检验费及相关发生的全部费用均由成交人承担。</w:t>
            </w:r>
          </w:p>
        </w:tc>
      </w:tr>
      <w:tr w14:paraId="3AC5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shd w:val="clear" w:color="auto" w:fill="auto"/>
            <w:vAlign w:val="center"/>
          </w:tcPr>
          <w:p w14:paraId="2982A134">
            <w:pPr>
              <w:widowControl/>
              <w:snapToGrid w:val="0"/>
              <w:spacing w:line="400" w:lineRule="exact"/>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Cs w:val="21"/>
                <w:highlight w:val="none"/>
              </w:rPr>
              <w:t>其他要求</w:t>
            </w:r>
          </w:p>
        </w:tc>
        <w:tc>
          <w:tcPr>
            <w:tcW w:w="14624" w:type="dxa"/>
            <w:shd w:val="clear" w:color="auto" w:fill="auto"/>
            <w:vAlign w:val="center"/>
          </w:tcPr>
          <w:p w14:paraId="4E6B1206">
            <w:pPr>
              <w:autoSpaceDE w:val="0"/>
              <w:autoSpaceDN w:val="0"/>
              <w:adjustRightInd w:val="0"/>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1、供应商必须实质性响应本项目标注“▲”的技术参数要求，不允许负偏离，对技术参数要求中非标注“▲”的技术参数负偏离项数</w:t>
            </w:r>
            <w:r>
              <w:rPr>
                <w:rFonts w:hint="eastAsia" w:ascii="宋体" w:hAnsi="宋体" w:eastAsia="宋体" w:cs="宋体"/>
                <w:color w:val="auto"/>
                <w:szCs w:val="21"/>
                <w:highlight w:val="none"/>
                <w:lang w:val="en-US" w:eastAsia="zh-CN"/>
              </w:rPr>
              <w:t>不超过</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项</w:t>
            </w:r>
            <w:r>
              <w:rPr>
                <w:rFonts w:hint="eastAsia" w:ascii="宋体" w:hAnsi="宋体" w:eastAsia="宋体" w:cs="宋体"/>
                <w:color w:val="auto"/>
                <w:szCs w:val="21"/>
                <w:highlight w:val="none"/>
                <w:lang w:val="en-US" w:eastAsia="zh-CN"/>
              </w:rPr>
              <w:t>，否则视为无效响应。投标时，供应商所投产品须满足或优于技术参数配置要求【需提供《商务、技术响应、偏离情况说明表》（格式自拟）、《竞标报价表》和投标产品的《技术参数配置清单》（格式见附件）及检测报告复印件等相关佐证材料，以上材料加盖供应商公章】， 否则视为无效响应。</w:t>
            </w:r>
          </w:p>
          <w:p w14:paraId="0D81F7CC">
            <w:pPr>
              <w:autoSpaceDE w:val="0"/>
              <w:autoSpaceDN w:val="0"/>
              <w:adjustRightInd w:val="0"/>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2、根据《财政部 发展改革委 生态环境部 市场监管总局关于调整优化节能产品、环境标志产品政府采购执行机制的通知》（财库〔2019〕9 号）和《关于印发节能产品政府采购品目清单的通知》（财库〔2019〕19 号）的规定，本项目采购的产品如属于节能产品政府采购品目清单内标注“</w:t>
            </w:r>
            <w:r>
              <w:rPr>
                <w:rFonts w:hint="eastAsia" w:ascii="宋体" w:hAnsi="宋体" w:cs="宋体"/>
                <w:b w:val="0"/>
                <w:bCs w:val="0"/>
                <w:color w:val="auto"/>
                <w:kern w:val="0"/>
                <w:sz w:val="20"/>
                <w:szCs w:val="20"/>
                <w:highlight w:val="none"/>
                <w:lang w:val="en-US" w:eastAsia="zh-CN"/>
              </w:rPr>
              <w:t>★</w:t>
            </w:r>
            <w:r>
              <w:rPr>
                <w:rFonts w:hint="eastAsia" w:ascii="宋体" w:hAnsi="宋体" w:eastAsia="宋体" w:cs="宋体"/>
                <w:color w:val="auto"/>
                <w:szCs w:val="21"/>
                <w:highlight w:val="none"/>
                <w:lang w:val="en-US" w:eastAsia="zh-CN"/>
              </w:rPr>
              <w:t>”的产品的，供应商的竞标货物必须使用政府强制采购的节能产品，竞标时须提供国家确定的认证机构出具的、处于有效期之内的有效的节能产品认证证书复印件并加盖供应商公章，否则响应文件作无效竞标处理。</w:t>
            </w:r>
          </w:p>
          <w:p w14:paraId="234862E8">
            <w:pPr>
              <w:autoSpaceDE w:val="0"/>
              <w:autoSpaceDN w:val="0"/>
              <w:adjustRightInd w:val="0"/>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供应商在参与竞标报价前需仔细阅读项目采购的技术及商务要求，评估自身履约能力，谢绝恶意低价、不按要求报价、中标后无故放弃、不按合同履行等违约行为。对出现此类行为的成交供应商，将根据在线竞价违约处理规则，依法依规提请政采云平台进行处罚，并保留依法追究违约责任的权利，供应商的违约行为列入不良记录记入政府采购诚信档案。采购单位有权将在线询价单中的商务要求列入合同条款，否则有权拒签合同。</w:t>
            </w:r>
          </w:p>
          <w:p w14:paraId="72C7B0A5">
            <w:pPr>
              <w:autoSpaceDE w:val="0"/>
              <w:autoSpaceDN w:val="0"/>
              <w:adjustRightInd w:val="0"/>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中标公示期内若有其他供应商质疑情况下，中标单位必须提供与标书技术要求及功能符合的样品一套至采购人处进行整体性能与标书文件核对，协助质疑答复。如出现所提供样品不符招标要求或无法提供样品，均视为虚假应标处理并根据招标法及标书要求追究法律责任。</w:t>
            </w:r>
          </w:p>
        </w:tc>
      </w:tr>
    </w:tbl>
    <w:p w14:paraId="7FFFC522">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42380685">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399A27B2">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74C1ECEB">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2D39C015">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47AC602F">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4AB17D94">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056EEC4B">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03C87BBE">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73D51DF5">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6C6627BF">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6FC5D3A1">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0C53793A">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056D3992">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579234A8">
      <w:pPr>
        <w:keepNext w:val="0"/>
        <w:keepLines w:val="0"/>
        <w:pageBreakBefore w:val="0"/>
        <w:widowControl/>
        <w:kinsoku/>
        <w:wordWrap/>
        <w:overflowPunct/>
        <w:topLinePunct w:val="0"/>
        <w:autoSpaceDE/>
        <w:autoSpaceDN/>
        <w:bidi w:val="0"/>
        <w:spacing w:line="288" w:lineRule="auto"/>
        <w:jc w:val="left"/>
        <w:textAlignment w:val="auto"/>
        <w:rPr>
          <w:rFonts w:hint="eastAsia" w:ascii="宋体" w:hAnsi="宋体" w:eastAsia="宋体" w:cs="宋体"/>
          <w:color w:val="auto"/>
          <w:sz w:val="21"/>
          <w:szCs w:val="21"/>
          <w:highlight w:val="none"/>
          <w:lang w:val="en-US" w:eastAsia="zh-CN"/>
        </w:rPr>
      </w:pPr>
    </w:p>
    <w:p w14:paraId="3E626ABD">
      <w:pPr>
        <w:rPr>
          <w:color w:val="auto"/>
          <w:highlight w:val="none"/>
        </w:rPr>
      </w:pPr>
      <w:r>
        <w:rPr>
          <w:rFonts w:hint="eastAsia"/>
          <w:color w:val="auto"/>
          <w:highlight w:val="none"/>
        </w:rPr>
        <w:t>附件</w:t>
      </w:r>
    </w:p>
    <w:p w14:paraId="60A5A090">
      <w:pPr>
        <w:tabs>
          <w:tab w:val="left" w:pos="3479"/>
        </w:tabs>
        <w:spacing w:line="520" w:lineRule="exact"/>
        <w:jc w:val="center"/>
        <w:rPr>
          <w:rFonts w:hint="eastAsia" w:asciiTheme="minorEastAsia" w:hAnsiTheme="minorEastAsia" w:cstheme="minorEastAsia"/>
          <w:b/>
          <w:color w:val="auto"/>
          <w:sz w:val="32"/>
          <w:szCs w:val="32"/>
          <w:highlight w:val="none"/>
        </w:rPr>
      </w:pPr>
      <w:r>
        <w:rPr>
          <w:rFonts w:hint="eastAsia" w:asciiTheme="minorEastAsia" w:hAnsiTheme="minorEastAsia" w:cstheme="minorEastAsia"/>
          <w:b/>
          <w:color w:val="auto"/>
          <w:sz w:val="44"/>
          <w:szCs w:val="44"/>
          <w:highlight w:val="none"/>
        </w:rPr>
        <w:t>竞  标  报  价  表</w:t>
      </w:r>
    </w:p>
    <w:p w14:paraId="4D0D8E3A">
      <w:pPr>
        <w:spacing w:line="520" w:lineRule="exact"/>
        <w:jc w:val="center"/>
        <w:rPr>
          <w:rFonts w:hint="eastAsia" w:ascii="方正小标宋简体" w:hAnsi="方正小标宋简体" w:eastAsia="方正小标宋简体" w:cs="方正小标宋简体"/>
          <w:bCs/>
          <w:color w:val="auto"/>
          <w:sz w:val="32"/>
          <w:szCs w:val="32"/>
          <w:highlight w:val="none"/>
        </w:rPr>
      </w:pPr>
    </w:p>
    <w:p w14:paraId="1C161FB7">
      <w:pPr>
        <w:snapToGrid w:val="0"/>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项目名称：                                                                                    单位：元</w:t>
      </w:r>
    </w:p>
    <w:tbl>
      <w:tblPr>
        <w:tblStyle w:val="6"/>
        <w:tblW w:w="1451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8"/>
        <w:gridCol w:w="4343"/>
        <w:gridCol w:w="2865"/>
        <w:gridCol w:w="1050"/>
        <w:gridCol w:w="1590"/>
        <w:gridCol w:w="1445"/>
        <w:gridCol w:w="2383"/>
      </w:tblGrid>
      <w:tr w14:paraId="529E61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838" w:type="dxa"/>
            <w:tcBorders>
              <w:top w:val="single" w:color="auto" w:sz="4" w:space="0"/>
              <w:left w:val="single" w:color="auto" w:sz="4" w:space="0"/>
              <w:bottom w:val="single" w:color="auto" w:sz="4" w:space="0"/>
              <w:right w:val="single" w:color="auto" w:sz="4" w:space="0"/>
            </w:tcBorders>
            <w:vAlign w:val="center"/>
          </w:tcPr>
          <w:p w14:paraId="17CB5E63">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项号</w:t>
            </w:r>
          </w:p>
        </w:tc>
        <w:tc>
          <w:tcPr>
            <w:tcW w:w="4343" w:type="dxa"/>
            <w:tcBorders>
              <w:top w:val="single" w:color="auto" w:sz="4" w:space="0"/>
              <w:left w:val="single" w:color="auto" w:sz="4" w:space="0"/>
              <w:bottom w:val="single" w:color="auto" w:sz="4" w:space="0"/>
              <w:right w:val="single" w:color="auto" w:sz="4" w:space="0"/>
            </w:tcBorders>
            <w:vAlign w:val="center"/>
          </w:tcPr>
          <w:p w14:paraId="6FF0CA90">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货物名称</w:t>
            </w:r>
          </w:p>
        </w:tc>
        <w:tc>
          <w:tcPr>
            <w:tcW w:w="2865" w:type="dxa"/>
            <w:tcBorders>
              <w:top w:val="single" w:color="auto" w:sz="4" w:space="0"/>
              <w:left w:val="single" w:color="auto" w:sz="4" w:space="0"/>
              <w:bottom w:val="single" w:color="auto" w:sz="4" w:space="0"/>
              <w:right w:val="single" w:color="auto" w:sz="4" w:space="0"/>
            </w:tcBorders>
            <w:vAlign w:val="center"/>
          </w:tcPr>
          <w:p w14:paraId="0397E4E9">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品牌</w:t>
            </w:r>
          </w:p>
        </w:tc>
        <w:tc>
          <w:tcPr>
            <w:tcW w:w="1050" w:type="dxa"/>
            <w:tcBorders>
              <w:top w:val="single" w:color="auto" w:sz="4" w:space="0"/>
              <w:left w:val="single" w:color="auto" w:sz="4" w:space="0"/>
              <w:bottom w:val="single" w:color="auto" w:sz="4" w:space="0"/>
              <w:right w:val="single" w:color="auto" w:sz="4" w:space="0"/>
            </w:tcBorders>
            <w:vAlign w:val="center"/>
          </w:tcPr>
          <w:p w14:paraId="75357603">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单位</w:t>
            </w:r>
          </w:p>
        </w:tc>
        <w:tc>
          <w:tcPr>
            <w:tcW w:w="1590" w:type="dxa"/>
            <w:tcBorders>
              <w:top w:val="single" w:color="auto" w:sz="4" w:space="0"/>
              <w:left w:val="single" w:color="auto" w:sz="4" w:space="0"/>
              <w:bottom w:val="single" w:color="auto" w:sz="4" w:space="0"/>
              <w:right w:val="single" w:color="auto" w:sz="4" w:space="0"/>
            </w:tcBorders>
            <w:vAlign w:val="center"/>
          </w:tcPr>
          <w:p w14:paraId="1EFD5A36">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数量</w:t>
            </w:r>
          </w:p>
          <w:p w14:paraId="787A8CAD">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①</w:t>
            </w:r>
          </w:p>
        </w:tc>
        <w:tc>
          <w:tcPr>
            <w:tcW w:w="1445" w:type="dxa"/>
            <w:tcBorders>
              <w:top w:val="single" w:color="auto" w:sz="4" w:space="0"/>
              <w:left w:val="single" w:color="auto" w:sz="4" w:space="0"/>
              <w:bottom w:val="single" w:color="auto" w:sz="4" w:space="0"/>
              <w:right w:val="single" w:color="auto" w:sz="4" w:space="0"/>
            </w:tcBorders>
            <w:vAlign w:val="center"/>
          </w:tcPr>
          <w:p w14:paraId="1073B87E">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单价</w:t>
            </w:r>
          </w:p>
          <w:p w14:paraId="42798620">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②</w:t>
            </w:r>
          </w:p>
        </w:tc>
        <w:tc>
          <w:tcPr>
            <w:tcW w:w="2383" w:type="dxa"/>
            <w:tcBorders>
              <w:top w:val="single" w:color="auto" w:sz="4" w:space="0"/>
              <w:left w:val="single" w:color="auto" w:sz="4" w:space="0"/>
              <w:bottom w:val="single" w:color="auto" w:sz="4" w:space="0"/>
              <w:right w:val="single" w:color="auto" w:sz="4" w:space="0"/>
            </w:tcBorders>
            <w:vAlign w:val="center"/>
          </w:tcPr>
          <w:p w14:paraId="4B1B56FC">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竞标报价</w:t>
            </w:r>
          </w:p>
          <w:p w14:paraId="72E4E7D2">
            <w:pPr>
              <w:spacing w:line="360" w:lineRule="exact"/>
              <w:jc w:val="center"/>
              <w:rPr>
                <w:rFonts w:hint="eastAsia" w:ascii="宋体" w:hAnsi="宋体" w:cs="仿宋_GB2312"/>
                <w:b/>
                <w:bCs/>
                <w:color w:val="auto"/>
                <w:szCs w:val="21"/>
                <w:highlight w:val="none"/>
              </w:rPr>
            </w:pPr>
            <w:r>
              <w:rPr>
                <w:rFonts w:hint="eastAsia" w:ascii="宋体" w:hAnsi="宋体" w:cs="仿宋_GB2312"/>
                <w:b/>
                <w:bCs/>
                <w:color w:val="auto"/>
                <w:szCs w:val="21"/>
                <w:highlight w:val="none"/>
              </w:rPr>
              <w:t>③=①×②</w:t>
            </w:r>
          </w:p>
        </w:tc>
      </w:tr>
      <w:tr w14:paraId="73C8AA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vAlign w:val="center"/>
          </w:tcPr>
          <w:p w14:paraId="21028E75">
            <w:pPr>
              <w:spacing w:line="360" w:lineRule="auto"/>
              <w:jc w:val="center"/>
              <w:rPr>
                <w:rFonts w:hint="eastAsia" w:ascii="宋体" w:hAnsi="宋体" w:cs="仿宋_GB2312"/>
                <w:color w:val="auto"/>
                <w:szCs w:val="21"/>
                <w:highlight w:val="none"/>
              </w:rPr>
            </w:pPr>
            <w:r>
              <w:rPr>
                <w:rFonts w:hint="eastAsia" w:ascii="宋体" w:hAnsi="宋体" w:cs="仿宋_GB2312"/>
                <w:color w:val="auto"/>
                <w:szCs w:val="21"/>
                <w:highlight w:val="none"/>
              </w:rPr>
              <w:t>1</w:t>
            </w:r>
          </w:p>
        </w:tc>
        <w:tc>
          <w:tcPr>
            <w:tcW w:w="4343" w:type="dxa"/>
            <w:tcBorders>
              <w:top w:val="single" w:color="auto" w:sz="4" w:space="0"/>
              <w:left w:val="single" w:color="auto" w:sz="4" w:space="0"/>
              <w:bottom w:val="single" w:color="auto" w:sz="4" w:space="0"/>
              <w:right w:val="single" w:color="auto" w:sz="4" w:space="0"/>
            </w:tcBorders>
            <w:vAlign w:val="center"/>
          </w:tcPr>
          <w:p w14:paraId="7A1FDE31">
            <w:pPr>
              <w:spacing w:line="360" w:lineRule="auto"/>
              <w:jc w:val="center"/>
              <w:rPr>
                <w:rFonts w:hint="eastAsia" w:ascii="宋体" w:hAnsi="宋体" w:cs="仿宋_GB2312"/>
                <w:color w:val="auto"/>
                <w:szCs w:val="21"/>
                <w:highlight w:val="none"/>
              </w:rPr>
            </w:pPr>
          </w:p>
        </w:tc>
        <w:tc>
          <w:tcPr>
            <w:tcW w:w="2865" w:type="dxa"/>
            <w:tcBorders>
              <w:top w:val="single" w:color="auto" w:sz="4" w:space="0"/>
              <w:left w:val="single" w:color="auto" w:sz="4" w:space="0"/>
              <w:bottom w:val="single" w:color="auto" w:sz="4" w:space="0"/>
              <w:right w:val="single" w:color="auto" w:sz="4" w:space="0"/>
            </w:tcBorders>
            <w:vAlign w:val="center"/>
          </w:tcPr>
          <w:p w14:paraId="339BE6C7">
            <w:pPr>
              <w:spacing w:line="360" w:lineRule="auto"/>
              <w:jc w:val="center"/>
              <w:rPr>
                <w:rFonts w:hint="eastAsia" w:ascii="宋体" w:hAnsi="宋体" w:cs="仿宋_GB2312"/>
                <w:color w:val="auto"/>
                <w:szCs w:val="21"/>
                <w:highlight w:val="none"/>
              </w:rPr>
            </w:pPr>
          </w:p>
        </w:tc>
        <w:tc>
          <w:tcPr>
            <w:tcW w:w="1050" w:type="dxa"/>
            <w:tcBorders>
              <w:top w:val="single" w:color="auto" w:sz="4" w:space="0"/>
              <w:left w:val="single" w:color="auto" w:sz="4" w:space="0"/>
              <w:bottom w:val="single" w:color="auto" w:sz="4" w:space="0"/>
              <w:right w:val="single" w:color="auto" w:sz="4" w:space="0"/>
            </w:tcBorders>
            <w:vAlign w:val="center"/>
          </w:tcPr>
          <w:p w14:paraId="7EF12633">
            <w:pPr>
              <w:spacing w:line="360" w:lineRule="exact"/>
              <w:jc w:val="center"/>
              <w:rPr>
                <w:rFonts w:hint="eastAsia" w:ascii="宋体" w:hAnsi="宋体" w:eastAsia="宋体" w:cs="仿宋_GB2312"/>
                <w:b/>
                <w:bCs/>
                <w:color w:val="auto"/>
                <w:szCs w:val="21"/>
                <w:highlight w:val="none"/>
                <w:lang w:val="en-US" w:eastAsia="zh-CN"/>
              </w:rPr>
            </w:pPr>
            <w:r>
              <w:rPr>
                <w:rFonts w:hint="eastAsia" w:ascii="宋体" w:hAnsi="宋体" w:cs="仿宋_GB2312"/>
                <w:b/>
                <w:bCs/>
                <w:color w:val="auto"/>
                <w:szCs w:val="21"/>
                <w:highlight w:val="none"/>
                <w:lang w:val="en-US" w:eastAsia="zh-CN"/>
              </w:rPr>
              <w:t>套</w:t>
            </w:r>
          </w:p>
        </w:tc>
        <w:tc>
          <w:tcPr>
            <w:tcW w:w="1590" w:type="dxa"/>
            <w:tcBorders>
              <w:top w:val="single" w:color="auto" w:sz="4" w:space="0"/>
              <w:left w:val="single" w:color="auto" w:sz="4" w:space="0"/>
              <w:bottom w:val="single" w:color="auto" w:sz="4" w:space="0"/>
              <w:right w:val="single" w:color="auto" w:sz="4" w:space="0"/>
            </w:tcBorders>
            <w:vAlign w:val="center"/>
          </w:tcPr>
          <w:p w14:paraId="04535E6E">
            <w:pPr>
              <w:spacing w:line="360" w:lineRule="exact"/>
              <w:jc w:val="center"/>
              <w:rPr>
                <w:rFonts w:hint="eastAsia" w:ascii="宋体" w:hAnsi="宋体" w:eastAsia="宋体" w:cs="仿宋_GB2312"/>
                <w:b/>
                <w:bCs/>
                <w:color w:val="auto"/>
                <w:szCs w:val="21"/>
                <w:highlight w:val="none"/>
                <w:lang w:val="en-US" w:eastAsia="zh-CN"/>
              </w:rPr>
            </w:pPr>
            <w:r>
              <w:rPr>
                <w:rFonts w:hint="eastAsia" w:ascii="宋体" w:hAnsi="宋体" w:cs="仿宋_GB2312"/>
                <w:b/>
                <w:bCs/>
                <w:color w:val="auto"/>
                <w:szCs w:val="21"/>
                <w:highlight w:val="none"/>
                <w:lang w:val="en-US" w:eastAsia="zh-CN"/>
              </w:rPr>
              <w:t>1</w:t>
            </w:r>
          </w:p>
        </w:tc>
        <w:tc>
          <w:tcPr>
            <w:tcW w:w="1445" w:type="dxa"/>
            <w:tcBorders>
              <w:top w:val="single" w:color="auto" w:sz="4" w:space="0"/>
              <w:left w:val="single" w:color="auto" w:sz="4" w:space="0"/>
              <w:bottom w:val="single" w:color="auto" w:sz="4" w:space="0"/>
              <w:right w:val="single" w:color="auto" w:sz="4" w:space="0"/>
            </w:tcBorders>
            <w:vAlign w:val="center"/>
          </w:tcPr>
          <w:p w14:paraId="0D5A44A8">
            <w:pPr>
              <w:spacing w:line="360" w:lineRule="auto"/>
              <w:jc w:val="center"/>
              <w:rPr>
                <w:rFonts w:hint="eastAsia" w:ascii="宋体" w:hAnsi="宋体" w:cs="仿宋_GB2312"/>
                <w:color w:val="auto"/>
                <w:szCs w:val="21"/>
                <w:highlight w:val="none"/>
              </w:rPr>
            </w:pPr>
          </w:p>
        </w:tc>
        <w:tc>
          <w:tcPr>
            <w:tcW w:w="2383" w:type="dxa"/>
            <w:tcBorders>
              <w:top w:val="single" w:color="auto" w:sz="4" w:space="0"/>
              <w:left w:val="single" w:color="auto" w:sz="4" w:space="0"/>
              <w:bottom w:val="single" w:color="auto" w:sz="4" w:space="0"/>
              <w:right w:val="single" w:color="auto" w:sz="4" w:space="0"/>
            </w:tcBorders>
            <w:vAlign w:val="center"/>
          </w:tcPr>
          <w:p w14:paraId="5B089854">
            <w:pPr>
              <w:spacing w:line="360" w:lineRule="auto"/>
              <w:jc w:val="center"/>
              <w:rPr>
                <w:rFonts w:hint="eastAsia" w:ascii="宋体" w:hAnsi="宋体" w:cs="仿宋_GB2312"/>
                <w:color w:val="auto"/>
                <w:szCs w:val="21"/>
                <w:highlight w:val="none"/>
              </w:rPr>
            </w:pPr>
          </w:p>
        </w:tc>
      </w:tr>
      <w:tr w14:paraId="6262DE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vAlign w:val="center"/>
          </w:tcPr>
          <w:p w14:paraId="743A395D">
            <w:pPr>
              <w:spacing w:line="360" w:lineRule="auto"/>
              <w:jc w:val="center"/>
              <w:rPr>
                <w:rFonts w:hint="eastAsia" w:ascii="宋体" w:hAnsi="宋体" w:cs="仿宋_GB2312"/>
                <w:color w:val="auto"/>
                <w:szCs w:val="21"/>
                <w:highlight w:val="none"/>
              </w:rPr>
            </w:pPr>
            <w:r>
              <w:rPr>
                <w:rFonts w:hint="eastAsia" w:ascii="宋体" w:hAnsi="宋体" w:cs="仿宋_GB2312"/>
                <w:color w:val="auto"/>
                <w:szCs w:val="21"/>
                <w:highlight w:val="none"/>
              </w:rPr>
              <w:t>2</w:t>
            </w:r>
          </w:p>
        </w:tc>
        <w:tc>
          <w:tcPr>
            <w:tcW w:w="4343" w:type="dxa"/>
            <w:tcBorders>
              <w:top w:val="single" w:color="auto" w:sz="4" w:space="0"/>
              <w:left w:val="single" w:color="auto" w:sz="4" w:space="0"/>
              <w:bottom w:val="single" w:color="auto" w:sz="4" w:space="0"/>
              <w:right w:val="single" w:color="auto" w:sz="4" w:space="0"/>
            </w:tcBorders>
            <w:vAlign w:val="center"/>
          </w:tcPr>
          <w:p w14:paraId="78B7AC7A">
            <w:pPr>
              <w:spacing w:line="360" w:lineRule="auto"/>
              <w:jc w:val="center"/>
              <w:rPr>
                <w:rFonts w:hint="eastAsia" w:ascii="宋体" w:hAnsi="宋体" w:cs="仿宋_GB2312"/>
                <w:color w:val="auto"/>
                <w:szCs w:val="21"/>
                <w:highlight w:val="none"/>
              </w:rPr>
            </w:pPr>
          </w:p>
        </w:tc>
        <w:tc>
          <w:tcPr>
            <w:tcW w:w="2865" w:type="dxa"/>
            <w:tcBorders>
              <w:top w:val="single" w:color="auto" w:sz="4" w:space="0"/>
              <w:left w:val="single" w:color="auto" w:sz="4" w:space="0"/>
              <w:bottom w:val="single" w:color="auto" w:sz="4" w:space="0"/>
              <w:right w:val="single" w:color="auto" w:sz="4" w:space="0"/>
            </w:tcBorders>
            <w:vAlign w:val="center"/>
          </w:tcPr>
          <w:p w14:paraId="3960C2BA">
            <w:pPr>
              <w:spacing w:line="360" w:lineRule="auto"/>
              <w:jc w:val="center"/>
              <w:rPr>
                <w:rFonts w:hint="eastAsia" w:ascii="宋体" w:hAnsi="宋体" w:cs="仿宋_GB2312"/>
                <w:color w:val="auto"/>
                <w:szCs w:val="21"/>
                <w:highlight w:val="none"/>
              </w:rPr>
            </w:pPr>
          </w:p>
        </w:tc>
        <w:tc>
          <w:tcPr>
            <w:tcW w:w="1050" w:type="dxa"/>
            <w:tcBorders>
              <w:top w:val="single" w:color="auto" w:sz="4" w:space="0"/>
              <w:left w:val="single" w:color="auto" w:sz="4" w:space="0"/>
              <w:bottom w:val="single" w:color="auto" w:sz="4" w:space="0"/>
              <w:right w:val="single" w:color="auto" w:sz="4" w:space="0"/>
            </w:tcBorders>
            <w:vAlign w:val="center"/>
          </w:tcPr>
          <w:p w14:paraId="501B1D88">
            <w:pPr>
              <w:spacing w:line="360" w:lineRule="exact"/>
              <w:jc w:val="center"/>
              <w:rPr>
                <w:rFonts w:hint="eastAsia" w:ascii="宋体" w:hAnsi="宋体" w:cs="仿宋_GB2312"/>
                <w:b/>
                <w:bCs/>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vAlign w:val="center"/>
          </w:tcPr>
          <w:p w14:paraId="3B48BA95">
            <w:pPr>
              <w:spacing w:line="360" w:lineRule="exact"/>
              <w:jc w:val="center"/>
              <w:rPr>
                <w:rFonts w:hint="eastAsia" w:ascii="宋体" w:hAnsi="宋体" w:cs="仿宋_GB2312"/>
                <w:b/>
                <w:bCs/>
                <w:color w:val="auto"/>
                <w:szCs w:val="21"/>
                <w:highlight w:val="none"/>
              </w:rPr>
            </w:pPr>
          </w:p>
        </w:tc>
        <w:tc>
          <w:tcPr>
            <w:tcW w:w="1445" w:type="dxa"/>
            <w:tcBorders>
              <w:top w:val="single" w:color="auto" w:sz="4" w:space="0"/>
              <w:left w:val="single" w:color="auto" w:sz="4" w:space="0"/>
              <w:bottom w:val="single" w:color="auto" w:sz="4" w:space="0"/>
              <w:right w:val="single" w:color="auto" w:sz="4" w:space="0"/>
            </w:tcBorders>
            <w:vAlign w:val="center"/>
          </w:tcPr>
          <w:p w14:paraId="702AA73D">
            <w:pPr>
              <w:spacing w:line="360" w:lineRule="auto"/>
              <w:jc w:val="center"/>
              <w:rPr>
                <w:rFonts w:hint="eastAsia" w:ascii="宋体" w:hAnsi="宋体" w:cs="仿宋_GB2312"/>
                <w:color w:val="auto"/>
                <w:szCs w:val="21"/>
                <w:highlight w:val="none"/>
              </w:rPr>
            </w:pPr>
          </w:p>
        </w:tc>
        <w:tc>
          <w:tcPr>
            <w:tcW w:w="2383" w:type="dxa"/>
            <w:tcBorders>
              <w:top w:val="single" w:color="auto" w:sz="4" w:space="0"/>
              <w:left w:val="single" w:color="auto" w:sz="4" w:space="0"/>
              <w:bottom w:val="single" w:color="auto" w:sz="4" w:space="0"/>
              <w:right w:val="single" w:color="auto" w:sz="4" w:space="0"/>
            </w:tcBorders>
            <w:vAlign w:val="center"/>
          </w:tcPr>
          <w:p w14:paraId="2F5EC972">
            <w:pPr>
              <w:spacing w:line="360" w:lineRule="auto"/>
              <w:jc w:val="center"/>
              <w:rPr>
                <w:rFonts w:hint="eastAsia" w:ascii="宋体" w:hAnsi="宋体" w:cs="仿宋_GB2312"/>
                <w:color w:val="auto"/>
                <w:szCs w:val="21"/>
                <w:highlight w:val="none"/>
              </w:rPr>
            </w:pPr>
          </w:p>
        </w:tc>
      </w:tr>
      <w:tr w14:paraId="2D73B3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vAlign w:val="center"/>
          </w:tcPr>
          <w:p w14:paraId="06055889">
            <w:pPr>
              <w:spacing w:line="360" w:lineRule="auto"/>
              <w:jc w:val="center"/>
              <w:rPr>
                <w:rFonts w:hint="eastAsia" w:ascii="宋体" w:hAnsi="宋体" w:cs="仿宋_GB2312"/>
                <w:color w:val="auto"/>
                <w:szCs w:val="21"/>
                <w:highlight w:val="none"/>
              </w:rPr>
            </w:pPr>
            <w:r>
              <w:rPr>
                <w:rFonts w:hint="eastAsia" w:ascii="宋体" w:hAnsi="宋体" w:cs="仿宋_GB2312"/>
                <w:color w:val="auto"/>
                <w:szCs w:val="21"/>
                <w:highlight w:val="none"/>
              </w:rPr>
              <w:t>…</w:t>
            </w:r>
          </w:p>
        </w:tc>
        <w:tc>
          <w:tcPr>
            <w:tcW w:w="4343" w:type="dxa"/>
            <w:tcBorders>
              <w:top w:val="single" w:color="auto" w:sz="4" w:space="0"/>
              <w:left w:val="single" w:color="auto" w:sz="4" w:space="0"/>
              <w:bottom w:val="single" w:color="auto" w:sz="4" w:space="0"/>
              <w:right w:val="single" w:color="auto" w:sz="4" w:space="0"/>
            </w:tcBorders>
            <w:vAlign w:val="center"/>
          </w:tcPr>
          <w:p w14:paraId="16223067">
            <w:pPr>
              <w:spacing w:line="360" w:lineRule="auto"/>
              <w:jc w:val="center"/>
              <w:rPr>
                <w:rFonts w:hint="eastAsia" w:ascii="宋体" w:hAnsi="宋体" w:cs="仿宋_GB2312"/>
                <w:color w:val="auto"/>
                <w:szCs w:val="21"/>
                <w:highlight w:val="none"/>
              </w:rPr>
            </w:pPr>
            <w:r>
              <w:rPr>
                <w:rFonts w:hint="eastAsia" w:ascii="宋体" w:hAnsi="宋体" w:cs="仿宋_GB2312"/>
                <w:color w:val="auto"/>
                <w:szCs w:val="21"/>
                <w:highlight w:val="none"/>
              </w:rPr>
              <w:t>……</w:t>
            </w:r>
          </w:p>
        </w:tc>
        <w:tc>
          <w:tcPr>
            <w:tcW w:w="2865" w:type="dxa"/>
            <w:tcBorders>
              <w:top w:val="single" w:color="auto" w:sz="4" w:space="0"/>
              <w:left w:val="single" w:color="auto" w:sz="4" w:space="0"/>
              <w:bottom w:val="single" w:color="auto" w:sz="4" w:space="0"/>
              <w:right w:val="single" w:color="auto" w:sz="4" w:space="0"/>
            </w:tcBorders>
            <w:vAlign w:val="center"/>
          </w:tcPr>
          <w:p w14:paraId="38A78E79">
            <w:pPr>
              <w:spacing w:line="360" w:lineRule="auto"/>
              <w:jc w:val="center"/>
              <w:rPr>
                <w:rFonts w:hint="eastAsia" w:ascii="宋体" w:hAnsi="宋体" w:cs="仿宋_GB2312"/>
                <w:color w:val="auto"/>
                <w:szCs w:val="21"/>
                <w:highlight w:val="none"/>
              </w:rPr>
            </w:pPr>
          </w:p>
        </w:tc>
        <w:tc>
          <w:tcPr>
            <w:tcW w:w="1050" w:type="dxa"/>
            <w:tcBorders>
              <w:top w:val="single" w:color="auto" w:sz="4" w:space="0"/>
              <w:left w:val="single" w:color="auto" w:sz="4" w:space="0"/>
              <w:bottom w:val="single" w:color="auto" w:sz="4" w:space="0"/>
              <w:right w:val="single" w:color="auto" w:sz="4" w:space="0"/>
            </w:tcBorders>
            <w:vAlign w:val="center"/>
          </w:tcPr>
          <w:p w14:paraId="0F11947F">
            <w:pPr>
              <w:spacing w:line="360" w:lineRule="exact"/>
              <w:jc w:val="center"/>
              <w:rPr>
                <w:rFonts w:hint="eastAsia" w:ascii="宋体" w:hAnsi="宋体" w:cs="仿宋_GB2312"/>
                <w:b/>
                <w:bCs/>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vAlign w:val="center"/>
          </w:tcPr>
          <w:p w14:paraId="307A8C20">
            <w:pPr>
              <w:spacing w:line="360" w:lineRule="exact"/>
              <w:jc w:val="center"/>
              <w:rPr>
                <w:rFonts w:hint="eastAsia" w:ascii="宋体" w:hAnsi="宋体" w:cs="仿宋_GB2312"/>
                <w:b/>
                <w:bCs/>
                <w:color w:val="auto"/>
                <w:szCs w:val="21"/>
                <w:highlight w:val="none"/>
              </w:rPr>
            </w:pPr>
          </w:p>
        </w:tc>
        <w:tc>
          <w:tcPr>
            <w:tcW w:w="1445" w:type="dxa"/>
            <w:tcBorders>
              <w:top w:val="single" w:color="auto" w:sz="4" w:space="0"/>
              <w:left w:val="single" w:color="auto" w:sz="4" w:space="0"/>
              <w:bottom w:val="single" w:color="auto" w:sz="4" w:space="0"/>
              <w:right w:val="single" w:color="auto" w:sz="4" w:space="0"/>
            </w:tcBorders>
            <w:vAlign w:val="center"/>
          </w:tcPr>
          <w:p w14:paraId="685E861C">
            <w:pPr>
              <w:spacing w:line="360" w:lineRule="auto"/>
              <w:jc w:val="center"/>
              <w:rPr>
                <w:rFonts w:hint="eastAsia" w:ascii="宋体" w:hAnsi="宋体" w:cs="仿宋_GB2312"/>
                <w:color w:val="auto"/>
                <w:szCs w:val="21"/>
                <w:highlight w:val="none"/>
              </w:rPr>
            </w:pPr>
          </w:p>
        </w:tc>
        <w:tc>
          <w:tcPr>
            <w:tcW w:w="2383" w:type="dxa"/>
            <w:tcBorders>
              <w:top w:val="single" w:color="auto" w:sz="4" w:space="0"/>
              <w:left w:val="single" w:color="auto" w:sz="4" w:space="0"/>
              <w:bottom w:val="single" w:color="auto" w:sz="4" w:space="0"/>
              <w:right w:val="single" w:color="auto" w:sz="4" w:space="0"/>
            </w:tcBorders>
            <w:vAlign w:val="center"/>
          </w:tcPr>
          <w:p w14:paraId="0D4BBBE3">
            <w:pPr>
              <w:spacing w:line="360" w:lineRule="auto"/>
              <w:jc w:val="center"/>
              <w:rPr>
                <w:rFonts w:hint="eastAsia" w:ascii="宋体" w:hAnsi="宋体" w:cs="仿宋_GB2312"/>
                <w:color w:val="auto"/>
                <w:szCs w:val="21"/>
                <w:highlight w:val="none"/>
              </w:rPr>
            </w:pPr>
          </w:p>
        </w:tc>
      </w:tr>
      <w:tr w14:paraId="4E61E8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73" w:hRule="atLeast"/>
        </w:trPr>
        <w:tc>
          <w:tcPr>
            <w:tcW w:w="838" w:type="dxa"/>
            <w:tcBorders>
              <w:top w:val="single" w:color="auto" w:sz="4" w:space="0"/>
              <w:left w:val="single" w:color="auto" w:sz="4" w:space="0"/>
              <w:bottom w:val="single" w:color="auto" w:sz="4" w:space="0"/>
              <w:right w:val="single" w:color="auto" w:sz="4" w:space="0"/>
            </w:tcBorders>
            <w:vAlign w:val="center"/>
          </w:tcPr>
          <w:p w14:paraId="4ABB277F">
            <w:pPr>
              <w:spacing w:line="360" w:lineRule="auto"/>
              <w:jc w:val="center"/>
              <w:rPr>
                <w:rFonts w:hint="eastAsia" w:ascii="宋体" w:hAnsi="宋体" w:cs="仿宋_GB2312"/>
                <w:color w:val="auto"/>
                <w:szCs w:val="21"/>
                <w:highlight w:val="none"/>
              </w:rPr>
            </w:pPr>
            <w:r>
              <w:rPr>
                <w:rFonts w:hint="eastAsia" w:ascii="宋体" w:hAnsi="宋体" w:cs="仿宋_GB2312"/>
                <w:color w:val="auto"/>
                <w:szCs w:val="21"/>
                <w:highlight w:val="none"/>
              </w:rPr>
              <w:t>…</w:t>
            </w:r>
          </w:p>
        </w:tc>
        <w:tc>
          <w:tcPr>
            <w:tcW w:w="4343" w:type="dxa"/>
            <w:tcBorders>
              <w:top w:val="single" w:color="auto" w:sz="4" w:space="0"/>
              <w:left w:val="single" w:color="auto" w:sz="4" w:space="0"/>
              <w:bottom w:val="single" w:color="auto" w:sz="4" w:space="0"/>
              <w:right w:val="single" w:color="auto" w:sz="4" w:space="0"/>
            </w:tcBorders>
            <w:vAlign w:val="center"/>
          </w:tcPr>
          <w:p w14:paraId="08E70ABB">
            <w:pPr>
              <w:spacing w:line="360" w:lineRule="auto"/>
              <w:jc w:val="center"/>
              <w:rPr>
                <w:rFonts w:hint="eastAsia" w:ascii="宋体" w:hAnsi="宋体" w:cs="仿宋_GB2312"/>
                <w:color w:val="auto"/>
                <w:szCs w:val="21"/>
                <w:highlight w:val="none"/>
              </w:rPr>
            </w:pPr>
            <w:r>
              <w:rPr>
                <w:rFonts w:hint="eastAsia" w:ascii="宋体" w:hAnsi="宋体" w:cs="仿宋_GB2312"/>
                <w:color w:val="auto"/>
                <w:szCs w:val="21"/>
                <w:highlight w:val="none"/>
              </w:rPr>
              <w:t>……</w:t>
            </w:r>
          </w:p>
        </w:tc>
        <w:tc>
          <w:tcPr>
            <w:tcW w:w="2865" w:type="dxa"/>
            <w:tcBorders>
              <w:top w:val="single" w:color="auto" w:sz="4" w:space="0"/>
              <w:left w:val="single" w:color="auto" w:sz="4" w:space="0"/>
              <w:bottom w:val="single" w:color="auto" w:sz="4" w:space="0"/>
              <w:right w:val="single" w:color="auto" w:sz="4" w:space="0"/>
            </w:tcBorders>
            <w:vAlign w:val="center"/>
          </w:tcPr>
          <w:p w14:paraId="22936860">
            <w:pPr>
              <w:spacing w:line="360" w:lineRule="auto"/>
              <w:jc w:val="center"/>
              <w:rPr>
                <w:rFonts w:hint="eastAsia" w:ascii="宋体" w:hAnsi="宋体" w:cs="仿宋_GB2312"/>
                <w:color w:val="auto"/>
                <w:szCs w:val="21"/>
                <w:highlight w:val="none"/>
              </w:rPr>
            </w:pPr>
          </w:p>
        </w:tc>
        <w:tc>
          <w:tcPr>
            <w:tcW w:w="1050" w:type="dxa"/>
            <w:tcBorders>
              <w:top w:val="single" w:color="auto" w:sz="4" w:space="0"/>
              <w:left w:val="single" w:color="auto" w:sz="4" w:space="0"/>
              <w:bottom w:val="single" w:color="auto" w:sz="4" w:space="0"/>
              <w:right w:val="single" w:color="auto" w:sz="4" w:space="0"/>
            </w:tcBorders>
            <w:vAlign w:val="center"/>
          </w:tcPr>
          <w:p w14:paraId="0C17E672">
            <w:pPr>
              <w:spacing w:line="360" w:lineRule="exact"/>
              <w:jc w:val="center"/>
              <w:rPr>
                <w:rFonts w:hint="eastAsia" w:ascii="宋体" w:hAnsi="宋体" w:cs="仿宋_GB2312"/>
                <w:b/>
                <w:bCs/>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vAlign w:val="center"/>
          </w:tcPr>
          <w:p w14:paraId="0BF06667">
            <w:pPr>
              <w:spacing w:line="360" w:lineRule="exact"/>
              <w:jc w:val="center"/>
              <w:rPr>
                <w:rFonts w:hint="eastAsia" w:ascii="宋体" w:hAnsi="宋体" w:cs="仿宋_GB2312"/>
                <w:b/>
                <w:bCs/>
                <w:color w:val="auto"/>
                <w:szCs w:val="21"/>
                <w:highlight w:val="none"/>
              </w:rPr>
            </w:pPr>
          </w:p>
        </w:tc>
        <w:tc>
          <w:tcPr>
            <w:tcW w:w="1445" w:type="dxa"/>
            <w:tcBorders>
              <w:top w:val="single" w:color="auto" w:sz="4" w:space="0"/>
              <w:left w:val="single" w:color="auto" w:sz="4" w:space="0"/>
              <w:bottom w:val="single" w:color="auto" w:sz="4" w:space="0"/>
              <w:right w:val="single" w:color="auto" w:sz="4" w:space="0"/>
            </w:tcBorders>
            <w:vAlign w:val="center"/>
          </w:tcPr>
          <w:p w14:paraId="20953FBB">
            <w:pPr>
              <w:spacing w:line="360" w:lineRule="auto"/>
              <w:jc w:val="center"/>
              <w:rPr>
                <w:rFonts w:hint="eastAsia" w:ascii="宋体" w:hAnsi="宋体" w:cs="仿宋_GB2312"/>
                <w:color w:val="auto"/>
                <w:szCs w:val="21"/>
                <w:highlight w:val="none"/>
              </w:rPr>
            </w:pPr>
          </w:p>
        </w:tc>
        <w:tc>
          <w:tcPr>
            <w:tcW w:w="2383" w:type="dxa"/>
            <w:tcBorders>
              <w:top w:val="single" w:color="auto" w:sz="4" w:space="0"/>
              <w:left w:val="single" w:color="auto" w:sz="4" w:space="0"/>
              <w:bottom w:val="single" w:color="auto" w:sz="4" w:space="0"/>
              <w:right w:val="single" w:color="auto" w:sz="4" w:space="0"/>
            </w:tcBorders>
            <w:vAlign w:val="center"/>
          </w:tcPr>
          <w:p w14:paraId="18BAB942">
            <w:pPr>
              <w:spacing w:line="360" w:lineRule="auto"/>
              <w:jc w:val="center"/>
              <w:rPr>
                <w:rFonts w:hint="eastAsia" w:ascii="宋体" w:hAnsi="宋体" w:cs="仿宋_GB2312"/>
                <w:color w:val="auto"/>
                <w:szCs w:val="21"/>
                <w:highlight w:val="none"/>
              </w:rPr>
            </w:pPr>
          </w:p>
        </w:tc>
      </w:tr>
      <w:tr w14:paraId="6853EF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14514" w:type="dxa"/>
            <w:gridSpan w:val="7"/>
            <w:tcBorders>
              <w:top w:val="single" w:color="auto" w:sz="4" w:space="0"/>
              <w:left w:val="single" w:color="auto" w:sz="4" w:space="0"/>
              <w:bottom w:val="single" w:color="auto" w:sz="4" w:space="0"/>
              <w:right w:val="single" w:color="auto" w:sz="4" w:space="0"/>
            </w:tcBorders>
            <w:vAlign w:val="center"/>
          </w:tcPr>
          <w:p w14:paraId="1D0F2039">
            <w:pPr>
              <w:snapToGrid w:val="0"/>
              <w:spacing w:line="360" w:lineRule="auto"/>
              <w:rPr>
                <w:rFonts w:hint="eastAsia" w:ascii="宋体" w:hAnsi="宋体" w:cs="仿宋_GB2312"/>
                <w:color w:val="auto"/>
                <w:szCs w:val="21"/>
                <w:highlight w:val="none"/>
                <w:u w:val="single"/>
              </w:rPr>
            </w:pPr>
            <w:r>
              <w:rPr>
                <w:rFonts w:hint="eastAsia" w:ascii="宋体" w:hAnsi="宋体" w:cs="仿宋_GB2312"/>
                <w:color w:val="auto"/>
                <w:szCs w:val="21"/>
                <w:highlight w:val="none"/>
              </w:rPr>
              <w:t>合计金额大写：人民币      （</w:t>
            </w:r>
            <w:r>
              <w:rPr>
                <w:rFonts w:hint="eastAsia" w:ascii="宋体" w:hAnsi="宋体" w:cs="宋体"/>
                <w:color w:val="auto"/>
                <w:szCs w:val="21"/>
                <w:highlight w:val="none"/>
              </w:rPr>
              <w:t>￥</w:t>
            </w:r>
            <w:r>
              <w:rPr>
                <w:rFonts w:hint="eastAsia" w:ascii="宋体" w:hAnsi="宋体" w:cs="仿宋_GB2312"/>
                <w:color w:val="auto"/>
                <w:szCs w:val="21"/>
                <w:highlight w:val="none"/>
              </w:rPr>
              <w:t>：   ）</w:t>
            </w:r>
          </w:p>
        </w:tc>
      </w:tr>
    </w:tbl>
    <w:p w14:paraId="7720247B">
      <w:pPr>
        <w:spacing w:line="360" w:lineRule="exact"/>
        <w:ind w:firstLine="420" w:firstLineChars="200"/>
        <w:contextualSpacing/>
        <w:rPr>
          <w:rFonts w:hint="eastAsia" w:ascii="宋体" w:hAnsi="宋体"/>
          <w:color w:val="auto"/>
          <w:szCs w:val="21"/>
          <w:highlight w:val="none"/>
        </w:rPr>
      </w:pPr>
      <w:r>
        <w:rPr>
          <w:rFonts w:hint="eastAsia" w:ascii="宋体" w:hAnsi="宋体"/>
          <w:color w:val="auto"/>
          <w:szCs w:val="21"/>
          <w:highlight w:val="none"/>
        </w:rPr>
        <w:t>注: 1.所有价格均用人民币表示，单位为元，精确到小数点后两数位。</w:t>
      </w:r>
    </w:p>
    <w:p w14:paraId="27247D31">
      <w:pPr>
        <w:spacing w:line="360" w:lineRule="exact"/>
        <w:ind w:firstLine="840" w:firstLineChars="400"/>
        <w:contextualSpacing/>
        <w:rPr>
          <w:rFonts w:hint="eastAsia" w:ascii="宋体" w:hAnsi="宋体"/>
          <w:color w:val="auto"/>
          <w:szCs w:val="21"/>
          <w:highlight w:val="none"/>
        </w:rPr>
      </w:pPr>
      <w:r>
        <w:rPr>
          <w:rFonts w:hint="eastAsia" w:ascii="宋体" w:hAnsi="宋体"/>
          <w:color w:val="auto"/>
          <w:szCs w:val="21"/>
          <w:highlight w:val="none"/>
        </w:rPr>
        <w:t>2、供应商的报价表必须加盖供应商公章并由法定代表人或者委托代理人签字，否则其响应文件按无效响应处理。</w:t>
      </w:r>
    </w:p>
    <w:p w14:paraId="3DE39A0A">
      <w:pPr>
        <w:spacing w:line="360" w:lineRule="exact"/>
        <w:ind w:firstLine="840" w:firstLineChars="400"/>
        <w:contextualSpacing/>
        <w:rPr>
          <w:rFonts w:hint="eastAsia" w:ascii="宋体" w:hAnsi="宋体"/>
          <w:color w:val="auto"/>
          <w:szCs w:val="21"/>
          <w:highlight w:val="none"/>
        </w:rPr>
      </w:pPr>
      <w:r>
        <w:rPr>
          <w:rFonts w:hint="eastAsia" w:ascii="宋体" w:hAnsi="宋体"/>
          <w:color w:val="auto"/>
          <w:szCs w:val="21"/>
          <w:highlight w:val="none"/>
        </w:rPr>
        <w:t>3、报价一经涂改，应在涂改处加盖供应商公章或者由法定代表人或者授权委托人签字或者盖章，否则其响应文件按无效响应处理。</w:t>
      </w:r>
    </w:p>
    <w:p w14:paraId="5F995848">
      <w:pPr>
        <w:spacing w:line="360" w:lineRule="exact"/>
        <w:contextualSpacing/>
        <w:rPr>
          <w:rFonts w:hint="eastAsia" w:ascii="宋体" w:hAnsi="宋体"/>
          <w:color w:val="auto"/>
          <w:szCs w:val="21"/>
          <w:highlight w:val="none"/>
        </w:rPr>
      </w:pPr>
    </w:p>
    <w:p w14:paraId="18DCBC84">
      <w:pPr>
        <w:spacing w:line="360" w:lineRule="auto"/>
        <w:ind w:right="-817" w:rightChars="-389" w:firstLine="5460" w:firstLineChars="2600"/>
        <w:contextualSpacing/>
        <w:rPr>
          <w:rFonts w:hint="eastAsia" w:ascii="宋体" w:hAnsi="宋体" w:cs="仿宋_GB2312"/>
          <w:color w:val="auto"/>
          <w:szCs w:val="21"/>
          <w:highlight w:val="none"/>
        </w:rPr>
      </w:pPr>
      <w:r>
        <w:rPr>
          <w:rFonts w:hint="eastAsia" w:ascii="宋体" w:hAnsi="宋体" w:cs="仿宋_GB2312"/>
          <w:color w:val="auto"/>
          <w:szCs w:val="21"/>
          <w:highlight w:val="none"/>
        </w:rPr>
        <w:t xml:space="preserve">法定代表人或者委托代理人（签字）：                    </w:t>
      </w:r>
    </w:p>
    <w:p w14:paraId="6738DF2E">
      <w:pPr>
        <w:spacing w:line="360" w:lineRule="auto"/>
        <w:ind w:right="-817" w:rightChars="-389" w:firstLine="7140" w:firstLineChars="3400"/>
        <w:contextualSpacing/>
        <w:rPr>
          <w:rFonts w:hint="eastAsia" w:ascii="宋体" w:hAnsi="宋体" w:cs="仿宋_GB2312"/>
          <w:color w:val="auto"/>
          <w:szCs w:val="21"/>
          <w:highlight w:val="none"/>
        </w:rPr>
      </w:pPr>
      <w:r>
        <w:rPr>
          <w:rFonts w:hint="eastAsia" w:ascii="宋体" w:hAnsi="宋体" w:cs="仿宋_GB2312"/>
          <w:color w:val="auto"/>
          <w:szCs w:val="21"/>
          <w:highlight w:val="none"/>
        </w:rPr>
        <w:t xml:space="preserve">供应商（盖公章）：      </w:t>
      </w:r>
    </w:p>
    <w:p w14:paraId="0BD6CFA4">
      <w:pPr>
        <w:spacing w:line="360" w:lineRule="auto"/>
        <w:ind w:right="-817" w:rightChars="-389" w:firstLine="8190" w:firstLineChars="3900"/>
        <w:contextualSpacing/>
        <w:rPr>
          <w:rFonts w:hint="eastAsia" w:ascii="宋体" w:hAnsi="宋体" w:cs="仿宋_GB2312"/>
          <w:color w:val="auto"/>
          <w:szCs w:val="21"/>
          <w:highlight w:val="none"/>
        </w:rPr>
      </w:pPr>
      <w:r>
        <w:rPr>
          <w:rFonts w:hint="eastAsia" w:ascii="宋体" w:hAnsi="宋体" w:cs="仿宋_GB2312"/>
          <w:color w:val="auto"/>
          <w:szCs w:val="21"/>
          <w:highlight w:val="none"/>
        </w:rPr>
        <w:t>日 期：   年   月   日</w:t>
      </w:r>
    </w:p>
    <w:p w14:paraId="1323BCA2">
      <w:pPr>
        <w:spacing w:line="360" w:lineRule="auto"/>
        <w:ind w:right="-817" w:rightChars="-389" w:firstLine="8190" w:firstLineChars="3900"/>
        <w:contextualSpacing/>
        <w:rPr>
          <w:rFonts w:hint="eastAsia" w:ascii="宋体" w:hAnsi="宋体" w:cs="仿宋_GB2312"/>
          <w:color w:val="auto"/>
          <w:szCs w:val="21"/>
          <w:highlight w:val="none"/>
        </w:rPr>
      </w:pPr>
    </w:p>
    <w:p w14:paraId="2474CA1C">
      <w:pPr>
        <w:spacing w:line="360" w:lineRule="auto"/>
        <w:ind w:right="-817" w:rightChars="-389" w:firstLine="8190" w:firstLineChars="3900"/>
        <w:contextualSpacing/>
        <w:rPr>
          <w:rFonts w:hint="eastAsia" w:ascii="宋体" w:hAnsi="宋体" w:cs="仿宋_GB2312"/>
          <w:color w:val="auto"/>
          <w:szCs w:val="21"/>
          <w:highlight w:val="none"/>
        </w:rPr>
      </w:pPr>
    </w:p>
    <w:p w14:paraId="53A85A38">
      <w:pPr>
        <w:spacing w:line="360" w:lineRule="auto"/>
        <w:ind w:right="-817" w:rightChars="-389" w:firstLine="8190" w:firstLineChars="3900"/>
        <w:contextualSpacing/>
        <w:rPr>
          <w:rFonts w:hint="eastAsia" w:ascii="宋体" w:hAnsi="宋体" w:cs="仿宋_GB2312"/>
          <w:color w:val="auto"/>
          <w:szCs w:val="21"/>
          <w:highlight w:val="none"/>
        </w:rPr>
      </w:pPr>
    </w:p>
    <w:p w14:paraId="51D3433C">
      <w:pPr>
        <w:spacing w:line="360" w:lineRule="auto"/>
        <w:ind w:right="-817" w:rightChars="-389" w:firstLine="8190" w:firstLineChars="3900"/>
        <w:contextualSpacing/>
        <w:rPr>
          <w:rFonts w:hint="eastAsia" w:ascii="宋体" w:hAnsi="宋体" w:cs="仿宋_GB2312"/>
          <w:color w:val="auto"/>
          <w:szCs w:val="21"/>
          <w:highlight w:val="none"/>
        </w:rPr>
      </w:pPr>
    </w:p>
    <w:p w14:paraId="2F3FAB2E">
      <w:pPr>
        <w:spacing w:line="360" w:lineRule="auto"/>
        <w:ind w:right="-817" w:rightChars="-389" w:firstLine="8190" w:firstLineChars="3900"/>
        <w:contextualSpacing/>
        <w:rPr>
          <w:rFonts w:hint="eastAsia" w:ascii="宋体" w:hAnsi="宋体" w:cs="仿宋_GB2312"/>
          <w:color w:val="auto"/>
          <w:szCs w:val="21"/>
          <w:highlight w:val="none"/>
        </w:rPr>
      </w:pPr>
    </w:p>
    <w:p w14:paraId="46A6633B">
      <w:pPr>
        <w:adjustRightInd w:val="0"/>
        <w:snapToGrid w:val="0"/>
        <w:spacing w:line="520" w:lineRule="exact"/>
        <w:jc w:val="center"/>
        <w:rPr>
          <w:rFonts w:hint="eastAsia" w:ascii="方正小标宋简体" w:hAnsi="方正小标宋简体" w:eastAsia="方正小标宋简体" w:cs="方正小标宋简体"/>
          <w:bCs/>
          <w:sz w:val="44"/>
          <w:szCs w:val="44"/>
          <w:highlight w:val="none"/>
        </w:rPr>
      </w:pPr>
      <w:r>
        <w:rPr>
          <w:rFonts w:hint="eastAsia" w:ascii="宋体" w:hAnsi="宋体"/>
          <w:b/>
          <w:sz w:val="44"/>
          <w:szCs w:val="44"/>
          <w:highlight w:val="none"/>
        </w:rPr>
        <w:t>货物技术参数配置清单</w:t>
      </w:r>
    </w:p>
    <w:p w14:paraId="7118F3EA">
      <w:pPr>
        <w:spacing w:line="360" w:lineRule="auto"/>
        <w:rPr>
          <w:rFonts w:hint="eastAsia" w:ascii="宋体" w:hAnsi="宋体"/>
          <w:szCs w:val="21"/>
          <w:highlight w:val="none"/>
        </w:rPr>
      </w:pPr>
      <w:r>
        <w:rPr>
          <w:rFonts w:hint="eastAsia" w:ascii="宋体" w:hAnsi="宋体"/>
          <w:szCs w:val="21"/>
          <w:highlight w:val="none"/>
        </w:rPr>
        <w:t xml:space="preserve">项目名称： </w:t>
      </w:r>
    </w:p>
    <w:tbl>
      <w:tblPr>
        <w:tblStyle w:val="6"/>
        <w:tblW w:w="500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72"/>
        <w:gridCol w:w="2829"/>
        <w:gridCol w:w="706"/>
        <w:gridCol w:w="1097"/>
        <w:gridCol w:w="1394"/>
        <w:gridCol w:w="1857"/>
        <w:gridCol w:w="1807"/>
        <w:gridCol w:w="1760"/>
        <w:gridCol w:w="3392"/>
      </w:tblGrid>
      <w:tr w14:paraId="2216C7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247" w:type="pct"/>
            <w:tcBorders>
              <w:top w:val="single" w:color="auto" w:sz="4" w:space="0"/>
              <w:left w:val="single" w:color="auto" w:sz="4" w:space="0"/>
              <w:bottom w:val="single" w:color="auto" w:sz="4" w:space="0"/>
              <w:right w:val="single" w:color="auto" w:sz="4" w:space="0"/>
            </w:tcBorders>
            <w:vAlign w:val="center"/>
          </w:tcPr>
          <w:p w14:paraId="6149E5FC">
            <w:pPr>
              <w:snapToGrid w:val="0"/>
              <w:spacing w:before="50" w:after="50"/>
              <w:jc w:val="center"/>
              <w:rPr>
                <w:rFonts w:hint="eastAsia" w:ascii="宋体" w:hAnsi="宋体"/>
                <w:szCs w:val="21"/>
                <w:highlight w:val="none"/>
              </w:rPr>
            </w:pPr>
            <w:r>
              <w:rPr>
                <w:rFonts w:hint="eastAsia" w:ascii="宋体" w:hAnsi="宋体"/>
                <w:szCs w:val="21"/>
                <w:highlight w:val="none"/>
              </w:rPr>
              <w:t>序号</w:t>
            </w:r>
          </w:p>
        </w:tc>
        <w:tc>
          <w:tcPr>
            <w:tcW w:w="905" w:type="pct"/>
            <w:tcBorders>
              <w:top w:val="single" w:color="auto" w:sz="4" w:space="0"/>
              <w:left w:val="single" w:color="auto" w:sz="4" w:space="0"/>
              <w:bottom w:val="single" w:color="auto" w:sz="4" w:space="0"/>
              <w:right w:val="single" w:color="auto" w:sz="4" w:space="0"/>
            </w:tcBorders>
            <w:vAlign w:val="center"/>
          </w:tcPr>
          <w:p w14:paraId="21C8FE18">
            <w:pPr>
              <w:snapToGrid w:val="0"/>
              <w:spacing w:before="50" w:after="50"/>
              <w:jc w:val="center"/>
              <w:rPr>
                <w:rFonts w:hint="eastAsia" w:ascii="宋体" w:hAnsi="宋体"/>
                <w:szCs w:val="21"/>
                <w:highlight w:val="none"/>
              </w:rPr>
            </w:pPr>
            <w:r>
              <w:rPr>
                <w:rFonts w:hint="eastAsia" w:ascii="宋体" w:hAnsi="宋体"/>
                <w:szCs w:val="21"/>
                <w:highlight w:val="none"/>
              </w:rPr>
              <w:t>货物名称</w:t>
            </w:r>
          </w:p>
        </w:tc>
        <w:tc>
          <w:tcPr>
            <w:tcW w:w="226" w:type="pct"/>
            <w:tcBorders>
              <w:top w:val="single" w:color="auto" w:sz="4" w:space="0"/>
              <w:left w:val="single" w:color="auto" w:sz="4" w:space="0"/>
              <w:bottom w:val="single" w:color="auto" w:sz="4" w:space="0"/>
              <w:right w:val="single" w:color="auto" w:sz="4" w:space="0"/>
            </w:tcBorders>
            <w:vAlign w:val="center"/>
          </w:tcPr>
          <w:p w14:paraId="718827A2">
            <w:pPr>
              <w:snapToGrid w:val="0"/>
              <w:spacing w:before="50" w:after="50"/>
              <w:jc w:val="center"/>
              <w:rPr>
                <w:rFonts w:hint="eastAsia" w:ascii="宋体" w:hAnsi="宋体"/>
                <w:szCs w:val="21"/>
                <w:highlight w:val="none"/>
              </w:rPr>
            </w:pPr>
            <w:r>
              <w:rPr>
                <w:rFonts w:hint="eastAsia" w:ascii="宋体" w:hAnsi="宋体"/>
                <w:szCs w:val="21"/>
                <w:highlight w:val="none"/>
              </w:rPr>
              <w:t>单位</w:t>
            </w:r>
          </w:p>
        </w:tc>
        <w:tc>
          <w:tcPr>
            <w:tcW w:w="351" w:type="pct"/>
            <w:tcBorders>
              <w:top w:val="single" w:color="auto" w:sz="4" w:space="0"/>
              <w:left w:val="single" w:color="auto" w:sz="4" w:space="0"/>
              <w:bottom w:val="single" w:color="auto" w:sz="4" w:space="0"/>
              <w:right w:val="single" w:color="auto" w:sz="4" w:space="0"/>
            </w:tcBorders>
            <w:vAlign w:val="center"/>
          </w:tcPr>
          <w:p w14:paraId="4A8A17B4">
            <w:pPr>
              <w:snapToGrid w:val="0"/>
              <w:spacing w:before="50" w:after="50"/>
              <w:jc w:val="center"/>
              <w:rPr>
                <w:rFonts w:hint="eastAsia" w:ascii="宋体" w:hAnsi="宋体"/>
                <w:szCs w:val="21"/>
                <w:highlight w:val="none"/>
              </w:rPr>
            </w:pPr>
            <w:r>
              <w:rPr>
                <w:rFonts w:hint="eastAsia" w:ascii="宋体" w:hAnsi="宋体"/>
                <w:szCs w:val="21"/>
                <w:highlight w:val="none"/>
              </w:rPr>
              <w:t>数量</w:t>
            </w:r>
          </w:p>
        </w:tc>
        <w:tc>
          <w:tcPr>
            <w:tcW w:w="446" w:type="pct"/>
            <w:tcBorders>
              <w:top w:val="single" w:color="auto" w:sz="4" w:space="0"/>
              <w:left w:val="single" w:color="auto" w:sz="4" w:space="0"/>
              <w:bottom w:val="single" w:color="auto" w:sz="4" w:space="0"/>
              <w:right w:val="single" w:color="auto" w:sz="4" w:space="0"/>
            </w:tcBorders>
            <w:vAlign w:val="center"/>
          </w:tcPr>
          <w:p w14:paraId="4EDFBBC8">
            <w:pPr>
              <w:snapToGrid w:val="0"/>
              <w:spacing w:before="50" w:after="50"/>
              <w:jc w:val="center"/>
              <w:rPr>
                <w:rFonts w:hint="eastAsia" w:ascii="宋体" w:hAnsi="宋体"/>
                <w:szCs w:val="21"/>
                <w:highlight w:val="none"/>
              </w:rPr>
            </w:pPr>
            <w:r>
              <w:rPr>
                <w:rFonts w:hint="eastAsia" w:ascii="宋体" w:hAnsi="宋体"/>
                <w:szCs w:val="21"/>
                <w:highlight w:val="none"/>
              </w:rPr>
              <w:t>品牌</w:t>
            </w:r>
          </w:p>
        </w:tc>
        <w:tc>
          <w:tcPr>
            <w:tcW w:w="594" w:type="pct"/>
            <w:tcBorders>
              <w:top w:val="single" w:color="auto" w:sz="4" w:space="0"/>
              <w:left w:val="single" w:color="auto" w:sz="4" w:space="0"/>
              <w:bottom w:val="single" w:color="auto" w:sz="4" w:space="0"/>
              <w:right w:val="single" w:color="auto" w:sz="4" w:space="0"/>
            </w:tcBorders>
            <w:vAlign w:val="center"/>
          </w:tcPr>
          <w:p w14:paraId="0C72BE19">
            <w:pPr>
              <w:snapToGrid w:val="0"/>
              <w:spacing w:before="50" w:after="50"/>
              <w:jc w:val="center"/>
              <w:rPr>
                <w:rFonts w:hint="eastAsia" w:ascii="宋体" w:hAnsi="宋体"/>
                <w:szCs w:val="21"/>
                <w:highlight w:val="none"/>
              </w:rPr>
            </w:pPr>
            <w:r>
              <w:rPr>
                <w:rFonts w:hint="eastAsia" w:ascii="宋体" w:hAnsi="宋体"/>
                <w:szCs w:val="21"/>
                <w:highlight w:val="none"/>
              </w:rPr>
              <w:t>规格型号</w:t>
            </w:r>
          </w:p>
        </w:tc>
        <w:tc>
          <w:tcPr>
            <w:tcW w:w="578" w:type="pct"/>
            <w:tcBorders>
              <w:top w:val="single" w:color="auto" w:sz="4" w:space="0"/>
              <w:left w:val="single" w:color="auto" w:sz="4" w:space="0"/>
              <w:bottom w:val="single" w:color="auto" w:sz="4" w:space="0"/>
              <w:right w:val="single" w:color="auto" w:sz="4" w:space="0"/>
            </w:tcBorders>
            <w:vAlign w:val="center"/>
          </w:tcPr>
          <w:p w14:paraId="77C59776">
            <w:pPr>
              <w:snapToGrid w:val="0"/>
              <w:spacing w:before="50" w:after="50"/>
              <w:jc w:val="center"/>
              <w:rPr>
                <w:rFonts w:hint="eastAsia" w:ascii="宋体" w:hAnsi="宋体"/>
                <w:szCs w:val="21"/>
                <w:highlight w:val="none"/>
              </w:rPr>
            </w:pPr>
            <w:r>
              <w:rPr>
                <w:rFonts w:hint="eastAsia" w:ascii="宋体" w:hAnsi="宋体"/>
                <w:szCs w:val="21"/>
                <w:highlight w:val="none"/>
              </w:rPr>
              <w:t>制造商</w:t>
            </w:r>
          </w:p>
        </w:tc>
        <w:tc>
          <w:tcPr>
            <w:tcW w:w="563" w:type="pct"/>
            <w:tcBorders>
              <w:top w:val="single" w:color="auto" w:sz="4" w:space="0"/>
              <w:left w:val="single" w:color="auto" w:sz="4" w:space="0"/>
              <w:bottom w:val="single" w:color="auto" w:sz="4" w:space="0"/>
              <w:right w:val="single" w:color="auto" w:sz="4" w:space="0"/>
            </w:tcBorders>
            <w:vAlign w:val="center"/>
          </w:tcPr>
          <w:p w14:paraId="00DB263D">
            <w:pPr>
              <w:snapToGrid w:val="0"/>
              <w:spacing w:before="50" w:after="50"/>
              <w:jc w:val="center"/>
              <w:rPr>
                <w:rFonts w:hint="eastAsia" w:ascii="宋体" w:hAnsi="宋体"/>
                <w:szCs w:val="21"/>
                <w:highlight w:val="none"/>
              </w:rPr>
            </w:pPr>
            <w:r>
              <w:rPr>
                <w:rFonts w:hint="eastAsia" w:ascii="宋体" w:hAnsi="宋体"/>
                <w:szCs w:val="21"/>
                <w:highlight w:val="none"/>
              </w:rPr>
              <w:t>原产地</w:t>
            </w:r>
          </w:p>
        </w:tc>
        <w:tc>
          <w:tcPr>
            <w:tcW w:w="1085" w:type="pct"/>
            <w:tcBorders>
              <w:top w:val="single" w:color="auto" w:sz="4" w:space="0"/>
              <w:left w:val="single" w:color="auto" w:sz="4" w:space="0"/>
              <w:bottom w:val="single" w:color="auto" w:sz="4" w:space="0"/>
              <w:right w:val="single" w:color="auto" w:sz="4" w:space="0"/>
            </w:tcBorders>
            <w:vAlign w:val="center"/>
          </w:tcPr>
          <w:p w14:paraId="3C31E609">
            <w:pPr>
              <w:snapToGrid w:val="0"/>
              <w:spacing w:before="50" w:after="50"/>
              <w:jc w:val="center"/>
              <w:rPr>
                <w:rFonts w:hint="eastAsia" w:ascii="宋体" w:hAnsi="宋体"/>
                <w:szCs w:val="21"/>
                <w:highlight w:val="none"/>
              </w:rPr>
            </w:pPr>
            <w:r>
              <w:rPr>
                <w:rFonts w:hint="eastAsia" w:ascii="宋体" w:hAnsi="宋体"/>
                <w:szCs w:val="21"/>
                <w:highlight w:val="none"/>
              </w:rPr>
              <w:t>技术参数及性能配置</w:t>
            </w:r>
          </w:p>
        </w:tc>
      </w:tr>
      <w:tr w14:paraId="54FB4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247" w:type="pct"/>
            <w:tcBorders>
              <w:top w:val="single" w:color="auto" w:sz="4" w:space="0"/>
              <w:left w:val="single" w:color="auto" w:sz="4" w:space="0"/>
              <w:right w:val="single" w:color="auto" w:sz="4" w:space="0"/>
            </w:tcBorders>
            <w:vAlign w:val="center"/>
          </w:tcPr>
          <w:p w14:paraId="10205FDB">
            <w:pPr>
              <w:snapToGrid w:val="0"/>
              <w:spacing w:before="50" w:after="50"/>
              <w:jc w:val="center"/>
              <w:rPr>
                <w:rFonts w:hint="eastAsia" w:ascii="宋体" w:hAnsi="宋体"/>
                <w:szCs w:val="21"/>
                <w:highlight w:val="none"/>
              </w:rPr>
            </w:pPr>
            <w:r>
              <w:rPr>
                <w:rFonts w:hint="eastAsia" w:ascii="宋体" w:hAnsi="宋体"/>
                <w:szCs w:val="21"/>
                <w:highlight w:val="none"/>
              </w:rPr>
              <w:t>1</w:t>
            </w:r>
          </w:p>
        </w:tc>
        <w:tc>
          <w:tcPr>
            <w:tcW w:w="905" w:type="pct"/>
            <w:tcBorders>
              <w:top w:val="single" w:color="auto" w:sz="4" w:space="0"/>
              <w:left w:val="single" w:color="auto" w:sz="4" w:space="0"/>
              <w:bottom w:val="single" w:color="auto" w:sz="4" w:space="0"/>
              <w:right w:val="single" w:color="auto" w:sz="4" w:space="0"/>
            </w:tcBorders>
            <w:vAlign w:val="center"/>
          </w:tcPr>
          <w:p w14:paraId="1F74BB4F">
            <w:pPr>
              <w:widowControl/>
              <w:jc w:val="center"/>
              <w:textAlignment w:val="center"/>
              <w:rPr>
                <w:rFonts w:hint="eastAsia" w:ascii="宋体" w:hAnsi="宋体"/>
                <w:szCs w:val="21"/>
                <w:highlight w:val="none"/>
              </w:rPr>
            </w:pPr>
          </w:p>
        </w:tc>
        <w:tc>
          <w:tcPr>
            <w:tcW w:w="226" w:type="pct"/>
            <w:tcBorders>
              <w:top w:val="single" w:color="auto" w:sz="4" w:space="0"/>
              <w:left w:val="single" w:color="auto" w:sz="4" w:space="0"/>
              <w:bottom w:val="single" w:color="auto" w:sz="4" w:space="0"/>
              <w:right w:val="single" w:color="auto" w:sz="4" w:space="0"/>
            </w:tcBorders>
            <w:vAlign w:val="center"/>
          </w:tcPr>
          <w:p w14:paraId="27877978">
            <w:pPr>
              <w:widowControl/>
              <w:jc w:val="center"/>
              <w:textAlignment w:val="center"/>
              <w:rPr>
                <w:rFonts w:hint="eastAsia" w:ascii="宋体" w:hAnsi="宋体"/>
                <w:szCs w:val="21"/>
                <w:highlight w:val="none"/>
              </w:rPr>
            </w:pPr>
          </w:p>
        </w:tc>
        <w:tc>
          <w:tcPr>
            <w:tcW w:w="351" w:type="pct"/>
            <w:tcBorders>
              <w:top w:val="single" w:color="auto" w:sz="4" w:space="0"/>
              <w:left w:val="single" w:color="auto" w:sz="4" w:space="0"/>
              <w:bottom w:val="single" w:color="auto" w:sz="4" w:space="0"/>
              <w:right w:val="single" w:color="auto" w:sz="4" w:space="0"/>
            </w:tcBorders>
            <w:vAlign w:val="center"/>
          </w:tcPr>
          <w:p w14:paraId="3476AD1A">
            <w:pPr>
              <w:widowControl/>
              <w:jc w:val="center"/>
              <w:textAlignment w:val="center"/>
              <w:rPr>
                <w:rFonts w:hint="eastAsia" w:ascii="宋体" w:hAnsi="宋体"/>
                <w:szCs w:val="21"/>
                <w:highlight w:val="none"/>
              </w:rPr>
            </w:pPr>
          </w:p>
        </w:tc>
        <w:tc>
          <w:tcPr>
            <w:tcW w:w="446" w:type="pct"/>
            <w:tcBorders>
              <w:top w:val="single" w:color="auto" w:sz="4" w:space="0"/>
              <w:left w:val="single" w:color="auto" w:sz="4" w:space="0"/>
              <w:bottom w:val="single" w:color="auto" w:sz="4" w:space="0"/>
              <w:right w:val="single" w:color="auto" w:sz="4" w:space="0"/>
            </w:tcBorders>
            <w:vAlign w:val="center"/>
          </w:tcPr>
          <w:p w14:paraId="29EC6CBE">
            <w:pPr>
              <w:snapToGrid w:val="0"/>
              <w:spacing w:before="50" w:after="50"/>
              <w:jc w:val="center"/>
              <w:rPr>
                <w:rFonts w:hint="eastAsia" w:ascii="宋体" w:hAnsi="宋体"/>
                <w:szCs w:val="21"/>
                <w:highlight w:val="none"/>
              </w:rPr>
            </w:pPr>
          </w:p>
        </w:tc>
        <w:tc>
          <w:tcPr>
            <w:tcW w:w="594" w:type="pct"/>
            <w:tcBorders>
              <w:top w:val="single" w:color="auto" w:sz="4" w:space="0"/>
              <w:left w:val="single" w:color="auto" w:sz="4" w:space="0"/>
              <w:bottom w:val="single" w:color="auto" w:sz="4" w:space="0"/>
              <w:right w:val="single" w:color="auto" w:sz="4" w:space="0"/>
            </w:tcBorders>
          </w:tcPr>
          <w:p w14:paraId="7DDCA39D">
            <w:pPr>
              <w:snapToGrid w:val="0"/>
              <w:spacing w:before="50" w:after="50"/>
              <w:jc w:val="center"/>
              <w:rPr>
                <w:rFonts w:hint="eastAsia" w:ascii="宋体" w:hAnsi="宋体"/>
                <w:szCs w:val="21"/>
                <w:highlight w:val="none"/>
              </w:rPr>
            </w:pPr>
          </w:p>
        </w:tc>
        <w:tc>
          <w:tcPr>
            <w:tcW w:w="578" w:type="pct"/>
            <w:tcBorders>
              <w:top w:val="single" w:color="auto" w:sz="4" w:space="0"/>
              <w:left w:val="single" w:color="auto" w:sz="4" w:space="0"/>
              <w:bottom w:val="single" w:color="auto" w:sz="4" w:space="0"/>
              <w:right w:val="single" w:color="auto" w:sz="4" w:space="0"/>
            </w:tcBorders>
            <w:vAlign w:val="center"/>
          </w:tcPr>
          <w:p w14:paraId="67285F6F">
            <w:pPr>
              <w:snapToGrid w:val="0"/>
              <w:spacing w:before="50" w:after="50"/>
              <w:jc w:val="center"/>
              <w:rPr>
                <w:rFonts w:hint="eastAsia" w:ascii="宋体" w:hAnsi="宋体"/>
                <w:szCs w:val="21"/>
                <w:highlight w:val="none"/>
              </w:rPr>
            </w:pPr>
          </w:p>
        </w:tc>
        <w:tc>
          <w:tcPr>
            <w:tcW w:w="563" w:type="pct"/>
            <w:tcBorders>
              <w:top w:val="single" w:color="auto" w:sz="4" w:space="0"/>
              <w:left w:val="single" w:color="auto" w:sz="4" w:space="0"/>
              <w:bottom w:val="single" w:color="auto" w:sz="4" w:space="0"/>
              <w:right w:val="single" w:color="auto" w:sz="4" w:space="0"/>
            </w:tcBorders>
            <w:vAlign w:val="center"/>
          </w:tcPr>
          <w:p w14:paraId="03DBD8F5">
            <w:pPr>
              <w:snapToGrid w:val="0"/>
              <w:spacing w:before="50" w:after="50"/>
              <w:jc w:val="center"/>
              <w:rPr>
                <w:rFonts w:hint="eastAsia" w:ascii="宋体" w:hAnsi="宋体"/>
                <w:szCs w:val="21"/>
                <w:highlight w:val="none"/>
              </w:rPr>
            </w:pPr>
          </w:p>
        </w:tc>
        <w:tc>
          <w:tcPr>
            <w:tcW w:w="1085" w:type="pct"/>
            <w:tcBorders>
              <w:top w:val="single" w:color="auto" w:sz="4" w:space="0"/>
              <w:left w:val="single" w:color="auto" w:sz="4" w:space="0"/>
              <w:bottom w:val="single" w:color="auto" w:sz="4" w:space="0"/>
              <w:right w:val="single" w:color="auto" w:sz="4" w:space="0"/>
            </w:tcBorders>
            <w:vAlign w:val="center"/>
          </w:tcPr>
          <w:p w14:paraId="4D02491A">
            <w:pPr>
              <w:snapToGrid w:val="0"/>
              <w:spacing w:before="50" w:after="50"/>
              <w:jc w:val="center"/>
              <w:rPr>
                <w:rFonts w:hint="eastAsia" w:ascii="宋体" w:hAnsi="宋体"/>
                <w:szCs w:val="21"/>
                <w:highlight w:val="none"/>
              </w:rPr>
            </w:pPr>
          </w:p>
        </w:tc>
      </w:tr>
      <w:tr w14:paraId="0B1B0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247" w:type="pct"/>
            <w:tcBorders>
              <w:top w:val="single" w:color="auto" w:sz="4" w:space="0"/>
              <w:left w:val="single" w:color="auto" w:sz="4" w:space="0"/>
              <w:bottom w:val="single" w:color="auto" w:sz="4" w:space="0"/>
              <w:right w:val="single" w:color="auto" w:sz="4" w:space="0"/>
            </w:tcBorders>
            <w:vAlign w:val="center"/>
          </w:tcPr>
          <w:p w14:paraId="6C0B33CF">
            <w:pPr>
              <w:snapToGrid w:val="0"/>
              <w:spacing w:before="50" w:after="50"/>
              <w:jc w:val="center"/>
              <w:rPr>
                <w:rFonts w:hint="eastAsia" w:ascii="宋体" w:hAnsi="宋体"/>
                <w:szCs w:val="21"/>
                <w:highlight w:val="none"/>
              </w:rPr>
            </w:pPr>
            <w:r>
              <w:rPr>
                <w:rFonts w:hint="eastAsia" w:ascii="宋体" w:hAnsi="宋体"/>
                <w:szCs w:val="21"/>
                <w:highlight w:val="none"/>
              </w:rPr>
              <w:t>2</w:t>
            </w:r>
          </w:p>
        </w:tc>
        <w:tc>
          <w:tcPr>
            <w:tcW w:w="905" w:type="pct"/>
            <w:tcBorders>
              <w:top w:val="single" w:color="auto" w:sz="4" w:space="0"/>
              <w:left w:val="single" w:color="auto" w:sz="4" w:space="0"/>
              <w:bottom w:val="single" w:color="auto" w:sz="4" w:space="0"/>
              <w:right w:val="single" w:color="auto" w:sz="4" w:space="0"/>
            </w:tcBorders>
            <w:vAlign w:val="center"/>
          </w:tcPr>
          <w:p w14:paraId="4C8732D8">
            <w:pPr>
              <w:widowControl/>
              <w:jc w:val="center"/>
              <w:textAlignment w:val="center"/>
              <w:rPr>
                <w:rFonts w:hint="eastAsia" w:ascii="宋体" w:hAnsi="宋体"/>
                <w:color w:val="000000"/>
                <w:kern w:val="0"/>
                <w:szCs w:val="21"/>
                <w:highlight w:val="none"/>
              </w:rPr>
            </w:pPr>
          </w:p>
        </w:tc>
        <w:tc>
          <w:tcPr>
            <w:tcW w:w="226" w:type="pct"/>
            <w:tcBorders>
              <w:top w:val="single" w:color="auto" w:sz="4" w:space="0"/>
              <w:left w:val="single" w:color="auto" w:sz="4" w:space="0"/>
              <w:bottom w:val="single" w:color="auto" w:sz="4" w:space="0"/>
              <w:right w:val="single" w:color="auto" w:sz="4" w:space="0"/>
            </w:tcBorders>
            <w:vAlign w:val="center"/>
          </w:tcPr>
          <w:p w14:paraId="4E8CD63D">
            <w:pPr>
              <w:widowControl/>
              <w:jc w:val="center"/>
              <w:textAlignment w:val="center"/>
              <w:rPr>
                <w:rFonts w:hint="eastAsia" w:ascii="宋体" w:hAnsi="宋体"/>
                <w:szCs w:val="21"/>
                <w:highlight w:val="none"/>
              </w:rPr>
            </w:pPr>
          </w:p>
        </w:tc>
        <w:tc>
          <w:tcPr>
            <w:tcW w:w="351" w:type="pct"/>
            <w:tcBorders>
              <w:top w:val="single" w:color="auto" w:sz="4" w:space="0"/>
              <w:left w:val="single" w:color="auto" w:sz="4" w:space="0"/>
              <w:bottom w:val="single" w:color="auto" w:sz="4" w:space="0"/>
              <w:right w:val="single" w:color="auto" w:sz="4" w:space="0"/>
            </w:tcBorders>
            <w:vAlign w:val="center"/>
          </w:tcPr>
          <w:p w14:paraId="67E1489D">
            <w:pPr>
              <w:widowControl/>
              <w:jc w:val="center"/>
              <w:textAlignment w:val="center"/>
              <w:rPr>
                <w:rFonts w:hint="eastAsia" w:ascii="宋体" w:hAnsi="宋体"/>
                <w:szCs w:val="21"/>
                <w:highlight w:val="none"/>
              </w:rPr>
            </w:pPr>
          </w:p>
        </w:tc>
        <w:tc>
          <w:tcPr>
            <w:tcW w:w="446" w:type="pct"/>
            <w:tcBorders>
              <w:top w:val="single" w:color="auto" w:sz="4" w:space="0"/>
              <w:left w:val="single" w:color="auto" w:sz="4" w:space="0"/>
              <w:bottom w:val="single" w:color="auto" w:sz="4" w:space="0"/>
              <w:right w:val="single" w:color="auto" w:sz="4" w:space="0"/>
            </w:tcBorders>
            <w:vAlign w:val="center"/>
          </w:tcPr>
          <w:p w14:paraId="2EA6E337">
            <w:pPr>
              <w:snapToGrid w:val="0"/>
              <w:spacing w:before="50" w:after="50"/>
              <w:jc w:val="center"/>
              <w:rPr>
                <w:rFonts w:hint="eastAsia" w:ascii="宋体" w:hAnsi="宋体"/>
                <w:szCs w:val="21"/>
                <w:highlight w:val="none"/>
              </w:rPr>
            </w:pPr>
          </w:p>
        </w:tc>
        <w:tc>
          <w:tcPr>
            <w:tcW w:w="594" w:type="pct"/>
            <w:tcBorders>
              <w:top w:val="single" w:color="auto" w:sz="4" w:space="0"/>
              <w:left w:val="single" w:color="auto" w:sz="4" w:space="0"/>
              <w:bottom w:val="single" w:color="auto" w:sz="4" w:space="0"/>
              <w:right w:val="single" w:color="auto" w:sz="4" w:space="0"/>
            </w:tcBorders>
          </w:tcPr>
          <w:p w14:paraId="7FF6C6BE">
            <w:pPr>
              <w:snapToGrid w:val="0"/>
              <w:spacing w:before="50" w:after="50"/>
              <w:jc w:val="center"/>
              <w:rPr>
                <w:rFonts w:hint="eastAsia" w:ascii="宋体" w:hAnsi="宋体"/>
                <w:szCs w:val="21"/>
                <w:highlight w:val="none"/>
              </w:rPr>
            </w:pPr>
          </w:p>
        </w:tc>
        <w:tc>
          <w:tcPr>
            <w:tcW w:w="578" w:type="pct"/>
            <w:tcBorders>
              <w:top w:val="single" w:color="auto" w:sz="4" w:space="0"/>
              <w:left w:val="single" w:color="auto" w:sz="4" w:space="0"/>
              <w:bottom w:val="single" w:color="auto" w:sz="4" w:space="0"/>
              <w:right w:val="single" w:color="auto" w:sz="4" w:space="0"/>
            </w:tcBorders>
            <w:vAlign w:val="center"/>
          </w:tcPr>
          <w:p w14:paraId="2D1EC980">
            <w:pPr>
              <w:snapToGrid w:val="0"/>
              <w:spacing w:before="50" w:after="50"/>
              <w:jc w:val="center"/>
              <w:rPr>
                <w:rFonts w:hint="eastAsia" w:ascii="宋体" w:hAnsi="宋体"/>
                <w:szCs w:val="21"/>
                <w:highlight w:val="none"/>
              </w:rPr>
            </w:pPr>
          </w:p>
        </w:tc>
        <w:tc>
          <w:tcPr>
            <w:tcW w:w="563" w:type="pct"/>
            <w:tcBorders>
              <w:top w:val="single" w:color="auto" w:sz="4" w:space="0"/>
              <w:left w:val="single" w:color="auto" w:sz="4" w:space="0"/>
              <w:bottom w:val="single" w:color="auto" w:sz="4" w:space="0"/>
              <w:right w:val="single" w:color="auto" w:sz="4" w:space="0"/>
            </w:tcBorders>
            <w:vAlign w:val="center"/>
          </w:tcPr>
          <w:p w14:paraId="785C57F6">
            <w:pPr>
              <w:snapToGrid w:val="0"/>
              <w:spacing w:before="50" w:after="50"/>
              <w:jc w:val="center"/>
              <w:rPr>
                <w:rFonts w:hint="eastAsia" w:ascii="宋体" w:hAnsi="宋体"/>
                <w:szCs w:val="21"/>
                <w:highlight w:val="none"/>
              </w:rPr>
            </w:pPr>
          </w:p>
        </w:tc>
        <w:tc>
          <w:tcPr>
            <w:tcW w:w="1085" w:type="pct"/>
            <w:tcBorders>
              <w:top w:val="single" w:color="auto" w:sz="4" w:space="0"/>
              <w:left w:val="single" w:color="auto" w:sz="4" w:space="0"/>
              <w:bottom w:val="single" w:color="auto" w:sz="4" w:space="0"/>
              <w:right w:val="single" w:color="auto" w:sz="4" w:space="0"/>
            </w:tcBorders>
            <w:vAlign w:val="center"/>
          </w:tcPr>
          <w:p w14:paraId="319B1543">
            <w:pPr>
              <w:snapToGrid w:val="0"/>
              <w:spacing w:before="50" w:after="50"/>
              <w:jc w:val="center"/>
              <w:rPr>
                <w:rFonts w:hint="eastAsia" w:ascii="宋体" w:hAnsi="宋体"/>
                <w:szCs w:val="21"/>
                <w:highlight w:val="none"/>
              </w:rPr>
            </w:pPr>
          </w:p>
        </w:tc>
      </w:tr>
      <w:tr w14:paraId="7CC085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247" w:type="pct"/>
            <w:tcBorders>
              <w:top w:val="single" w:color="auto" w:sz="4" w:space="0"/>
              <w:left w:val="single" w:color="auto" w:sz="4" w:space="0"/>
              <w:bottom w:val="single" w:color="auto" w:sz="4" w:space="0"/>
              <w:right w:val="single" w:color="auto" w:sz="4" w:space="0"/>
            </w:tcBorders>
            <w:vAlign w:val="center"/>
          </w:tcPr>
          <w:p w14:paraId="2B2E394B">
            <w:pPr>
              <w:snapToGrid w:val="0"/>
              <w:spacing w:before="50" w:after="50"/>
              <w:jc w:val="center"/>
              <w:rPr>
                <w:rFonts w:hint="eastAsia" w:ascii="宋体" w:hAnsi="宋体"/>
                <w:szCs w:val="21"/>
                <w:highlight w:val="none"/>
              </w:rPr>
            </w:pPr>
            <w:r>
              <w:rPr>
                <w:rFonts w:hint="eastAsia" w:ascii="宋体" w:hAnsi="宋体"/>
                <w:szCs w:val="21"/>
                <w:highlight w:val="none"/>
              </w:rPr>
              <w:t>……</w:t>
            </w:r>
          </w:p>
        </w:tc>
        <w:tc>
          <w:tcPr>
            <w:tcW w:w="905" w:type="pct"/>
            <w:tcBorders>
              <w:top w:val="single" w:color="auto" w:sz="4" w:space="0"/>
              <w:left w:val="single" w:color="auto" w:sz="4" w:space="0"/>
              <w:bottom w:val="single" w:color="auto" w:sz="4" w:space="0"/>
              <w:right w:val="single" w:color="auto" w:sz="4" w:space="0"/>
            </w:tcBorders>
            <w:vAlign w:val="center"/>
          </w:tcPr>
          <w:p w14:paraId="0376EC9C">
            <w:pPr>
              <w:widowControl/>
              <w:jc w:val="center"/>
              <w:textAlignment w:val="center"/>
              <w:rPr>
                <w:rFonts w:hint="eastAsia" w:ascii="宋体" w:hAnsi="宋体"/>
                <w:color w:val="000000"/>
                <w:kern w:val="0"/>
                <w:szCs w:val="21"/>
                <w:highlight w:val="none"/>
              </w:rPr>
            </w:pPr>
          </w:p>
        </w:tc>
        <w:tc>
          <w:tcPr>
            <w:tcW w:w="226" w:type="pct"/>
            <w:tcBorders>
              <w:top w:val="single" w:color="auto" w:sz="4" w:space="0"/>
              <w:left w:val="single" w:color="auto" w:sz="4" w:space="0"/>
              <w:bottom w:val="single" w:color="auto" w:sz="4" w:space="0"/>
              <w:right w:val="single" w:color="auto" w:sz="4" w:space="0"/>
            </w:tcBorders>
            <w:vAlign w:val="center"/>
          </w:tcPr>
          <w:p w14:paraId="377592BA">
            <w:pPr>
              <w:widowControl/>
              <w:jc w:val="center"/>
              <w:textAlignment w:val="center"/>
              <w:rPr>
                <w:rFonts w:hint="eastAsia" w:ascii="宋体" w:hAnsi="宋体"/>
                <w:szCs w:val="21"/>
                <w:highlight w:val="none"/>
              </w:rPr>
            </w:pPr>
          </w:p>
        </w:tc>
        <w:tc>
          <w:tcPr>
            <w:tcW w:w="351" w:type="pct"/>
            <w:tcBorders>
              <w:top w:val="single" w:color="auto" w:sz="4" w:space="0"/>
              <w:left w:val="single" w:color="auto" w:sz="4" w:space="0"/>
              <w:bottom w:val="single" w:color="auto" w:sz="4" w:space="0"/>
              <w:right w:val="single" w:color="auto" w:sz="4" w:space="0"/>
            </w:tcBorders>
            <w:vAlign w:val="center"/>
          </w:tcPr>
          <w:p w14:paraId="468EE0D1">
            <w:pPr>
              <w:widowControl/>
              <w:jc w:val="center"/>
              <w:textAlignment w:val="center"/>
              <w:rPr>
                <w:rFonts w:hint="eastAsia" w:ascii="宋体" w:hAnsi="宋体"/>
                <w:szCs w:val="21"/>
                <w:highlight w:val="none"/>
              </w:rPr>
            </w:pPr>
          </w:p>
        </w:tc>
        <w:tc>
          <w:tcPr>
            <w:tcW w:w="446" w:type="pct"/>
            <w:tcBorders>
              <w:top w:val="single" w:color="auto" w:sz="4" w:space="0"/>
              <w:left w:val="single" w:color="auto" w:sz="4" w:space="0"/>
              <w:bottom w:val="single" w:color="auto" w:sz="4" w:space="0"/>
              <w:right w:val="single" w:color="auto" w:sz="4" w:space="0"/>
            </w:tcBorders>
            <w:vAlign w:val="center"/>
          </w:tcPr>
          <w:p w14:paraId="66B43837">
            <w:pPr>
              <w:snapToGrid w:val="0"/>
              <w:spacing w:before="50" w:after="50"/>
              <w:jc w:val="center"/>
              <w:rPr>
                <w:rFonts w:hint="eastAsia" w:ascii="宋体" w:hAnsi="宋体"/>
                <w:szCs w:val="21"/>
                <w:highlight w:val="none"/>
              </w:rPr>
            </w:pPr>
          </w:p>
        </w:tc>
        <w:tc>
          <w:tcPr>
            <w:tcW w:w="594" w:type="pct"/>
            <w:tcBorders>
              <w:top w:val="single" w:color="auto" w:sz="4" w:space="0"/>
              <w:left w:val="single" w:color="auto" w:sz="4" w:space="0"/>
              <w:bottom w:val="single" w:color="auto" w:sz="4" w:space="0"/>
              <w:right w:val="single" w:color="auto" w:sz="4" w:space="0"/>
            </w:tcBorders>
          </w:tcPr>
          <w:p w14:paraId="5D123DC0">
            <w:pPr>
              <w:snapToGrid w:val="0"/>
              <w:spacing w:before="50" w:after="50"/>
              <w:jc w:val="center"/>
              <w:rPr>
                <w:rFonts w:hint="eastAsia" w:ascii="宋体" w:hAnsi="宋体"/>
                <w:szCs w:val="21"/>
                <w:highlight w:val="none"/>
              </w:rPr>
            </w:pPr>
          </w:p>
        </w:tc>
        <w:tc>
          <w:tcPr>
            <w:tcW w:w="578" w:type="pct"/>
            <w:tcBorders>
              <w:top w:val="single" w:color="auto" w:sz="4" w:space="0"/>
              <w:left w:val="single" w:color="auto" w:sz="4" w:space="0"/>
              <w:bottom w:val="single" w:color="auto" w:sz="4" w:space="0"/>
              <w:right w:val="single" w:color="auto" w:sz="4" w:space="0"/>
            </w:tcBorders>
            <w:vAlign w:val="center"/>
          </w:tcPr>
          <w:p w14:paraId="2E7B8865">
            <w:pPr>
              <w:snapToGrid w:val="0"/>
              <w:spacing w:before="50" w:after="50"/>
              <w:jc w:val="center"/>
              <w:rPr>
                <w:rFonts w:hint="eastAsia" w:ascii="宋体" w:hAnsi="宋体"/>
                <w:szCs w:val="21"/>
                <w:highlight w:val="none"/>
              </w:rPr>
            </w:pPr>
          </w:p>
        </w:tc>
        <w:tc>
          <w:tcPr>
            <w:tcW w:w="563" w:type="pct"/>
            <w:tcBorders>
              <w:top w:val="single" w:color="auto" w:sz="4" w:space="0"/>
              <w:left w:val="single" w:color="auto" w:sz="4" w:space="0"/>
              <w:bottom w:val="single" w:color="auto" w:sz="4" w:space="0"/>
              <w:right w:val="single" w:color="auto" w:sz="4" w:space="0"/>
            </w:tcBorders>
            <w:vAlign w:val="center"/>
          </w:tcPr>
          <w:p w14:paraId="3C48EF83">
            <w:pPr>
              <w:snapToGrid w:val="0"/>
              <w:spacing w:before="50" w:after="50"/>
              <w:jc w:val="center"/>
              <w:rPr>
                <w:rFonts w:hint="eastAsia" w:ascii="宋体" w:hAnsi="宋体"/>
                <w:szCs w:val="21"/>
                <w:highlight w:val="none"/>
              </w:rPr>
            </w:pPr>
          </w:p>
        </w:tc>
        <w:tc>
          <w:tcPr>
            <w:tcW w:w="1085" w:type="pct"/>
            <w:tcBorders>
              <w:top w:val="single" w:color="auto" w:sz="4" w:space="0"/>
              <w:left w:val="single" w:color="auto" w:sz="4" w:space="0"/>
              <w:bottom w:val="single" w:color="auto" w:sz="4" w:space="0"/>
              <w:right w:val="single" w:color="auto" w:sz="4" w:space="0"/>
            </w:tcBorders>
            <w:vAlign w:val="center"/>
          </w:tcPr>
          <w:p w14:paraId="4D654267">
            <w:pPr>
              <w:snapToGrid w:val="0"/>
              <w:spacing w:before="50" w:after="50"/>
              <w:jc w:val="center"/>
              <w:rPr>
                <w:rFonts w:hint="eastAsia" w:ascii="宋体" w:hAnsi="宋体"/>
                <w:szCs w:val="21"/>
                <w:highlight w:val="none"/>
              </w:rPr>
            </w:pPr>
          </w:p>
        </w:tc>
      </w:tr>
    </w:tbl>
    <w:p w14:paraId="648CD903">
      <w:pPr>
        <w:contextualSpacing/>
        <w:rPr>
          <w:rFonts w:hint="eastAsia" w:ascii="宋体" w:hAnsi="宋体"/>
          <w:szCs w:val="21"/>
          <w:highlight w:val="none"/>
        </w:rPr>
      </w:pPr>
      <w:r>
        <w:rPr>
          <w:rFonts w:hint="eastAsia" w:ascii="宋体" w:hAnsi="宋体"/>
          <w:szCs w:val="21"/>
          <w:highlight w:val="none"/>
        </w:rPr>
        <w:t>备注：</w:t>
      </w:r>
      <w:r>
        <w:rPr>
          <w:rFonts w:hint="eastAsia" w:ascii="宋体" w:hAnsi="宋体"/>
          <w:b/>
          <w:bCs/>
          <w:szCs w:val="21"/>
          <w:highlight w:val="none"/>
        </w:rPr>
        <w:t>以上货物配置清单中“货物名称、数量及单位、品牌、规格型号、制造商、原产地、技术参数及性能配置”必须如实填写完整，品牌、规格型号没有则填无，填写有缺漏的，响应文件按无效响应处理</w:t>
      </w:r>
      <w:r>
        <w:rPr>
          <w:rFonts w:hint="eastAsia" w:ascii="宋体" w:hAnsi="宋体"/>
          <w:b/>
          <w:szCs w:val="21"/>
          <w:highlight w:val="none"/>
        </w:rPr>
        <w:t>。</w:t>
      </w:r>
      <w:r>
        <w:rPr>
          <w:rFonts w:hint="eastAsia" w:ascii="宋体" w:hAnsi="宋体"/>
          <w:szCs w:val="21"/>
          <w:highlight w:val="none"/>
        </w:rPr>
        <w:t>货物名称、数量及单位、品牌必须与“竞标报价表”一致，</w:t>
      </w:r>
      <w:r>
        <w:rPr>
          <w:rFonts w:hint="eastAsia" w:ascii="宋体" w:hAnsi="宋体"/>
          <w:bCs/>
          <w:szCs w:val="21"/>
          <w:highlight w:val="none"/>
        </w:rPr>
        <w:t>否则响应文件按无效响应处理</w:t>
      </w:r>
      <w:r>
        <w:rPr>
          <w:rFonts w:hint="eastAsia" w:ascii="宋体" w:hAnsi="宋体"/>
          <w:b/>
          <w:szCs w:val="21"/>
          <w:highlight w:val="none"/>
        </w:rPr>
        <w:t>。</w:t>
      </w:r>
      <w:r>
        <w:rPr>
          <w:rFonts w:hint="eastAsia" w:ascii="宋体" w:hAnsi="宋体"/>
          <w:szCs w:val="21"/>
          <w:highlight w:val="none"/>
        </w:rPr>
        <w:tab/>
      </w:r>
    </w:p>
    <w:p w14:paraId="24A64991">
      <w:pPr>
        <w:pStyle w:val="5"/>
        <w:rPr>
          <w:rFonts w:hint="eastAsia" w:ascii="宋体" w:hAnsi="宋体" w:cs="宋体"/>
          <w:szCs w:val="21"/>
          <w:highlight w:val="none"/>
        </w:rPr>
      </w:pPr>
    </w:p>
    <w:p w14:paraId="4BFE1AB8">
      <w:pPr>
        <w:ind w:right="-817" w:rightChars="-389"/>
        <w:contextualSpacing/>
        <w:jc w:val="center"/>
        <w:rPr>
          <w:rFonts w:hint="eastAsia" w:ascii="宋体" w:hAnsi="宋体"/>
          <w:szCs w:val="21"/>
          <w:highlight w:val="none"/>
        </w:rPr>
      </w:pPr>
      <w:r>
        <w:rPr>
          <w:rFonts w:hint="eastAsia" w:ascii="宋体" w:hAnsi="宋体"/>
          <w:szCs w:val="21"/>
          <w:highlight w:val="none"/>
        </w:rPr>
        <w:t>法定代表人或者委托代理人（签字）：</w:t>
      </w:r>
    </w:p>
    <w:p w14:paraId="7347544C">
      <w:pPr>
        <w:ind w:right="-817" w:rightChars="-389" w:firstLine="7245" w:firstLineChars="3450"/>
        <w:contextualSpacing/>
        <w:rPr>
          <w:rFonts w:hint="eastAsia" w:ascii="宋体" w:hAnsi="宋体"/>
          <w:szCs w:val="21"/>
          <w:highlight w:val="none"/>
        </w:rPr>
      </w:pPr>
      <w:r>
        <w:rPr>
          <w:rFonts w:hint="eastAsia" w:ascii="宋体" w:hAnsi="宋体"/>
          <w:szCs w:val="21"/>
          <w:highlight w:val="none"/>
        </w:rPr>
        <w:t xml:space="preserve">供应商（盖公章）：      </w:t>
      </w:r>
    </w:p>
    <w:p w14:paraId="4188AEF4">
      <w:pPr>
        <w:ind w:right="-817" w:rightChars="-389" w:firstLine="8190" w:firstLineChars="3900"/>
        <w:contextualSpacing/>
        <w:rPr>
          <w:highlight w:val="none"/>
        </w:rPr>
      </w:pPr>
      <w:r>
        <w:rPr>
          <w:rFonts w:hint="eastAsia" w:ascii="宋体" w:hAnsi="宋体"/>
          <w:szCs w:val="21"/>
          <w:highlight w:val="none"/>
        </w:rPr>
        <w:t>日  期：    年   月   日</w:t>
      </w:r>
    </w:p>
    <w:p w14:paraId="3DA5D3A2">
      <w:pPr>
        <w:rPr>
          <w:highlight w:val="none"/>
        </w:rPr>
      </w:pPr>
    </w:p>
    <w:p w14:paraId="3A4574FE">
      <w:pPr>
        <w:ind w:right="-817" w:rightChars="-389" w:firstLine="8190" w:firstLineChars="3900"/>
        <w:contextualSpacing/>
        <w:rPr>
          <w:rFonts w:hint="eastAsia" w:ascii="宋体" w:hAnsi="宋体" w:eastAsia="宋体" w:cs="宋体"/>
          <w:color w:val="auto"/>
          <w:sz w:val="21"/>
          <w:szCs w:val="21"/>
          <w:highlight w:val="none"/>
          <w:lang w:val="en-US" w:eastAsia="zh-CN"/>
        </w:rPr>
      </w:pPr>
    </w:p>
    <w:bookmarkEnd w:id="0"/>
    <w:sectPr>
      <w:pgSz w:w="16838" w:h="11906" w:orient="landscape"/>
      <w:pgMar w:top="720" w:right="720" w:bottom="720" w:left="72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64F0EC-D6CA-44A5-BA32-14E71DABFD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9B0E79E4-94EA-4F0F-B23D-A9B702CC64C8}"/>
  </w:font>
  <w:font w:name="仿宋_GB2312">
    <w:panose1 w:val="02010609030101010101"/>
    <w:charset w:val="86"/>
    <w:family w:val="modern"/>
    <w:pitch w:val="default"/>
    <w:sig w:usb0="00000001" w:usb1="080E0000" w:usb2="00000000" w:usb3="00000000" w:csb0="00040000" w:csb1="00000000"/>
    <w:embedRegular r:id="rId3" w:fontKey="{B792563D-D39C-4F35-9126-95E12EA4D402}"/>
  </w:font>
  <w:font w:name="微软雅黑">
    <w:panose1 w:val="020B0503020204020204"/>
    <w:charset w:val="86"/>
    <w:family w:val="auto"/>
    <w:pitch w:val="default"/>
    <w:sig w:usb0="80000287" w:usb1="2ACF3C50" w:usb2="00000016" w:usb3="00000000" w:csb0="0004001F" w:csb1="00000000"/>
    <w:embedRegular r:id="rId4" w:fontKey="{20D5AE7D-EE41-41E6-81E9-05434E236186}"/>
  </w:font>
  <w:font w:name="方正小标宋简体">
    <w:panose1 w:val="03000509000000000000"/>
    <w:charset w:val="86"/>
    <w:family w:val="script"/>
    <w:pitch w:val="default"/>
    <w:sig w:usb0="00000001" w:usb1="080E0000" w:usb2="00000000" w:usb3="00000000" w:csb0="00040000" w:csb1="00000000"/>
    <w:embedRegular r:id="rId5" w:fontKey="{037FC1DD-4325-43E1-91C9-17A7DCDE37E2}"/>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5NTAxOGNiNWY5YjZiYjRiZTBiMDc3NTc1OWE2YTUifQ=="/>
  </w:docVars>
  <w:rsids>
    <w:rsidRoot w:val="46492AE9"/>
    <w:rsid w:val="00264E69"/>
    <w:rsid w:val="00333C76"/>
    <w:rsid w:val="005C2A9D"/>
    <w:rsid w:val="0083050D"/>
    <w:rsid w:val="01C544F5"/>
    <w:rsid w:val="024822CD"/>
    <w:rsid w:val="02BB60B1"/>
    <w:rsid w:val="03CE5A7E"/>
    <w:rsid w:val="03FB7492"/>
    <w:rsid w:val="041208A9"/>
    <w:rsid w:val="04381A26"/>
    <w:rsid w:val="044C330C"/>
    <w:rsid w:val="047C3FFD"/>
    <w:rsid w:val="05825674"/>
    <w:rsid w:val="059917D1"/>
    <w:rsid w:val="05E435F1"/>
    <w:rsid w:val="072858CC"/>
    <w:rsid w:val="07680680"/>
    <w:rsid w:val="07C2391D"/>
    <w:rsid w:val="08230FE7"/>
    <w:rsid w:val="09A51675"/>
    <w:rsid w:val="09C556F2"/>
    <w:rsid w:val="09E162A4"/>
    <w:rsid w:val="0A12645E"/>
    <w:rsid w:val="0A3F5991"/>
    <w:rsid w:val="0A544CC8"/>
    <w:rsid w:val="0ADA09F2"/>
    <w:rsid w:val="0D6276FC"/>
    <w:rsid w:val="0D8B27AF"/>
    <w:rsid w:val="0FDA30C2"/>
    <w:rsid w:val="0FE668E8"/>
    <w:rsid w:val="0FFE195E"/>
    <w:rsid w:val="10317B99"/>
    <w:rsid w:val="1069326D"/>
    <w:rsid w:val="10934408"/>
    <w:rsid w:val="111C0B26"/>
    <w:rsid w:val="11796733"/>
    <w:rsid w:val="12560BCE"/>
    <w:rsid w:val="12624550"/>
    <w:rsid w:val="12FB3585"/>
    <w:rsid w:val="12FC7CAB"/>
    <w:rsid w:val="14F944F9"/>
    <w:rsid w:val="15145780"/>
    <w:rsid w:val="15632BBE"/>
    <w:rsid w:val="157B390E"/>
    <w:rsid w:val="15D1541F"/>
    <w:rsid w:val="171621EF"/>
    <w:rsid w:val="1735576C"/>
    <w:rsid w:val="174C46E4"/>
    <w:rsid w:val="176E1B89"/>
    <w:rsid w:val="17D95962"/>
    <w:rsid w:val="17DE7734"/>
    <w:rsid w:val="182E4DAB"/>
    <w:rsid w:val="19381F1E"/>
    <w:rsid w:val="194D74B2"/>
    <w:rsid w:val="1A7F4983"/>
    <w:rsid w:val="1AFA0F74"/>
    <w:rsid w:val="1B057CF1"/>
    <w:rsid w:val="1C2509DA"/>
    <w:rsid w:val="1CCF4430"/>
    <w:rsid w:val="1CEA2D34"/>
    <w:rsid w:val="1D0051B2"/>
    <w:rsid w:val="1E436BFB"/>
    <w:rsid w:val="1EB66ED2"/>
    <w:rsid w:val="1F053CF4"/>
    <w:rsid w:val="1F291E28"/>
    <w:rsid w:val="1FB719A5"/>
    <w:rsid w:val="20033557"/>
    <w:rsid w:val="20080E5C"/>
    <w:rsid w:val="20091C16"/>
    <w:rsid w:val="20774FA4"/>
    <w:rsid w:val="21290155"/>
    <w:rsid w:val="21661111"/>
    <w:rsid w:val="218164F0"/>
    <w:rsid w:val="21C916A0"/>
    <w:rsid w:val="21D37D8C"/>
    <w:rsid w:val="22206AE2"/>
    <w:rsid w:val="222B7EDF"/>
    <w:rsid w:val="227B6E3E"/>
    <w:rsid w:val="22896782"/>
    <w:rsid w:val="22906A74"/>
    <w:rsid w:val="22BD058C"/>
    <w:rsid w:val="22D636B5"/>
    <w:rsid w:val="23005B4C"/>
    <w:rsid w:val="23491FB8"/>
    <w:rsid w:val="23E26A49"/>
    <w:rsid w:val="23E512FC"/>
    <w:rsid w:val="23EA19A0"/>
    <w:rsid w:val="23F92A3E"/>
    <w:rsid w:val="24A05A4C"/>
    <w:rsid w:val="24CD14A7"/>
    <w:rsid w:val="24E47F82"/>
    <w:rsid w:val="24FC2C7E"/>
    <w:rsid w:val="25B24942"/>
    <w:rsid w:val="25C2598D"/>
    <w:rsid w:val="264B0C32"/>
    <w:rsid w:val="26A748A6"/>
    <w:rsid w:val="26AF70B6"/>
    <w:rsid w:val="2751016E"/>
    <w:rsid w:val="278A3680"/>
    <w:rsid w:val="282633A8"/>
    <w:rsid w:val="286A05DF"/>
    <w:rsid w:val="28E141FE"/>
    <w:rsid w:val="28FB2A87"/>
    <w:rsid w:val="293D309F"/>
    <w:rsid w:val="29514455"/>
    <w:rsid w:val="29562532"/>
    <w:rsid w:val="29B019A3"/>
    <w:rsid w:val="29F179E6"/>
    <w:rsid w:val="2A4C4A62"/>
    <w:rsid w:val="2AE83430"/>
    <w:rsid w:val="2C31056E"/>
    <w:rsid w:val="2C980571"/>
    <w:rsid w:val="2D412A2F"/>
    <w:rsid w:val="2D460049"/>
    <w:rsid w:val="2D4D6201"/>
    <w:rsid w:val="2D555A65"/>
    <w:rsid w:val="2DD018D3"/>
    <w:rsid w:val="2E1819E5"/>
    <w:rsid w:val="2E40595A"/>
    <w:rsid w:val="2F6446E6"/>
    <w:rsid w:val="2FCB7E5A"/>
    <w:rsid w:val="30353211"/>
    <w:rsid w:val="320512B5"/>
    <w:rsid w:val="330662B0"/>
    <w:rsid w:val="350A469D"/>
    <w:rsid w:val="351A0E35"/>
    <w:rsid w:val="356B7865"/>
    <w:rsid w:val="357868A7"/>
    <w:rsid w:val="35A10297"/>
    <w:rsid w:val="3613599B"/>
    <w:rsid w:val="366559E4"/>
    <w:rsid w:val="36F227F3"/>
    <w:rsid w:val="38C22C79"/>
    <w:rsid w:val="38DA4FA2"/>
    <w:rsid w:val="39303E66"/>
    <w:rsid w:val="398126A4"/>
    <w:rsid w:val="398E34A3"/>
    <w:rsid w:val="399B3F89"/>
    <w:rsid w:val="399E5E40"/>
    <w:rsid w:val="39CF48CB"/>
    <w:rsid w:val="39F767A7"/>
    <w:rsid w:val="3A033549"/>
    <w:rsid w:val="3A791A5E"/>
    <w:rsid w:val="3ACD3B57"/>
    <w:rsid w:val="3B100629"/>
    <w:rsid w:val="3C231166"/>
    <w:rsid w:val="3C3B4CB8"/>
    <w:rsid w:val="3C67348A"/>
    <w:rsid w:val="3C8658DE"/>
    <w:rsid w:val="3CC75445"/>
    <w:rsid w:val="3D355CEE"/>
    <w:rsid w:val="3DC254CA"/>
    <w:rsid w:val="3E4929BF"/>
    <w:rsid w:val="3E5F4AE1"/>
    <w:rsid w:val="3ECC2AA4"/>
    <w:rsid w:val="3EE80F60"/>
    <w:rsid w:val="3F424B14"/>
    <w:rsid w:val="3FD1152F"/>
    <w:rsid w:val="3FE61943"/>
    <w:rsid w:val="4007339F"/>
    <w:rsid w:val="40330901"/>
    <w:rsid w:val="41C41316"/>
    <w:rsid w:val="41D30A5F"/>
    <w:rsid w:val="423B7FDB"/>
    <w:rsid w:val="42614D21"/>
    <w:rsid w:val="42725B89"/>
    <w:rsid w:val="428F54EA"/>
    <w:rsid w:val="436037BB"/>
    <w:rsid w:val="43953BCE"/>
    <w:rsid w:val="441E71D2"/>
    <w:rsid w:val="44A27E03"/>
    <w:rsid w:val="44B4705C"/>
    <w:rsid w:val="44C304A5"/>
    <w:rsid w:val="45B31B87"/>
    <w:rsid w:val="45DB64CD"/>
    <w:rsid w:val="460641CF"/>
    <w:rsid w:val="46492AE9"/>
    <w:rsid w:val="47543636"/>
    <w:rsid w:val="47A619B8"/>
    <w:rsid w:val="47D33885"/>
    <w:rsid w:val="486F6565"/>
    <w:rsid w:val="49D43B55"/>
    <w:rsid w:val="4A0251E4"/>
    <w:rsid w:val="4A622219"/>
    <w:rsid w:val="4A913ECA"/>
    <w:rsid w:val="4AA76173"/>
    <w:rsid w:val="4ABF498D"/>
    <w:rsid w:val="4B0770BF"/>
    <w:rsid w:val="4E4D4E0A"/>
    <w:rsid w:val="4EC45545"/>
    <w:rsid w:val="4ECC264C"/>
    <w:rsid w:val="50394E2D"/>
    <w:rsid w:val="5049361B"/>
    <w:rsid w:val="507263F6"/>
    <w:rsid w:val="509E5922"/>
    <w:rsid w:val="510C4F82"/>
    <w:rsid w:val="51907961"/>
    <w:rsid w:val="51B43ED4"/>
    <w:rsid w:val="51BD267C"/>
    <w:rsid w:val="521775E3"/>
    <w:rsid w:val="5303039B"/>
    <w:rsid w:val="53E35D94"/>
    <w:rsid w:val="549D32C7"/>
    <w:rsid w:val="550310E3"/>
    <w:rsid w:val="556915A4"/>
    <w:rsid w:val="5584168C"/>
    <w:rsid w:val="55D50038"/>
    <w:rsid w:val="55FB4C01"/>
    <w:rsid w:val="55FD61F8"/>
    <w:rsid w:val="567C0098"/>
    <w:rsid w:val="569C0B56"/>
    <w:rsid w:val="56AE26CA"/>
    <w:rsid w:val="56DE5E59"/>
    <w:rsid w:val="5753390A"/>
    <w:rsid w:val="5795302F"/>
    <w:rsid w:val="58705DF6"/>
    <w:rsid w:val="594D4389"/>
    <w:rsid w:val="594F0EDF"/>
    <w:rsid w:val="5A670A9F"/>
    <w:rsid w:val="5AA04E3D"/>
    <w:rsid w:val="5B344A4C"/>
    <w:rsid w:val="5B4672E2"/>
    <w:rsid w:val="5C1A0C76"/>
    <w:rsid w:val="5C5278E9"/>
    <w:rsid w:val="5D303DA6"/>
    <w:rsid w:val="5D493CE1"/>
    <w:rsid w:val="5D656145"/>
    <w:rsid w:val="5E3C172A"/>
    <w:rsid w:val="5E800D5D"/>
    <w:rsid w:val="5E987E55"/>
    <w:rsid w:val="5EE272E6"/>
    <w:rsid w:val="5EE96902"/>
    <w:rsid w:val="5EFE077F"/>
    <w:rsid w:val="5F577B32"/>
    <w:rsid w:val="5F846FCB"/>
    <w:rsid w:val="5FCB28A8"/>
    <w:rsid w:val="5FE11D50"/>
    <w:rsid w:val="603A1ACE"/>
    <w:rsid w:val="60CD54B1"/>
    <w:rsid w:val="6109328C"/>
    <w:rsid w:val="613A0A90"/>
    <w:rsid w:val="61B96A60"/>
    <w:rsid w:val="61DC2DC0"/>
    <w:rsid w:val="61ED6709"/>
    <w:rsid w:val="6268097C"/>
    <w:rsid w:val="627209BD"/>
    <w:rsid w:val="62D56A83"/>
    <w:rsid w:val="62F63236"/>
    <w:rsid w:val="63E9040E"/>
    <w:rsid w:val="63F43719"/>
    <w:rsid w:val="64364DEF"/>
    <w:rsid w:val="64797B33"/>
    <w:rsid w:val="6490433F"/>
    <w:rsid w:val="65B45FF1"/>
    <w:rsid w:val="669465AE"/>
    <w:rsid w:val="675A757F"/>
    <w:rsid w:val="67921CCC"/>
    <w:rsid w:val="679C300B"/>
    <w:rsid w:val="67C277C8"/>
    <w:rsid w:val="67C768DC"/>
    <w:rsid w:val="685A41B9"/>
    <w:rsid w:val="68F95994"/>
    <w:rsid w:val="6922138F"/>
    <w:rsid w:val="6943421F"/>
    <w:rsid w:val="69F94FC6"/>
    <w:rsid w:val="6A9736B6"/>
    <w:rsid w:val="6AE54D7A"/>
    <w:rsid w:val="6BC95B6D"/>
    <w:rsid w:val="6C573720"/>
    <w:rsid w:val="6CA834AF"/>
    <w:rsid w:val="6D003795"/>
    <w:rsid w:val="6E46167B"/>
    <w:rsid w:val="6F0841CC"/>
    <w:rsid w:val="6F3B7985"/>
    <w:rsid w:val="6FCD6822"/>
    <w:rsid w:val="702634C5"/>
    <w:rsid w:val="717670E7"/>
    <w:rsid w:val="71C31235"/>
    <w:rsid w:val="71F96A05"/>
    <w:rsid w:val="735E1215"/>
    <w:rsid w:val="7365314D"/>
    <w:rsid w:val="747A41E0"/>
    <w:rsid w:val="749D5D6D"/>
    <w:rsid w:val="74D250AB"/>
    <w:rsid w:val="75A562CE"/>
    <w:rsid w:val="75F4180E"/>
    <w:rsid w:val="75FE0BB1"/>
    <w:rsid w:val="7662101C"/>
    <w:rsid w:val="767D7101"/>
    <w:rsid w:val="76EE083F"/>
    <w:rsid w:val="77252585"/>
    <w:rsid w:val="77991BD9"/>
    <w:rsid w:val="77FB0FEB"/>
    <w:rsid w:val="78AF42C1"/>
    <w:rsid w:val="78CC09CF"/>
    <w:rsid w:val="78E77772"/>
    <w:rsid w:val="791B780E"/>
    <w:rsid w:val="794F33AE"/>
    <w:rsid w:val="7A41642C"/>
    <w:rsid w:val="7A794B87"/>
    <w:rsid w:val="7A9C0BDF"/>
    <w:rsid w:val="7BB57A83"/>
    <w:rsid w:val="7BBB4D2B"/>
    <w:rsid w:val="7BD6412D"/>
    <w:rsid w:val="7BF344C5"/>
    <w:rsid w:val="7C82216F"/>
    <w:rsid w:val="7CCA7C28"/>
    <w:rsid w:val="7CE24C65"/>
    <w:rsid w:val="7CE62F77"/>
    <w:rsid w:val="7CEB1414"/>
    <w:rsid w:val="7D3205BD"/>
    <w:rsid w:val="7DA7785B"/>
    <w:rsid w:val="7DB87DA9"/>
    <w:rsid w:val="7DBC3708"/>
    <w:rsid w:val="7DF74740"/>
    <w:rsid w:val="7DFA10D0"/>
    <w:rsid w:val="7E603BAA"/>
    <w:rsid w:val="7EEE1FE7"/>
    <w:rsid w:val="7F29292E"/>
    <w:rsid w:val="7F3948E4"/>
    <w:rsid w:val="7F625BE9"/>
    <w:rsid w:val="7F7E49ED"/>
    <w:rsid w:val="7F815536"/>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Body Text Indent"/>
    <w:basedOn w:val="1"/>
    <w:qFormat/>
    <w:uiPriority w:val="0"/>
    <w:pPr>
      <w:ind w:firstLine="830" w:firstLineChars="352"/>
    </w:pPr>
    <w:rPr>
      <w:rFonts w:ascii="仿宋_GB2312" w:eastAsia="仿宋_GB2312" w:cs="仿宋_GB2312"/>
      <w:sz w:val="32"/>
      <w:szCs w:val="32"/>
    </w:rPr>
  </w:style>
  <w:style w:type="paragraph" w:styleId="4">
    <w:name w:val="index 1"/>
    <w:basedOn w:val="1"/>
    <w:next w:val="1"/>
    <w:qFormat/>
    <w:uiPriority w:val="0"/>
    <w:pPr>
      <w:spacing w:line="400" w:lineRule="exact"/>
      <w:ind w:firstLine="420" w:firstLineChars="200"/>
    </w:pPr>
    <w:rPr>
      <w:rFonts w:ascii="宋体" w:hAnsi="Courier New"/>
      <w:b/>
      <w:szCs w:val="20"/>
    </w:rPr>
  </w:style>
  <w:style w:type="paragraph" w:styleId="5">
    <w:name w:val="Body Text First Indent 2"/>
    <w:basedOn w:val="3"/>
    <w:next w:val="2"/>
    <w:qFormat/>
    <w:uiPriority w:val="0"/>
    <w:pPr>
      <w:spacing w:after="120"/>
      <w:ind w:left="420" w:leftChars="200" w:firstLine="420" w:firstLineChars="200"/>
    </w:pPr>
    <w:rPr>
      <w:rFonts w:ascii="Times New Roman" w:eastAsia="宋体"/>
      <w:sz w:val="21"/>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qFormat/>
    <w:uiPriority w:val="0"/>
    <w:rPr>
      <w:sz w:val="21"/>
      <w:szCs w:val="21"/>
    </w:rPr>
  </w:style>
  <w:style w:type="paragraph" w:customStyle="1" w:styleId="10">
    <w:name w:val="表格文字"/>
    <w:basedOn w:val="1"/>
    <w:qFormat/>
    <w:uiPriority w:val="0"/>
    <w:pPr>
      <w:spacing w:before="25" w:after="25"/>
      <w:jc w:val="left"/>
    </w:pPr>
    <w:rPr>
      <w:bCs/>
      <w:spacing w:val="10"/>
      <w:kern w:val="0"/>
      <w:sz w:val="24"/>
    </w:rPr>
  </w:style>
  <w:style w:type="character" w:customStyle="1" w:styleId="11">
    <w:name w:val="NormalCharacter"/>
    <w:semiHidden/>
    <w:qFormat/>
    <w:uiPriority w:val="0"/>
    <w:rPr>
      <w:rFonts w:ascii="Calibri" w:hAnsi="Calibri"/>
      <w:kern w:val="2"/>
      <w:sz w:val="21"/>
      <w:szCs w:val="24"/>
      <w:lang w:val="en-US" w:eastAsia="zh-CN" w:bidi="ar-SA"/>
    </w:rPr>
  </w:style>
  <w:style w:type="paragraph" w:customStyle="1" w:styleId="12">
    <w:name w:val="Table Text"/>
    <w:basedOn w:val="1"/>
    <w:semiHidden/>
    <w:qFormat/>
    <w:uiPriority w:val="0"/>
    <w:rPr>
      <w:rFonts w:ascii="宋体" w:hAnsi="宋体" w:eastAsia="宋体" w:cs="宋体"/>
      <w:sz w:val="20"/>
      <w:szCs w:val="20"/>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font31"/>
    <w:basedOn w:val="8"/>
    <w:qFormat/>
    <w:uiPriority w:val="0"/>
    <w:rPr>
      <w:rFonts w:hint="eastAsia" w:ascii="宋体" w:hAnsi="宋体" w:eastAsia="宋体" w:cs="宋体"/>
      <w:color w:val="000000"/>
      <w:sz w:val="20"/>
      <w:szCs w:val="20"/>
      <w:u w:val="none"/>
    </w:rPr>
  </w:style>
  <w:style w:type="character" w:customStyle="1" w:styleId="15">
    <w:name w:val="font51"/>
    <w:basedOn w:val="8"/>
    <w:qFormat/>
    <w:uiPriority w:val="0"/>
    <w:rPr>
      <w:rFonts w:hint="default" w:ascii="Times New Roman" w:hAnsi="Times New Roman" w:cs="Times New Roman"/>
      <w:color w:val="000000"/>
      <w:sz w:val="20"/>
      <w:szCs w:val="20"/>
      <w:u w:val="none"/>
    </w:rPr>
  </w:style>
  <w:style w:type="character" w:customStyle="1" w:styleId="16">
    <w:name w:val="font4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3327</Words>
  <Characters>3816</Characters>
  <Lines>0</Lines>
  <Paragraphs>0</Paragraphs>
  <TotalTime>8</TotalTime>
  <ScaleCrop>false</ScaleCrop>
  <LinksUpToDate>false</LinksUpToDate>
  <CharactersWithSpaces>3861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2023-06-06T09:36:00Z</dcterms:created>
  <dc:creator>刘新月</dc:creator>
  <cp:lastModifiedBy>刘阳</cp:lastModifiedBy>
  <cp:lastPrinted>2024-06-20T10:35:00Z</cp:lastPrinted>
  <dcterms:modified xsi:type="dcterms:W3CDTF">2026-04-24T09:55:33Z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73FDC261AF9B4B9C9D97F1B347A6CB10_13</vt:lpwstr>
  </property>
  <property fmtid="{D5CDD505-2E9C-101B-9397-08002B2CF9AE}" pid="4" name="KSOTemplateDocerSaveRecord">
    <vt:lpwstr>eyJoZGlkIjoiYTUzZDY3MzQ3M2UzMjY1NjBmYTJmNmI0N2ZjODk1Y2QiLCJ1c2VySWQiOiIxNzAwOTg5NDA4In0=</vt:lpwstr>
  </property>
</Properties>
</file>