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DA950">
      <w:pPr>
        <w:keepNext w:val="0"/>
        <w:keepLines w:val="0"/>
        <w:pageBreakBefore w:val="0"/>
        <w:widowControl/>
        <w:kinsoku/>
        <w:wordWrap/>
        <w:overflowPunct/>
        <w:topLinePunct w:val="0"/>
        <w:autoSpaceDE/>
        <w:autoSpaceDN/>
        <w:bidi w:val="0"/>
        <w:spacing w:line="288" w:lineRule="auto"/>
        <w:jc w:val="center"/>
        <w:textAlignment w:val="auto"/>
        <w:rPr>
          <w:rFonts w:hint="eastAsia" w:ascii="宋体" w:hAnsi="宋体" w:eastAsia="宋体" w:cs="宋体"/>
          <w:b w:val="0"/>
          <w:bCs w:val="0"/>
          <w:color w:val="auto"/>
          <w:sz w:val="40"/>
          <w:szCs w:val="40"/>
          <w:highlight w:val="none"/>
          <w:lang w:val="en-US" w:eastAsia="zh-CN"/>
        </w:rPr>
      </w:pPr>
      <w:r>
        <w:rPr>
          <w:rFonts w:hint="eastAsia" w:ascii="宋体" w:hAnsi="宋体" w:eastAsia="宋体" w:cs="宋体"/>
          <w:b w:val="0"/>
          <w:bCs w:val="0"/>
          <w:color w:val="auto"/>
          <w:sz w:val="40"/>
          <w:szCs w:val="40"/>
          <w:highlight w:val="none"/>
          <w:lang w:val="en-US" w:eastAsia="zh-CN"/>
        </w:rPr>
        <w:t>2026年度“桂水智造”众创空间、工程技术研发中心建设设备采购清单</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024"/>
        <w:gridCol w:w="1077"/>
        <w:gridCol w:w="8892"/>
        <w:gridCol w:w="718"/>
        <w:gridCol w:w="678"/>
        <w:gridCol w:w="1121"/>
        <w:gridCol w:w="1405"/>
      </w:tblGrid>
      <w:tr w14:paraId="237A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22" w:type="pct"/>
            <w:vAlign w:val="center"/>
          </w:tcPr>
          <w:p w14:paraId="18B1C556">
            <w:pPr>
              <w:keepNext w:val="0"/>
              <w:keepLines w:val="0"/>
              <w:pageBreakBefore w:val="0"/>
              <w:kinsoku/>
              <w:wordWrap/>
              <w:overflowPunct/>
              <w:topLinePunct w:val="0"/>
              <w:autoSpaceDE/>
              <w:autoSpaceDN/>
              <w:bidi w:val="0"/>
              <w:spacing w:line="288" w:lineRule="auto"/>
              <w:jc w:val="center"/>
              <w:textAlignment w:val="auto"/>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序号</w:t>
            </w:r>
          </w:p>
        </w:tc>
        <w:tc>
          <w:tcPr>
            <w:tcW w:w="328" w:type="pct"/>
            <w:vAlign w:val="center"/>
          </w:tcPr>
          <w:p w14:paraId="5E8967E4">
            <w:pPr>
              <w:keepNext w:val="0"/>
              <w:keepLines w:val="0"/>
              <w:pageBreakBefore w:val="0"/>
              <w:kinsoku/>
              <w:wordWrap/>
              <w:overflowPunct/>
              <w:topLinePunct w:val="0"/>
              <w:autoSpaceDE/>
              <w:autoSpaceDN/>
              <w:bidi w:val="0"/>
              <w:spacing w:line="288" w:lineRule="auto"/>
              <w:jc w:val="center"/>
              <w:textAlignment w:val="auto"/>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名称</w:t>
            </w:r>
          </w:p>
        </w:tc>
        <w:tc>
          <w:tcPr>
            <w:tcW w:w="345" w:type="pct"/>
            <w:vAlign w:val="center"/>
          </w:tcPr>
          <w:p w14:paraId="72DCD02D">
            <w:pPr>
              <w:keepNext w:val="0"/>
              <w:keepLines w:val="0"/>
              <w:pageBreakBefore w:val="0"/>
              <w:kinsoku/>
              <w:wordWrap/>
              <w:overflowPunct/>
              <w:topLinePunct w:val="0"/>
              <w:autoSpaceDE/>
              <w:autoSpaceDN/>
              <w:bidi w:val="0"/>
              <w:spacing w:line="288" w:lineRule="auto"/>
              <w:jc w:val="both"/>
              <w:textAlignment w:val="auto"/>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kern w:val="2"/>
                <w:sz w:val="20"/>
                <w:szCs w:val="20"/>
                <w:highlight w:val="none"/>
                <w:lang w:val="en-US" w:eastAsia="zh-CN" w:bidi="ar-SA"/>
              </w:rPr>
              <w:t>参考品牌</w:t>
            </w:r>
          </w:p>
        </w:tc>
        <w:tc>
          <w:tcPr>
            <w:tcW w:w="2848" w:type="pct"/>
            <w:vAlign w:val="center"/>
          </w:tcPr>
          <w:p w14:paraId="1AF2A0D5">
            <w:pPr>
              <w:keepNext w:val="0"/>
              <w:keepLines w:val="0"/>
              <w:pageBreakBefore w:val="0"/>
              <w:kinsoku/>
              <w:wordWrap/>
              <w:overflowPunct/>
              <w:topLinePunct w:val="0"/>
              <w:autoSpaceDE/>
              <w:autoSpaceDN/>
              <w:bidi w:val="0"/>
              <w:spacing w:line="288" w:lineRule="auto"/>
              <w:jc w:val="center"/>
              <w:textAlignment w:val="auto"/>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规格参数</w:t>
            </w:r>
          </w:p>
        </w:tc>
        <w:tc>
          <w:tcPr>
            <w:tcW w:w="230" w:type="pct"/>
            <w:vAlign w:val="center"/>
          </w:tcPr>
          <w:p w14:paraId="47E28092">
            <w:pPr>
              <w:keepNext w:val="0"/>
              <w:keepLines w:val="0"/>
              <w:pageBreakBefore w:val="0"/>
              <w:kinsoku/>
              <w:wordWrap/>
              <w:overflowPunct/>
              <w:topLinePunct w:val="0"/>
              <w:autoSpaceDE/>
              <w:autoSpaceDN/>
              <w:bidi w:val="0"/>
              <w:spacing w:line="288" w:lineRule="auto"/>
              <w:jc w:val="both"/>
              <w:textAlignment w:val="auto"/>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单位</w:t>
            </w:r>
          </w:p>
        </w:tc>
        <w:tc>
          <w:tcPr>
            <w:tcW w:w="217" w:type="pct"/>
            <w:vAlign w:val="center"/>
          </w:tcPr>
          <w:p w14:paraId="27AA3CB8">
            <w:pPr>
              <w:keepNext w:val="0"/>
              <w:keepLines w:val="0"/>
              <w:pageBreakBefore w:val="0"/>
              <w:kinsoku/>
              <w:wordWrap/>
              <w:overflowPunct/>
              <w:topLinePunct w:val="0"/>
              <w:autoSpaceDE/>
              <w:autoSpaceDN/>
              <w:bidi w:val="0"/>
              <w:spacing w:line="288" w:lineRule="auto"/>
              <w:jc w:val="both"/>
              <w:textAlignment w:val="auto"/>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数量</w:t>
            </w:r>
          </w:p>
        </w:tc>
        <w:tc>
          <w:tcPr>
            <w:tcW w:w="359" w:type="pct"/>
            <w:vAlign w:val="center"/>
          </w:tcPr>
          <w:p w14:paraId="417169EC">
            <w:pPr>
              <w:keepNext w:val="0"/>
              <w:keepLines w:val="0"/>
              <w:pageBreakBefore w:val="0"/>
              <w:kinsoku/>
              <w:wordWrap/>
              <w:overflowPunct/>
              <w:topLinePunct w:val="0"/>
              <w:autoSpaceDE/>
              <w:autoSpaceDN/>
              <w:bidi w:val="0"/>
              <w:spacing w:line="288" w:lineRule="auto"/>
              <w:jc w:val="both"/>
              <w:textAlignment w:val="auto"/>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单价（元）</w:t>
            </w:r>
          </w:p>
        </w:tc>
        <w:tc>
          <w:tcPr>
            <w:tcW w:w="450" w:type="pct"/>
            <w:vAlign w:val="center"/>
          </w:tcPr>
          <w:p w14:paraId="5010D55C">
            <w:pPr>
              <w:keepNext w:val="0"/>
              <w:keepLines w:val="0"/>
              <w:pageBreakBefore w:val="0"/>
              <w:kinsoku/>
              <w:wordWrap/>
              <w:overflowPunct/>
              <w:topLinePunct w:val="0"/>
              <w:autoSpaceDE/>
              <w:autoSpaceDN/>
              <w:bidi w:val="0"/>
              <w:spacing w:line="288" w:lineRule="auto"/>
              <w:jc w:val="both"/>
              <w:textAlignment w:val="auto"/>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合价（元）</w:t>
            </w:r>
          </w:p>
        </w:tc>
      </w:tr>
      <w:tr w14:paraId="32B7B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2" w:type="pct"/>
            <w:vAlign w:val="center"/>
          </w:tcPr>
          <w:p w14:paraId="332DF16E">
            <w:pPr>
              <w:keepNext w:val="0"/>
              <w:keepLines w:val="0"/>
              <w:pageBreakBefore w:val="0"/>
              <w:kinsoku/>
              <w:wordWrap/>
              <w:overflowPunct/>
              <w:topLinePunct w:val="0"/>
              <w:autoSpaceDE/>
              <w:autoSpaceDN/>
              <w:bidi w:val="0"/>
              <w:spacing w:line="288" w:lineRule="auto"/>
              <w:jc w:val="center"/>
              <w:textAlignment w:val="auto"/>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sz w:val="20"/>
                <w:szCs w:val="20"/>
                <w:highlight w:val="none"/>
              </w:rPr>
              <w:t>1</w:t>
            </w:r>
          </w:p>
        </w:tc>
        <w:tc>
          <w:tcPr>
            <w:tcW w:w="328" w:type="pct"/>
            <w:vAlign w:val="center"/>
          </w:tcPr>
          <w:p w14:paraId="363CBE27">
            <w:pPr>
              <w:keepNext w:val="0"/>
              <w:keepLines w:val="0"/>
              <w:pageBreakBefore w:val="0"/>
              <w:kinsoku/>
              <w:wordWrap/>
              <w:overflowPunct/>
              <w:topLinePunct w:val="0"/>
              <w:autoSpaceDE/>
              <w:autoSpaceDN/>
              <w:bidi w:val="0"/>
              <w:spacing w:line="288" w:lineRule="auto"/>
              <w:jc w:val="center"/>
              <w:textAlignment w:val="auto"/>
              <w:rPr>
                <w:rFonts w:hint="default"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光固化3D打印机</w:t>
            </w:r>
          </w:p>
        </w:tc>
        <w:tc>
          <w:tcPr>
            <w:tcW w:w="345" w:type="pct"/>
            <w:vAlign w:val="center"/>
          </w:tcPr>
          <w:p w14:paraId="03AFEA0C">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12BCAEA3">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230E6B89">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0DCEC744">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786B5279">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58E34E73">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2C5A07DE">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6851DC0B">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0818E8AD">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0E8C25D2">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i w:val="0"/>
                <w:iCs w:val="0"/>
                <w:color w:val="auto"/>
                <w:kern w:val="2"/>
                <w:sz w:val="20"/>
                <w:szCs w:val="20"/>
                <w:highlight w:val="none"/>
                <w:u w:val="none"/>
                <w:lang w:val="en-US" w:eastAsia="zh-CN" w:bidi="ar-SA"/>
              </w:rPr>
            </w:pPr>
          </w:p>
          <w:p w14:paraId="3366C5DE">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i w:val="0"/>
                <w:iCs w:val="0"/>
                <w:color w:val="auto"/>
                <w:kern w:val="2"/>
                <w:sz w:val="20"/>
                <w:szCs w:val="20"/>
                <w:highlight w:val="none"/>
                <w:u w:val="none"/>
                <w:lang w:val="en-US" w:eastAsia="zh-CN" w:bidi="ar-SA"/>
              </w:rPr>
            </w:pPr>
            <w:r>
              <w:rPr>
                <w:rFonts w:hint="eastAsia" w:ascii="宋体" w:hAnsi="宋体" w:eastAsia="宋体" w:cs="宋体"/>
                <w:b w:val="0"/>
                <w:bCs w:val="0"/>
                <w:i w:val="0"/>
                <w:iCs w:val="0"/>
                <w:color w:val="auto"/>
                <w:kern w:val="2"/>
                <w:sz w:val="20"/>
                <w:szCs w:val="20"/>
                <w:highlight w:val="none"/>
                <w:u w:val="none"/>
                <w:lang w:val="en-US" w:eastAsia="zh-CN" w:bidi="ar-SA"/>
              </w:rPr>
              <w:t>黑格、创想三维、联泰（或同档次品牌以上）</w:t>
            </w:r>
          </w:p>
          <w:p w14:paraId="2443BFE1">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2808DCF1">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7E528774">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490BE883">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112FA824">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144B462F">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4FCA392D">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039BF708">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5E68A6B7">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kern w:val="2"/>
                <w:sz w:val="20"/>
                <w:szCs w:val="20"/>
                <w:highlight w:val="none"/>
                <w:lang w:val="en-US" w:eastAsia="zh-CN" w:bidi="ar-SA"/>
              </w:rPr>
            </w:pPr>
          </w:p>
        </w:tc>
        <w:tc>
          <w:tcPr>
            <w:tcW w:w="2848" w:type="pct"/>
          </w:tcPr>
          <w:p w14:paraId="6683EA63">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▲1.成型技术：光固化成型工艺（LCD）;</w:t>
            </w:r>
          </w:p>
          <w:p w14:paraId="29EF3DF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▲2.成型尺寸(mm)：≥210×110×200</w:t>
            </w:r>
            <w:r>
              <w:rPr>
                <w:rFonts w:hint="eastAsia" w:ascii="宋体" w:hAnsi="宋体" w:cs="宋体"/>
                <w:b w:val="0"/>
                <w:bCs w:val="0"/>
                <w:color w:val="auto"/>
                <w:kern w:val="0"/>
                <w:sz w:val="20"/>
                <w:szCs w:val="20"/>
                <w:highlight w:val="none"/>
                <w:lang w:val="en-US" w:eastAsia="zh-CN"/>
              </w:rPr>
              <w:t>（投标时需提供彩页或官网截图或国家认可的第三方检测机构出具的检测报告，并加盖供应商公章）</w:t>
            </w:r>
            <w:r>
              <w:rPr>
                <w:rFonts w:hint="default" w:ascii="宋体" w:hAnsi="宋体" w:cs="宋体"/>
                <w:b w:val="0"/>
                <w:bCs w:val="0"/>
                <w:color w:val="auto"/>
                <w:kern w:val="0"/>
                <w:sz w:val="20"/>
                <w:szCs w:val="20"/>
                <w:highlight w:val="none"/>
                <w:lang w:val="en-US" w:eastAsia="zh-CN"/>
              </w:rPr>
              <w:t>;</w:t>
            </w:r>
          </w:p>
          <w:p w14:paraId="3B71FB40">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3.设备尺寸(mm)：≤3</w:t>
            </w:r>
            <w:r>
              <w:rPr>
                <w:rFonts w:hint="eastAsia" w:ascii="宋体" w:hAnsi="宋体" w:cs="宋体"/>
                <w:b w:val="0"/>
                <w:bCs w:val="0"/>
                <w:color w:val="auto"/>
                <w:kern w:val="0"/>
                <w:sz w:val="20"/>
                <w:szCs w:val="20"/>
                <w:highlight w:val="none"/>
                <w:lang w:val="en-US" w:eastAsia="zh-CN"/>
              </w:rPr>
              <w:t>9</w:t>
            </w:r>
            <w:r>
              <w:rPr>
                <w:rFonts w:hint="default" w:ascii="宋体" w:hAnsi="宋体" w:cs="宋体"/>
                <w:b w:val="0"/>
                <w:bCs w:val="0"/>
                <w:color w:val="auto"/>
                <w:kern w:val="0"/>
                <w:sz w:val="20"/>
                <w:szCs w:val="20"/>
                <w:highlight w:val="none"/>
                <w:lang w:val="en-US" w:eastAsia="zh-CN"/>
              </w:rPr>
              <w:t>0×3</w:t>
            </w:r>
            <w:r>
              <w:rPr>
                <w:rFonts w:hint="eastAsia" w:ascii="宋体" w:hAnsi="宋体" w:cs="宋体"/>
                <w:b w:val="0"/>
                <w:bCs w:val="0"/>
                <w:color w:val="auto"/>
                <w:kern w:val="0"/>
                <w:sz w:val="20"/>
                <w:szCs w:val="20"/>
                <w:highlight w:val="none"/>
                <w:lang w:val="en-US" w:eastAsia="zh-CN"/>
              </w:rPr>
              <w:t>7</w:t>
            </w:r>
            <w:r>
              <w:rPr>
                <w:rFonts w:hint="default" w:ascii="宋体" w:hAnsi="宋体" w:cs="宋体"/>
                <w:b w:val="0"/>
                <w:bCs w:val="0"/>
                <w:color w:val="auto"/>
                <w:kern w:val="0"/>
                <w:sz w:val="20"/>
                <w:szCs w:val="20"/>
                <w:highlight w:val="none"/>
                <w:lang w:val="en-US" w:eastAsia="zh-CN"/>
              </w:rPr>
              <w:t>0×</w:t>
            </w:r>
            <w:r>
              <w:rPr>
                <w:rFonts w:hint="eastAsia" w:ascii="宋体" w:hAnsi="宋体" w:cs="宋体"/>
                <w:b w:val="0"/>
                <w:bCs w:val="0"/>
                <w:color w:val="auto"/>
                <w:kern w:val="0"/>
                <w:sz w:val="20"/>
                <w:szCs w:val="20"/>
                <w:highlight w:val="none"/>
                <w:lang w:val="en-US" w:eastAsia="zh-CN"/>
              </w:rPr>
              <w:t>59</w:t>
            </w:r>
            <w:r>
              <w:rPr>
                <w:rFonts w:hint="default" w:ascii="宋体" w:hAnsi="宋体" w:cs="宋体"/>
                <w:b w:val="0"/>
                <w:bCs w:val="0"/>
                <w:color w:val="auto"/>
                <w:kern w:val="0"/>
                <w:sz w:val="20"/>
                <w:szCs w:val="20"/>
                <w:highlight w:val="none"/>
                <w:lang w:val="en-US" w:eastAsia="zh-CN"/>
              </w:rPr>
              <w:t>0；</w:t>
            </w:r>
          </w:p>
          <w:p w14:paraId="1396D2EF">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4.净重(kg)：≤</w:t>
            </w:r>
            <w:r>
              <w:rPr>
                <w:rFonts w:hint="eastAsia" w:ascii="宋体" w:hAnsi="宋体" w:cs="宋体"/>
                <w:b w:val="0"/>
                <w:bCs w:val="0"/>
                <w:color w:val="auto"/>
                <w:kern w:val="0"/>
                <w:sz w:val="20"/>
                <w:szCs w:val="20"/>
                <w:highlight w:val="none"/>
                <w:lang w:val="en-US" w:eastAsia="zh-CN"/>
              </w:rPr>
              <w:t>21</w:t>
            </w:r>
            <w:r>
              <w:rPr>
                <w:rFonts w:hint="default" w:ascii="宋体" w:hAnsi="宋体" w:cs="宋体"/>
                <w:b w:val="0"/>
                <w:bCs w:val="0"/>
                <w:color w:val="auto"/>
                <w:kern w:val="0"/>
                <w:sz w:val="20"/>
                <w:szCs w:val="20"/>
                <w:highlight w:val="none"/>
                <w:lang w:val="en-US" w:eastAsia="zh-CN"/>
              </w:rPr>
              <w:t>kg;</w:t>
            </w:r>
          </w:p>
          <w:p w14:paraId="5B7DDC39">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5.</w:t>
            </w:r>
            <w:r>
              <w:rPr>
                <w:rFonts w:hint="eastAsia" w:ascii="宋体" w:hAnsi="宋体" w:cs="宋体"/>
                <w:b w:val="0"/>
                <w:bCs w:val="0"/>
                <w:color w:val="auto"/>
                <w:kern w:val="0"/>
                <w:sz w:val="20"/>
                <w:szCs w:val="20"/>
                <w:highlight w:val="none"/>
                <w:lang w:val="en-US" w:eastAsia="zh-CN"/>
              </w:rPr>
              <w:t>设备</w:t>
            </w:r>
            <w:r>
              <w:rPr>
                <w:rFonts w:hint="default" w:ascii="宋体" w:hAnsi="宋体" w:cs="宋体"/>
                <w:b w:val="0"/>
                <w:bCs w:val="0"/>
                <w:color w:val="auto"/>
                <w:kern w:val="0"/>
                <w:sz w:val="20"/>
                <w:szCs w:val="20"/>
                <w:highlight w:val="none"/>
                <w:lang w:val="en-US" w:eastAsia="zh-CN"/>
              </w:rPr>
              <w:t>材质：金属+树脂;</w:t>
            </w:r>
          </w:p>
          <w:p w14:paraId="25153B9F">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▲6.光</w:t>
            </w:r>
            <w:r>
              <w:rPr>
                <w:rFonts w:hint="eastAsia" w:ascii="宋体" w:hAnsi="宋体" w:cs="宋体"/>
                <w:b w:val="0"/>
                <w:bCs w:val="0"/>
                <w:color w:val="auto"/>
                <w:kern w:val="0"/>
                <w:sz w:val="20"/>
                <w:szCs w:val="20"/>
                <w:highlight w:val="none"/>
                <w:lang w:val="en-US" w:eastAsia="zh-CN"/>
              </w:rPr>
              <w:t>源</w:t>
            </w:r>
            <w:r>
              <w:rPr>
                <w:rFonts w:hint="default" w:ascii="宋体" w:hAnsi="宋体" w:cs="宋体"/>
                <w:b w:val="0"/>
                <w:bCs w:val="0"/>
                <w:color w:val="auto"/>
                <w:kern w:val="0"/>
                <w:sz w:val="20"/>
                <w:szCs w:val="20"/>
                <w:highlight w:val="none"/>
                <w:lang w:val="en-US" w:eastAsia="zh-CN"/>
              </w:rPr>
              <w:t>类型：</w:t>
            </w:r>
            <w:r>
              <w:rPr>
                <w:rFonts w:hint="eastAsia" w:ascii="宋体" w:hAnsi="宋体" w:cs="宋体"/>
                <w:b w:val="0"/>
                <w:bCs w:val="0"/>
                <w:color w:val="auto"/>
                <w:kern w:val="0"/>
                <w:sz w:val="20"/>
                <w:szCs w:val="20"/>
                <w:highlight w:val="none"/>
                <w:lang w:val="en-US" w:eastAsia="zh-CN"/>
              </w:rPr>
              <w:t>蜂窝矩阵光源</w:t>
            </w:r>
            <w:r>
              <w:rPr>
                <w:rFonts w:hint="default" w:ascii="宋体" w:hAnsi="宋体" w:cs="宋体"/>
                <w:b w:val="0"/>
                <w:bCs w:val="0"/>
                <w:color w:val="auto"/>
                <w:kern w:val="0"/>
                <w:sz w:val="20"/>
                <w:szCs w:val="20"/>
                <w:highlight w:val="none"/>
                <w:lang w:val="en-US" w:eastAsia="zh-CN"/>
              </w:rPr>
              <w:t>:</w:t>
            </w:r>
          </w:p>
          <w:p w14:paraId="0BFBCAA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▲7.屏幕类型：≥16K;</w:t>
            </w:r>
          </w:p>
          <w:p w14:paraId="09B82D2D">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▲8.屏幕尺寸：≥10(英寸);</w:t>
            </w:r>
          </w:p>
          <w:p w14:paraId="7D83C871">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▲9.固化速度：≤5(秒/层);</w:t>
            </w:r>
          </w:p>
          <w:p w14:paraId="613C5706">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▲10.打印基本速度：≥Max.170mm/h；</w:t>
            </w:r>
          </w:p>
          <w:p w14:paraId="3C749EB2">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▲11.YX轴分辨率精度(mm)：≥0.02;</w:t>
            </w:r>
          </w:p>
          <w:p w14:paraId="7B4EEFE6">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▲12.打印层厚(mm)：0.01~0.2;</w:t>
            </w:r>
          </w:p>
          <w:p w14:paraId="3C09A01A">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▲13.屏幕分辨率：≥15120×6230;</w:t>
            </w:r>
          </w:p>
          <w:p w14:paraId="25F717A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▲14.支持波长(nm)：≥405;</w:t>
            </w:r>
          </w:p>
          <w:p w14:paraId="692321EB">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15.联机方式：U盘/WIFI；</w:t>
            </w:r>
          </w:p>
          <w:p w14:paraId="6F1148B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▲16.最大功率：≥350W</w:t>
            </w:r>
            <w:r>
              <w:rPr>
                <w:rFonts w:hint="eastAsia" w:ascii="宋体" w:hAnsi="宋体" w:cs="宋体"/>
                <w:b w:val="0"/>
                <w:bCs w:val="0"/>
                <w:color w:val="auto"/>
                <w:kern w:val="0"/>
                <w:sz w:val="20"/>
                <w:szCs w:val="20"/>
                <w:highlight w:val="none"/>
                <w:lang w:val="en-US" w:eastAsia="zh-CN"/>
              </w:rPr>
              <w:t>（投标时需提供彩页或官网截图或国家认可的第三方检测机构出具的检测报告，并加盖供应商公章）</w:t>
            </w:r>
            <w:r>
              <w:rPr>
                <w:rFonts w:hint="default" w:ascii="宋体" w:hAnsi="宋体" w:cs="宋体"/>
                <w:b w:val="0"/>
                <w:bCs w:val="0"/>
                <w:color w:val="auto"/>
                <w:kern w:val="0"/>
                <w:sz w:val="20"/>
                <w:szCs w:val="20"/>
                <w:highlight w:val="none"/>
                <w:lang w:val="en-US" w:eastAsia="zh-CN"/>
              </w:rPr>
              <w:t>；</w:t>
            </w:r>
          </w:p>
          <w:p w14:paraId="5B5CBE49">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17.电压要求：100-240V~50/60Hz；</w:t>
            </w:r>
          </w:p>
          <w:p w14:paraId="07DC310B">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18.支持语言：简体中文、English；</w:t>
            </w:r>
          </w:p>
          <w:p w14:paraId="0A48D9FF">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▲19.需配套3D打印切片软件。</w:t>
            </w:r>
          </w:p>
        </w:tc>
        <w:tc>
          <w:tcPr>
            <w:tcW w:w="230" w:type="pct"/>
            <w:vAlign w:val="center"/>
          </w:tcPr>
          <w:p w14:paraId="5E486287">
            <w:pPr>
              <w:keepNext w:val="0"/>
              <w:keepLines w:val="0"/>
              <w:pageBreakBefore w:val="0"/>
              <w:widowControl/>
              <w:numPr>
                <w:ilvl w:val="0"/>
                <w:numId w:val="0"/>
              </w:numPr>
              <w:kinsoku/>
              <w:wordWrap/>
              <w:overflowPunct/>
              <w:topLinePunct w:val="0"/>
              <w:autoSpaceDE/>
              <w:autoSpaceDN/>
              <w:bidi w:val="0"/>
              <w:spacing w:line="288" w:lineRule="auto"/>
              <w:jc w:val="center"/>
              <w:textAlignment w:val="auto"/>
              <w:rPr>
                <w:rFonts w:hint="eastAsia" w:ascii="宋体" w:hAnsi="宋体" w:eastAsia="宋体" w:cs="宋体"/>
                <w:b w:val="0"/>
                <w:bCs w:val="0"/>
                <w:color w:val="auto"/>
                <w:kern w:val="2"/>
                <w:sz w:val="20"/>
                <w:szCs w:val="20"/>
                <w:highlight w:val="none"/>
                <w:vertAlign w:val="baseline"/>
                <w:lang w:val="en-US" w:eastAsia="zh-CN" w:bidi="ar-SA"/>
              </w:rPr>
            </w:pPr>
            <w:r>
              <w:rPr>
                <w:rFonts w:hint="eastAsia" w:ascii="宋体" w:hAnsi="宋体" w:cs="宋体"/>
                <w:b w:val="0"/>
                <w:bCs w:val="0"/>
                <w:color w:val="auto"/>
                <w:kern w:val="2"/>
                <w:sz w:val="20"/>
                <w:szCs w:val="20"/>
                <w:highlight w:val="none"/>
                <w:vertAlign w:val="baseline"/>
                <w:lang w:val="en-US" w:eastAsia="zh-CN" w:bidi="ar-SA"/>
              </w:rPr>
              <w:t>台</w:t>
            </w:r>
          </w:p>
        </w:tc>
        <w:tc>
          <w:tcPr>
            <w:tcW w:w="217" w:type="pct"/>
            <w:vAlign w:val="center"/>
          </w:tcPr>
          <w:p w14:paraId="4456A230">
            <w:pPr>
              <w:keepNext w:val="0"/>
              <w:keepLines w:val="0"/>
              <w:pageBreakBefore w:val="0"/>
              <w:widowControl/>
              <w:numPr>
                <w:ilvl w:val="0"/>
                <w:numId w:val="0"/>
              </w:numPr>
              <w:kinsoku/>
              <w:wordWrap/>
              <w:overflowPunct/>
              <w:topLinePunct w:val="0"/>
              <w:autoSpaceDE/>
              <w:autoSpaceDN/>
              <w:bidi w:val="0"/>
              <w:spacing w:line="288" w:lineRule="auto"/>
              <w:jc w:val="center"/>
              <w:textAlignment w:val="auto"/>
              <w:rPr>
                <w:rFonts w:hint="eastAsia" w:ascii="宋体" w:hAnsi="宋体" w:eastAsia="宋体" w:cs="宋体"/>
                <w:b w:val="0"/>
                <w:bCs w:val="0"/>
                <w:color w:val="auto"/>
                <w:kern w:val="2"/>
                <w:sz w:val="20"/>
                <w:szCs w:val="20"/>
                <w:highlight w:val="none"/>
                <w:vertAlign w:val="baseline"/>
                <w:lang w:val="en-US" w:eastAsia="zh-CN" w:bidi="ar-SA"/>
              </w:rPr>
            </w:pPr>
            <w:r>
              <w:rPr>
                <w:rFonts w:hint="eastAsia" w:ascii="宋体" w:hAnsi="宋体" w:cs="宋体"/>
                <w:b w:val="0"/>
                <w:bCs w:val="0"/>
                <w:color w:val="auto"/>
                <w:kern w:val="2"/>
                <w:sz w:val="20"/>
                <w:szCs w:val="20"/>
                <w:highlight w:val="none"/>
                <w:vertAlign w:val="baseline"/>
                <w:lang w:val="en-US" w:eastAsia="zh-CN" w:bidi="ar-SA"/>
              </w:rPr>
              <w:t>2</w:t>
            </w:r>
          </w:p>
        </w:tc>
        <w:tc>
          <w:tcPr>
            <w:tcW w:w="359" w:type="pct"/>
            <w:shd w:val="clear" w:color="auto" w:fill="auto"/>
            <w:vAlign w:val="center"/>
          </w:tcPr>
          <w:p w14:paraId="74167A36">
            <w:pPr>
              <w:keepNext w:val="0"/>
              <w:keepLines w:val="0"/>
              <w:widowControl/>
              <w:suppressLineNumbers w:val="0"/>
              <w:jc w:val="center"/>
              <w:textAlignment w:val="center"/>
              <w:rPr>
                <w:rFonts w:hint="eastAsia" w:ascii="黑体" w:hAnsi="宋体" w:eastAsia="黑体" w:cs="黑体"/>
                <w:b w:val="0"/>
                <w:bCs w:val="0"/>
                <w:i w:val="0"/>
                <w:iCs w:val="0"/>
                <w:color w:val="auto"/>
                <w:kern w:val="2"/>
                <w:sz w:val="22"/>
                <w:szCs w:val="22"/>
                <w:highlight w:val="none"/>
                <w:u w:val="none"/>
                <w:lang w:val="en-US" w:eastAsia="zh-CN" w:bidi="ar-SA"/>
              </w:rPr>
            </w:pPr>
            <w:r>
              <w:rPr>
                <w:rFonts w:hint="eastAsia" w:asciiTheme="minorEastAsia" w:hAnsiTheme="minorEastAsia" w:eastAsiaTheme="minorEastAsia" w:cstheme="minorEastAsia"/>
                <w:b w:val="0"/>
                <w:bCs w:val="0"/>
                <w:i w:val="0"/>
                <w:iCs w:val="0"/>
                <w:color w:val="auto"/>
                <w:kern w:val="2"/>
                <w:sz w:val="22"/>
                <w:szCs w:val="22"/>
                <w:highlight w:val="none"/>
                <w:u w:val="none"/>
                <w:lang w:val="en-US" w:eastAsia="zh-CN" w:bidi="ar-SA"/>
              </w:rPr>
              <w:t>13500</w:t>
            </w:r>
          </w:p>
        </w:tc>
        <w:tc>
          <w:tcPr>
            <w:tcW w:w="450" w:type="pct"/>
            <w:shd w:val="clear" w:color="auto" w:fill="auto"/>
            <w:vAlign w:val="center"/>
          </w:tcPr>
          <w:p w14:paraId="37E15E30">
            <w:pPr>
              <w:bidi w:val="0"/>
              <w:rPr>
                <w:rFonts w:hint="default"/>
                <w:b w:val="0"/>
                <w:bCs w:val="0"/>
                <w:highlight w:val="none"/>
                <w:lang w:val="en-US" w:eastAsia="zh-CN"/>
              </w:rPr>
            </w:pPr>
            <w:r>
              <w:rPr>
                <w:rFonts w:hint="eastAsia"/>
                <w:b w:val="0"/>
                <w:bCs w:val="0"/>
                <w:highlight w:val="none"/>
                <w:lang w:val="en-US" w:eastAsia="zh-CN"/>
              </w:rPr>
              <w:t>27000</w:t>
            </w:r>
          </w:p>
        </w:tc>
      </w:tr>
      <w:tr w14:paraId="2C0FD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2" w:type="pct"/>
            <w:vAlign w:val="center"/>
          </w:tcPr>
          <w:p w14:paraId="32DC3DAD">
            <w:pPr>
              <w:keepNext w:val="0"/>
              <w:keepLines w:val="0"/>
              <w:pageBreakBefore w:val="0"/>
              <w:kinsoku/>
              <w:wordWrap/>
              <w:overflowPunct/>
              <w:topLinePunct w:val="0"/>
              <w:autoSpaceDE/>
              <w:autoSpaceDN/>
              <w:bidi w:val="0"/>
              <w:spacing w:line="288" w:lineRule="auto"/>
              <w:jc w:val="center"/>
              <w:textAlignment w:val="auto"/>
              <w:rPr>
                <w:rFonts w:hint="eastAsia" w:ascii="宋体" w:hAnsi="宋体" w:eastAsia="宋体" w:cs="宋体"/>
                <w:b w:val="0"/>
                <w:bCs w:val="0"/>
                <w:color w:val="auto"/>
                <w:sz w:val="20"/>
                <w:szCs w:val="20"/>
                <w:highlight w:val="none"/>
                <w:lang w:val="en-US" w:eastAsia="zh-CN"/>
              </w:rPr>
            </w:pPr>
            <w:r>
              <w:rPr>
                <w:rFonts w:hint="eastAsia" w:ascii="宋体" w:hAnsi="宋体" w:cs="宋体"/>
                <w:b w:val="0"/>
                <w:bCs w:val="0"/>
                <w:color w:val="auto"/>
                <w:sz w:val="20"/>
                <w:szCs w:val="20"/>
                <w:highlight w:val="none"/>
                <w:lang w:val="en-US" w:eastAsia="zh-CN"/>
              </w:rPr>
              <w:t>2</w:t>
            </w:r>
          </w:p>
        </w:tc>
        <w:tc>
          <w:tcPr>
            <w:tcW w:w="328" w:type="pct"/>
            <w:vAlign w:val="center"/>
          </w:tcPr>
          <w:p w14:paraId="0B8B91CB">
            <w:pPr>
              <w:keepNext w:val="0"/>
              <w:keepLines w:val="0"/>
              <w:pageBreakBefore w:val="0"/>
              <w:kinsoku/>
              <w:wordWrap/>
              <w:overflowPunct/>
              <w:topLinePunct w:val="0"/>
              <w:autoSpaceDE/>
              <w:autoSpaceDN/>
              <w:bidi w:val="0"/>
              <w:spacing w:line="288" w:lineRule="auto"/>
              <w:jc w:val="center"/>
              <w:textAlignment w:val="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3D打印机</w:t>
            </w:r>
          </w:p>
        </w:tc>
        <w:tc>
          <w:tcPr>
            <w:tcW w:w="345" w:type="pct"/>
            <w:vAlign w:val="center"/>
          </w:tcPr>
          <w:p w14:paraId="5B67BD5D">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kern w:val="2"/>
                <w:sz w:val="20"/>
                <w:szCs w:val="20"/>
                <w:highlight w:val="none"/>
                <w:lang w:val="en-US" w:eastAsia="zh-CN" w:bidi="ar-SA"/>
              </w:rPr>
            </w:pPr>
            <w:r>
              <w:rPr>
                <w:rFonts w:hint="eastAsia" w:ascii="宋体" w:hAnsi="宋体" w:eastAsia="宋体" w:cs="宋体"/>
                <w:b w:val="0"/>
                <w:bCs w:val="0"/>
                <w:color w:val="auto"/>
                <w:kern w:val="2"/>
                <w:sz w:val="20"/>
                <w:szCs w:val="20"/>
                <w:highlight w:val="none"/>
                <w:lang w:val="en-US" w:eastAsia="zh-CN" w:bidi="ar-SA"/>
              </w:rPr>
              <w:t>拓竹、创想三维、联泰（或同档次品牌以上）</w:t>
            </w:r>
          </w:p>
          <w:p w14:paraId="106A851A">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kern w:val="2"/>
                <w:sz w:val="20"/>
                <w:szCs w:val="20"/>
                <w:highlight w:val="none"/>
                <w:lang w:val="en-US" w:eastAsia="zh-CN" w:bidi="ar-SA"/>
              </w:rPr>
            </w:pPr>
          </w:p>
        </w:tc>
        <w:tc>
          <w:tcPr>
            <w:tcW w:w="2848" w:type="pct"/>
          </w:tcPr>
          <w:p w14:paraId="11E98D8D">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▲1.成型技术：熔融沉积成型（FDM）</w:t>
            </w:r>
          </w:p>
          <w:p w14:paraId="1E677552">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▲2.打印尺寸：单喷嘴模式≥251×251×251mm</w:t>
            </w:r>
            <w:r>
              <w:rPr>
                <w:rFonts w:hint="eastAsia" w:ascii="宋体" w:hAnsi="宋体" w:cs="宋体"/>
                <w:b w:val="0"/>
                <w:bCs w:val="0"/>
                <w:color w:val="auto"/>
                <w:kern w:val="0"/>
                <w:sz w:val="20"/>
                <w:szCs w:val="20"/>
                <w:highlight w:val="none"/>
                <w:lang w:val="en-US" w:eastAsia="zh-CN"/>
              </w:rPr>
              <w:t>(投标时需提供彩页或官网截图或国家认可的第三方检测机构出具的检测报告，并加盖供应商公章)</w:t>
            </w:r>
          </w:p>
          <w:p w14:paraId="11907D7F">
            <w:pPr>
              <w:keepNext w:val="0"/>
              <w:keepLines w:val="0"/>
              <w:pageBreakBefore w:val="0"/>
              <w:widowControl w:val="0"/>
              <w:numPr>
                <w:ilvl w:val="0"/>
                <w:numId w:val="0"/>
              </w:numPr>
              <w:tabs>
                <w:tab w:val="center" w:pos="4338"/>
              </w:tabs>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3.单机机身尺寸：≤500×500×560mm</w:t>
            </w:r>
            <w:r>
              <w:rPr>
                <w:rFonts w:hint="eastAsia" w:ascii="宋体" w:hAnsi="宋体" w:cs="宋体"/>
                <w:b w:val="0"/>
                <w:bCs w:val="0"/>
                <w:color w:val="auto"/>
                <w:kern w:val="0"/>
                <w:sz w:val="20"/>
                <w:szCs w:val="20"/>
                <w:highlight w:val="none"/>
                <w:lang w:val="en-US" w:eastAsia="zh-CN"/>
              </w:rPr>
              <w:tab/>
            </w:r>
          </w:p>
          <w:p w14:paraId="6026B4CD">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4.产品净重：≤22kg</w:t>
            </w:r>
          </w:p>
          <w:p w14:paraId="40456AC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5.外壳框架：机壳为铝材和钢材构成，外壳为塑料和玻璃构成</w:t>
            </w:r>
          </w:p>
          <w:p w14:paraId="0FCBFECC">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▲6.挤出机类型：双挤出轮近程挤出机</w:t>
            </w:r>
          </w:p>
          <w:p w14:paraId="643BCB24">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▲7.挤出机齿轮类型：高强度硬化钢斜齿设计齿轮组，啮合传动过程平稳、寿命更长，适配多种耗材如TPU/PC等耗材，满足各场景打印需要</w:t>
            </w:r>
          </w:p>
          <w:p w14:paraId="4FAF501B">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8.工具头：全金属热端，硬化钢喷嘴，内置工具头切刀</w:t>
            </w:r>
          </w:p>
          <w:p w14:paraId="2946FB84">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▲9.可打印耗材直径：≥1.75 mm</w:t>
            </w:r>
          </w:p>
          <w:p w14:paraId="7083063A">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▲10.喷嘴直径：标配0.4mm口径硬化钢喷嘴（可拓展0.2mm、0.6mm、0.8mm直径喷嘴）</w:t>
            </w:r>
          </w:p>
          <w:p w14:paraId="452AF04B">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▲11.工具头最大移动速度：≥1000 mm/s</w:t>
            </w:r>
            <w:r>
              <w:rPr>
                <w:rFonts w:hint="eastAsia" w:ascii="宋体" w:hAnsi="宋体" w:cs="宋体"/>
                <w:b w:val="0"/>
                <w:bCs w:val="0"/>
                <w:color w:val="auto"/>
                <w:kern w:val="0"/>
                <w:sz w:val="20"/>
                <w:szCs w:val="20"/>
                <w:highlight w:val="none"/>
                <w:lang w:val="en-US" w:eastAsia="zh-CN"/>
              </w:rPr>
              <w:t>(投标时需提供彩页或官网截图或国家认可的第三方检测机构出具的检测报告，并加盖供应商公章)</w:t>
            </w:r>
          </w:p>
          <w:p w14:paraId="715349DD">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▲12.工具头最大加速度：≥20000 m/s</w:t>
            </w:r>
            <w:r>
              <w:rPr>
                <w:rFonts w:hint="eastAsia" w:ascii="宋体" w:hAnsi="宋体" w:cs="宋体"/>
                <w:b w:val="0"/>
                <w:bCs w:val="0"/>
                <w:color w:val="auto"/>
                <w:kern w:val="0"/>
                <w:sz w:val="20"/>
                <w:szCs w:val="20"/>
                <w:highlight w:val="none"/>
                <w:lang w:val="en-US" w:eastAsia="zh-CN"/>
              </w:rPr>
              <w:t>(投标时需提供彩页或官网截图或国家认可的第三方检测机构出具的检测报告，并加盖供应商公章)</w:t>
            </w:r>
          </w:p>
          <w:p w14:paraId="4763CDC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▲13.热端最大流量：≤65mm/s</w:t>
            </w:r>
          </w:p>
          <w:p w14:paraId="5B2DE09A">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14.喷嘴温度：≥350 ℃</w:t>
            </w:r>
          </w:p>
          <w:p w14:paraId="48F31E01">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15.热床温度：≤120 ℃</w:t>
            </w:r>
          </w:p>
          <w:p w14:paraId="4D77A5A0">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 xml:space="preserve">16.主动腔温控制: 支持 </w:t>
            </w:r>
          </w:p>
          <w:p w14:paraId="6B3F1708">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17.最高可控腔温:：≥65℃</w:t>
            </w:r>
          </w:p>
          <w:p w14:paraId="4ADAC5E3">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18.打印平台：标配PEI纹理打印面板，可扩展光面PEI打印面板</w:t>
            </w:r>
          </w:p>
          <w:p w14:paraId="0D217F8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19.调平方式：全自动调平</w:t>
            </w:r>
          </w:p>
          <w:p w14:paraId="1B7FCC82">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20.打印方式：U盘/无线网络</w:t>
            </w:r>
          </w:p>
          <w:p w14:paraId="51B1104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21.联网方式：无线网络</w:t>
            </w:r>
          </w:p>
          <w:p w14:paraId="48EC5880">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▲22. WIFI协议：IEEE 802.11a/b/g/n</w:t>
            </w:r>
          </w:p>
          <w:p w14:paraId="2935657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23.显示屏：≥5英寸，分辨率≥854*480，触摸屏</w:t>
            </w:r>
          </w:p>
          <w:p w14:paraId="4F5E75BC">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24.照明灯：支持，通过打印机屏幕控制开关，且可在APP端及PC端远程开关</w:t>
            </w:r>
          </w:p>
          <w:p w14:paraId="6E075801">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▲25.存储：内置 8 GB EMMC 和 USB 端口</w:t>
            </w:r>
          </w:p>
          <w:p w14:paraId="2FE1B56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▲26.监控摄像头：机箱内置摄像头，分辨率≥1920×1080，具备实时视频流、延时摄影、实时监控打印过程功能。能实时监控打印质量，打印炒面检出，检测打印异常及时暂停打印并自动提醒</w:t>
            </w:r>
          </w:p>
          <w:p w14:paraId="29792294">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27.喷嘴摄像头：配备了带微距镜头的 AI 喷嘴摄像头。智能监控系统持续跟踪挤出状态，即时检测耗材堆积、耗材挤出偏差和挤出故障。</w:t>
            </w:r>
          </w:p>
          <w:p w14:paraId="5B2BDEFD">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29.皮带自动张紧系统：皮带张紧结构会自动检测机器张力。如果需要调节,无需频繁试错，自动张力调节系统可以让皮带张力迅速恢复到最佳状态</w:t>
            </w:r>
          </w:p>
          <w:p w14:paraId="35EFFDCA">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▲30.断电续打：断电自动</w:t>
            </w:r>
            <w:bookmarkStart w:id="0" w:name="_GoBack"/>
            <w:bookmarkEnd w:id="0"/>
            <w:r>
              <w:rPr>
                <w:rFonts w:hint="default" w:ascii="宋体" w:hAnsi="宋体" w:cs="宋体"/>
                <w:b w:val="0"/>
                <w:bCs w:val="0"/>
                <w:color w:val="auto"/>
                <w:kern w:val="0"/>
                <w:sz w:val="20"/>
                <w:szCs w:val="20"/>
                <w:highlight w:val="none"/>
                <w:lang w:val="en-US" w:eastAsia="zh-CN"/>
              </w:rPr>
              <w:t>保存数据，支持来电恢复打印，避免因外界因素导致的时间、耗材浪费</w:t>
            </w:r>
          </w:p>
          <w:p w14:paraId="70B2E082">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▲31.冷却系统：内置部件冷却风扇、热端风扇、主板风扇、腔体外排风扇、腔体加热循环风扇、辅助部件冷却风扇，通过闭环控制来确保打印模型、打印机箱、电源板和主板的散热</w:t>
            </w:r>
          </w:p>
          <w:p w14:paraId="131E7793">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▲32.主动流量补偿：利用挤出机上伺服电机的传感能力和喷嘴上的高分辨率涡流传感器，可通过测量喷嘴压力和校准每条耗材的 PA 参数来精确控制挤出，从而提高表面平滑度和棱角锐利度。</w:t>
            </w:r>
          </w:p>
          <w:p w14:paraId="400C5D28">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33.断料检测：挤出机具备断料检测传感器，能够实时检测到材料用尽并暂停打印，支持断料续打</w:t>
            </w:r>
          </w:p>
          <w:p w14:paraId="01018A93">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34.空气净化：高性能滤芯由G3初效过滤器、H12 HEPA滤芯和高性能椰壳活性炭滤芯复合而成。复合滤芯能够有效过滤打印过程中产生的颗粒物及气味，显著提升在密闭空间中的使用体验</w:t>
            </w:r>
          </w:p>
          <w:p w14:paraId="16D07171">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35.振纹优化：支持自研算法VFA（Vertical Fined Artifacts）振纹优化，降低了打印长直线时电机发出的噪音，并减轻了高速打印时的嗡嗡声。</w:t>
            </w:r>
          </w:p>
          <w:p w14:paraId="2C238CD8">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 xml:space="preserve">▲36.支持耗材：PLA，PETG，TPU，PVA，BVOH，ABS，ASA，PC，PA，PET，PPA-CF，PPA-GF，PPS-CF，PPS-GF </w:t>
            </w:r>
          </w:p>
          <w:p w14:paraId="3F46EBE5">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37.打印文件格式：Gcode</w:t>
            </w:r>
          </w:p>
          <w:p w14:paraId="454FC7ED">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▲38.切片支持格式：3mf、stl、stp、step、amf、obj格式</w:t>
            </w:r>
          </w:p>
          <w:p w14:paraId="4F0DAA5B">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39.HMS2.0健康管理系统：负责收集和监控整个系统状态，包括：硬件连接、工作状态机械状态，以及打印过程中AI功能检测到的问题（例如炒面缺陷），系统一单检测异常，会通过APP、软件以及打印机屏幕上发送消息提醒用户，每个HMS错误代码都有详细描述和对应的解决方案。</w:t>
            </w:r>
          </w:p>
          <w:p w14:paraId="0B5EF229">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▲40.视觉编码系统：超高精度视觉编码板（选购），结合 5µm 分辨率光学测量对工具头运动情况进行校准，使 H2D 能够在整个工作空间内实现一致、可靠的、与运动距离无关的 50µm 运动精度，精度比前代产品提升一个数量级。</w:t>
            </w:r>
          </w:p>
          <w:p w14:paraId="6664E5A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41.自动轴孔补偿：得益于增强的运动精度和 Bambu Studio 针对特定拓竹官方耗材的专门校准，无需繁琐地调整装配间隙，即可次次实现与钢轴等标准件的完美装配。</w:t>
            </w:r>
          </w:p>
          <w:p w14:paraId="771E542D">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▲42.AMS 2 Pro自动供料系统</w:t>
            </w:r>
          </w:p>
          <w:p w14:paraId="0DCB70B2">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a.支持多色打印，至多可串联4台 AMS 和8台AMS HT</w:t>
            </w:r>
          </w:p>
          <w:p w14:paraId="418B04E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b.具备耗材烘干功能，烘干最高温度：≥65℃</w:t>
            </w:r>
          </w:p>
          <w:p w14:paraId="5ABE47C5">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c.配有湿度传感器和密封外壳，配合干燥剂使用可以保证耗材干燥，并显示AMS内部的湿度状态</w:t>
            </w:r>
          </w:p>
          <w:p w14:paraId="1BF6473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d.通过进料缓冲器智能调节送料速度，确保AMS送料和挤出机出料节奏保持同步</w:t>
            </w:r>
          </w:p>
          <w:p w14:paraId="519793A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e.内置里程轮，可以统计从AMS送出的耗材的长度</w:t>
            </w:r>
          </w:p>
          <w:p w14:paraId="18F24988">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f.AMS拥有RFID自动识别自动续料功能，无需手动设置即可实现自动识别耗材颜色类型，同类同型耗材自动识别续料，同时实现耗材余量预估功能</w:t>
            </w:r>
          </w:p>
          <w:p w14:paraId="3CAFB3DC">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g.支持第三方耗材手动设置自动续料</w:t>
            </w:r>
          </w:p>
          <w:p w14:paraId="2E49585F">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h.自适应风门：自动排气有利烘干过程中的除湿和气密密封。</w:t>
            </w:r>
          </w:p>
          <w:p w14:paraId="01052E29">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i.自旋转均匀：烘干烘干过程中，料盘会自动进行转动，让烘干效果更均匀。</w:t>
            </w:r>
          </w:p>
          <w:p w14:paraId="6B2B6213">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j.陶瓷进料口：维氏硬度达到 1200 的陶瓷材质进料口，显著提升耐用度。</w:t>
            </w:r>
          </w:p>
          <w:p w14:paraId="712DE55F">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FF0000"/>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▲43.需配套3D打印切片软件，全中文界面，切片、控制打印、操作一体（</w:t>
            </w:r>
            <w:r>
              <w:rPr>
                <w:rFonts w:hint="eastAsia" w:ascii="宋体" w:hAnsi="宋体" w:cs="宋体"/>
                <w:b w:val="0"/>
                <w:bCs w:val="0"/>
                <w:color w:val="auto"/>
                <w:kern w:val="0"/>
                <w:sz w:val="20"/>
                <w:szCs w:val="20"/>
                <w:highlight w:val="none"/>
                <w:lang w:val="en-US" w:eastAsia="zh-CN"/>
              </w:rPr>
              <w:t>投标时</w:t>
            </w:r>
            <w:r>
              <w:rPr>
                <w:rFonts w:hint="default" w:ascii="宋体" w:hAnsi="宋体" w:cs="宋体"/>
                <w:b w:val="0"/>
                <w:bCs w:val="0"/>
                <w:color w:val="auto"/>
                <w:kern w:val="0"/>
                <w:sz w:val="20"/>
                <w:szCs w:val="20"/>
                <w:highlight w:val="none"/>
                <w:lang w:val="en-US" w:eastAsia="zh-CN"/>
              </w:rPr>
              <w:t>提供功能截图证明</w:t>
            </w:r>
            <w:r>
              <w:rPr>
                <w:rFonts w:hint="eastAsia" w:ascii="宋体" w:hAnsi="宋体" w:cs="宋体"/>
                <w:b w:val="0"/>
                <w:bCs w:val="0"/>
                <w:color w:val="auto"/>
                <w:kern w:val="0"/>
                <w:sz w:val="20"/>
                <w:szCs w:val="20"/>
                <w:highlight w:val="none"/>
                <w:lang w:val="en-US" w:eastAsia="zh-CN"/>
              </w:rPr>
              <w:t>，并加盖供应商公章</w:t>
            </w:r>
            <w:r>
              <w:rPr>
                <w:rFonts w:hint="default" w:ascii="宋体" w:hAnsi="宋体" w:cs="宋体"/>
                <w:b w:val="0"/>
                <w:bCs w:val="0"/>
                <w:color w:val="FF0000"/>
                <w:kern w:val="0"/>
                <w:sz w:val="20"/>
                <w:szCs w:val="20"/>
                <w:highlight w:val="none"/>
                <w:lang w:val="en-US" w:eastAsia="zh-CN"/>
              </w:rPr>
              <w:t>）</w:t>
            </w:r>
          </w:p>
          <w:p w14:paraId="70A1FBB5">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a.操作界面为视窗式界面，载入模型数据后可直观的观看模型</w:t>
            </w:r>
          </w:p>
          <w:p w14:paraId="7C9507F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b.具有一键自动打印布局功能，具有旋转、移动、缩放模型功能，缩放功能支持三轴一起整体缩放，也支持单轴(XYZ中任一轴)的局部缩放</w:t>
            </w:r>
          </w:p>
          <w:p w14:paraId="242D6BE0">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c.可对模型进行错误自动修复，对两个以上的模型进行合并</w:t>
            </w:r>
          </w:p>
          <w:p w14:paraId="22866BA3">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d.具有打印预览功能，载入模型后一键显示模型打印 时间及消耗材料重量，预览可看每一层面的成型、支撑结构</w:t>
            </w:r>
          </w:p>
          <w:p w14:paraId="4532A07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e.具有一键调整工作台与喷嘴高度(即对高) 功能， 具备一键调整工作台相对喷头的水平(即调平)功能；具有模型打印自动生成支撑结构功能，并可手动增 减支撑</w:t>
            </w:r>
          </w:p>
          <w:p w14:paraId="1AB93F8C">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f.具有动态层厚打印功能，对同一个模型不同部位使用不同的层厚进行打印，多个模型同时打印时可对各模型独立进行打印参数设置</w:t>
            </w:r>
          </w:p>
          <w:p w14:paraId="6C9754E9">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g.具有局部填充密度功能，可以根据模型受力不同， 在不同区域选择不同的填充密度, 提高打印模型综合性能</w:t>
            </w:r>
          </w:p>
          <w:p w14:paraId="5521F323">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h.具有自动或手动裁切处理功能，手动裁切方式可通过鼠标实现裁切位置的选择</w:t>
            </w:r>
          </w:p>
          <w:p w14:paraId="33FB79AB">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44.自有模型社区网站，可提供模型的展示，上传，下载，点赞，收藏，评论，分享等功能，具备网页端模型制作工具，包括但不限于精灵生成器、透光浮雕生成器、桌面收纳盒生成器、图像钥匙扣生成器、参数化模型编辑器、像素拼图生成器、花瓶生成器、标牌定制器等内容（</w:t>
            </w:r>
            <w:r>
              <w:rPr>
                <w:rFonts w:hint="eastAsia" w:ascii="宋体" w:hAnsi="宋体" w:cs="宋体"/>
                <w:b w:val="0"/>
                <w:bCs w:val="0"/>
                <w:color w:val="auto"/>
                <w:kern w:val="0"/>
                <w:sz w:val="20"/>
                <w:szCs w:val="20"/>
                <w:highlight w:val="none"/>
                <w:lang w:val="en-US" w:eastAsia="zh-CN"/>
              </w:rPr>
              <w:t>投标时</w:t>
            </w:r>
            <w:r>
              <w:rPr>
                <w:rFonts w:hint="default" w:ascii="宋体" w:hAnsi="宋体" w:cs="宋体"/>
                <w:b w:val="0"/>
                <w:bCs w:val="0"/>
                <w:color w:val="auto"/>
                <w:kern w:val="0"/>
                <w:sz w:val="20"/>
                <w:szCs w:val="20"/>
                <w:highlight w:val="none"/>
                <w:lang w:val="en-US" w:eastAsia="zh-CN"/>
              </w:rPr>
              <w:t>提供页面截图证明</w:t>
            </w:r>
            <w:r>
              <w:rPr>
                <w:rFonts w:hint="eastAsia" w:ascii="宋体" w:hAnsi="宋体" w:cs="宋体"/>
                <w:b w:val="0"/>
                <w:bCs w:val="0"/>
                <w:color w:val="auto"/>
                <w:kern w:val="0"/>
                <w:sz w:val="20"/>
                <w:szCs w:val="20"/>
                <w:highlight w:val="none"/>
                <w:lang w:val="en-US" w:eastAsia="zh-CN"/>
              </w:rPr>
              <w:t>，并加盖供应商公章</w:t>
            </w:r>
            <w:r>
              <w:rPr>
                <w:rFonts w:hint="default" w:ascii="宋体" w:hAnsi="宋体" w:cs="宋体"/>
                <w:b w:val="0"/>
                <w:bCs w:val="0"/>
                <w:color w:val="auto"/>
                <w:kern w:val="0"/>
                <w:sz w:val="20"/>
                <w:szCs w:val="20"/>
                <w:highlight w:val="none"/>
                <w:lang w:val="en-US" w:eastAsia="zh-CN"/>
              </w:rPr>
              <w:t>）</w:t>
            </w:r>
          </w:p>
        </w:tc>
        <w:tc>
          <w:tcPr>
            <w:tcW w:w="230" w:type="pct"/>
            <w:vAlign w:val="center"/>
          </w:tcPr>
          <w:p w14:paraId="13F566A4">
            <w:pPr>
              <w:keepNext w:val="0"/>
              <w:keepLines w:val="0"/>
              <w:pageBreakBefore w:val="0"/>
              <w:widowControl/>
              <w:numPr>
                <w:ilvl w:val="0"/>
                <w:numId w:val="0"/>
              </w:numPr>
              <w:kinsoku/>
              <w:wordWrap/>
              <w:overflowPunct/>
              <w:topLinePunct w:val="0"/>
              <w:autoSpaceDE/>
              <w:autoSpaceDN/>
              <w:bidi w:val="0"/>
              <w:spacing w:line="288" w:lineRule="auto"/>
              <w:jc w:val="center"/>
              <w:textAlignment w:val="auto"/>
              <w:rPr>
                <w:rFonts w:hint="eastAsia" w:ascii="宋体" w:hAnsi="宋体" w:cs="宋体"/>
                <w:b w:val="0"/>
                <w:bCs w:val="0"/>
                <w:color w:val="auto"/>
                <w:kern w:val="2"/>
                <w:sz w:val="20"/>
                <w:szCs w:val="20"/>
                <w:highlight w:val="none"/>
                <w:vertAlign w:val="baseline"/>
                <w:lang w:val="en-US" w:eastAsia="zh-CN" w:bidi="ar-SA"/>
              </w:rPr>
            </w:pPr>
            <w:r>
              <w:rPr>
                <w:rFonts w:hint="eastAsia" w:ascii="宋体" w:hAnsi="宋体" w:cs="宋体"/>
                <w:b w:val="0"/>
                <w:bCs w:val="0"/>
                <w:color w:val="auto"/>
                <w:kern w:val="2"/>
                <w:sz w:val="20"/>
                <w:szCs w:val="20"/>
                <w:highlight w:val="none"/>
                <w:vertAlign w:val="baseline"/>
                <w:lang w:val="en-US" w:eastAsia="zh-CN" w:bidi="ar-SA"/>
              </w:rPr>
              <w:t>台</w:t>
            </w:r>
          </w:p>
        </w:tc>
        <w:tc>
          <w:tcPr>
            <w:tcW w:w="217" w:type="pct"/>
            <w:vAlign w:val="center"/>
          </w:tcPr>
          <w:p w14:paraId="799433EF">
            <w:pPr>
              <w:keepNext w:val="0"/>
              <w:keepLines w:val="0"/>
              <w:pageBreakBefore w:val="0"/>
              <w:widowControl/>
              <w:numPr>
                <w:ilvl w:val="0"/>
                <w:numId w:val="0"/>
              </w:numPr>
              <w:kinsoku/>
              <w:wordWrap/>
              <w:overflowPunct/>
              <w:topLinePunct w:val="0"/>
              <w:autoSpaceDE/>
              <w:autoSpaceDN/>
              <w:bidi w:val="0"/>
              <w:spacing w:line="288" w:lineRule="auto"/>
              <w:jc w:val="center"/>
              <w:textAlignment w:val="auto"/>
              <w:rPr>
                <w:rFonts w:hint="default" w:ascii="宋体" w:hAnsi="宋体" w:cs="宋体"/>
                <w:b w:val="0"/>
                <w:bCs w:val="0"/>
                <w:color w:val="auto"/>
                <w:kern w:val="2"/>
                <w:sz w:val="20"/>
                <w:szCs w:val="20"/>
                <w:highlight w:val="none"/>
                <w:vertAlign w:val="baseline"/>
                <w:lang w:val="en-US" w:eastAsia="zh-CN" w:bidi="ar-SA"/>
              </w:rPr>
            </w:pPr>
            <w:r>
              <w:rPr>
                <w:rFonts w:hint="eastAsia" w:ascii="宋体" w:hAnsi="宋体" w:cs="宋体"/>
                <w:b w:val="0"/>
                <w:bCs w:val="0"/>
                <w:color w:val="auto"/>
                <w:kern w:val="2"/>
                <w:sz w:val="20"/>
                <w:szCs w:val="20"/>
                <w:highlight w:val="none"/>
                <w:vertAlign w:val="baseline"/>
                <w:lang w:val="en-US" w:eastAsia="zh-CN" w:bidi="ar-SA"/>
              </w:rPr>
              <w:t>2</w:t>
            </w:r>
          </w:p>
        </w:tc>
        <w:tc>
          <w:tcPr>
            <w:tcW w:w="359" w:type="pct"/>
            <w:shd w:val="clear" w:color="auto" w:fill="auto"/>
            <w:vAlign w:val="center"/>
          </w:tcPr>
          <w:p w14:paraId="146A88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2"/>
                <w:sz w:val="22"/>
                <w:szCs w:val="22"/>
                <w:highlight w:val="none"/>
                <w:u w:val="none"/>
                <w:lang w:val="en-US" w:eastAsia="zh-CN" w:bidi="ar-SA"/>
              </w:rPr>
            </w:pPr>
            <w:r>
              <w:rPr>
                <w:rFonts w:hint="eastAsia" w:asciiTheme="minorEastAsia" w:hAnsiTheme="minorEastAsia" w:eastAsiaTheme="minorEastAsia" w:cstheme="minorEastAsia"/>
                <w:b w:val="0"/>
                <w:bCs w:val="0"/>
                <w:i w:val="0"/>
                <w:iCs w:val="0"/>
                <w:color w:val="auto"/>
                <w:kern w:val="2"/>
                <w:sz w:val="22"/>
                <w:szCs w:val="22"/>
                <w:highlight w:val="none"/>
                <w:u w:val="none"/>
                <w:lang w:val="en-US" w:eastAsia="zh-CN" w:bidi="ar-SA"/>
              </w:rPr>
              <w:t>10000</w:t>
            </w:r>
          </w:p>
        </w:tc>
        <w:tc>
          <w:tcPr>
            <w:tcW w:w="450" w:type="pct"/>
            <w:shd w:val="clear" w:color="auto" w:fill="auto"/>
            <w:vAlign w:val="center"/>
          </w:tcPr>
          <w:p w14:paraId="61BDA3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2"/>
                <w:sz w:val="22"/>
                <w:szCs w:val="22"/>
                <w:highlight w:val="none"/>
                <w:u w:val="none"/>
                <w:lang w:val="en-US" w:eastAsia="zh-CN" w:bidi="ar-SA"/>
              </w:rPr>
            </w:pPr>
            <w:r>
              <w:rPr>
                <w:rFonts w:hint="eastAsia" w:asciiTheme="minorEastAsia" w:hAnsiTheme="minorEastAsia" w:eastAsiaTheme="minorEastAsia" w:cstheme="minorEastAsia"/>
                <w:b w:val="0"/>
                <w:bCs w:val="0"/>
                <w:i w:val="0"/>
                <w:iCs w:val="0"/>
                <w:color w:val="auto"/>
                <w:kern w:val="2"/>
                <w:sz w:val="22"/>
                <w:szCs w:val="22"/>
                <w:highlight w:val="none"/>
                <w:u w:val="none"/>
                <w:lang w:val="en-US" w:eastAsia="zh-CN" w:bidi="ar-SA"/>
              </w:rPr>
              <w:t>20000</w:t>
            </w:r>
          </w:p>
        </w:tc>
      </w:tr>
      <w:tr w14:paraId="5B3F8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2" w:type="pct"/>
            <w:vAlign w:val="center"/>
          </w:tcPr>
          <w:p w14:paraId="6F7A6012">
            <w:pPr>
              <w:keepNext w:val="0"/>
              <w:keepLines w:val="0"/>
              <w:pageBreakBefore w:val="0"/>
              <w:kinsoku/>
              <w:wordWrap/>
              <w:overflowPunct/>
              <w:topLinePunct w:val="0"/>
              <w:autoSpaceDE/>
              <w:autoSpaceDN/>
              <w:bidi w:val="0"/>
              <w:spacing w:line="288" w:lineRule="auto"/>
              <w:jc w:val="center"/>
              <w:textAlignment w:val="auto"/>
              <w:rPr>
                <w:rFonts w:hint="eastAsia" w:ascii="宋体" w:hAnsi="宋体" w:eastAsia="宋体" w:cs="宋体"/>
                <w:b w:val="0"/>
                <w:bCs w:val="0"/>
                <w:color w:val="auto"/>
                <w:sz w:val="20"/>
                <w:szCs w:val="20"/>
                <w:highlight w:val="none"/>
                <w:lang w:val="en-US" w:eastAsia="zh-CN"/>
              </w:rPr>
            </w:pPr>
            <w:r>
              <w:rPr>
                <w:rFonts w:hint="eastAsia" w:ascii="宋体" w:hAnsi="宋体" w:cs="宋体"/>
                <w:b w:val="0"/>
                <w:bCs w:val="0"/>
                <w:color w:val="auto"/>
                <w:sz w:val="20"/>
                <w:szCs w:val="20"/>
                <w:highlight w:val="none"/>
                <w:lang w:val="en-US" w:eastAsia="zh-CN"/>
              </w:rPr>
              <w:t>3</w:t>
            </w:r>
          </w:p>
        </w:tc>
        <w:tc>
          <w:tcPr>
            <w:tcW w:w="328" w:type="pct"/>
            <w:vAlign w:val="center"/>
          </w:tcPr>
          <w:p w14:paraId="732783A0">
            <w:pPr>
              <w:keepNext w:val="0"/>
              <w:keepLines w:val="0"/>
              <w:pageBreakBefore w:val="0"/>
              <w:kinsoku/>
              <w:wordWrap/>
              <w:overflowPunct/>
              <w:topLinePunct w:val="0"/>
              <w:autoSpaceDE/>
              <w:autoSpaceDN/>
              <w:bidi w:val="0"/>
              <w:spacing w:line="288" w:lineRule="auto"/>
              <w:jc w:val="center"/>
              <w:textAlignment w:val="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3D扫描仪</w:t>
            </w:r>
          </w:p>
        </w:tc>
        <w:tc>
          <w:tcPr>
            <w:tcW w:w="345" w:type="pct"/>
            <w:vAlign w:val="center"/>
          </w:tcPr>
          <w:p w14:paraId="10E73718">
            <w:pPr>
              <w:keepNext w:val="0"/>
              <w:keepLines w:val="0"/>
              <w:pageBreakBefore w:val="0"/>
              <w:kinsoku/>
              <w:wordWrap/>
              <w:overflowPunct/>
              <w:topLinePunct w:val="0"/>
              <w:autoSpaceDE/>
              <w:autoSpaceDN/>
              <w:bidi w:val="0"/>
              <w:spacing w:line="288" w:lineRule="auto"/>
              <w:textAlignment w:val="auto"/>
              <w:rPr>
                <w:rFonts w:hint="eastAsia" w:ascii="宋体" w:hAnsi="宋体" w:cs="宋体"/>
                <w:b w:val="0"/>
                <w:bCs w:val="0"/>
                <w:color w:val="auto"/>
                <w:sz w:val="20"/>
                <w:szCs w:val="20"/>
                <w:highlight w:val="none"/>
                <w:lang w:val="en-US" w:eastAsia="zh-CN"/>
              </w:rPr>
            </w:pPr>
            <w:r>
              <w:rPr>
                <w:rFonts w:hint="eastAsia" w:ascii="宋体" w:hAnsi="宋体" w:cs="宋体"/>
                <w:b w:val="0"/>
                <w:bCs w:val="0"/>
                <w:color w:val="auto"/>
                <w:sz w:val="20"/>
                <w:szCs w:val="20"/>
                <w:highlight w:val="none"/>
                <w:lang w:val="en-US" w:eastAsia="zh-CN"/>
              </w:rPr>
              <w:t>深圳积木 、思看科技、先临三维（或同档次品牌以上）</w:t>
            </w:r>
          </w:p>
          <w:p w14:paraId="32240108">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kern w:val="2"/>
                <w:sz w:val="20"/>
                <w:szCs w:val="20"/>
                <w:highlight w:val="none"/>
                <w:lang w:val="en-US" w:eastAsia="zh-CN" w:bidi="ar-SA"/>
              </w:rPr>
            </w:pPr>
          </w:p>
        </w:tc>
        <w:tc>
          <w:tcPr>
            <w:tcW w:w="2848" w:type="pct"/>
          </w:tcPr>
          <w:p w14:paraId="2B69377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▲1.工作方式：桌面全自动模式、手持模式扫描仪、手持+转台模式</w:t>
            </w:r>
          </w:p>
          <w:p w14:paraId="2A990C15">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▲2.扫描形态：单摄像头扫描</w:t>
            </w:r>
          </w:p>
          <w:p w14:paraId="1E6115F5">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3.扫描方式：可仅通过被扫物体“形状”特征进行扫描，可仅通过被扫物体的“色彩纹理”进行扫描，两种模式均无需粘贴任何辅助点、无需做任何标定</w:t>
            </w:r>
          </w:p>
          <w:p w14:paraId="0EF00F4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4.纹理获取：扫描仪自带纹理相机，可扩展外部手机相机及单反相机获取纹理数据</w:t>
            </w:r>
          </w:p>
          <w:p w14:paraId="3B583D0F">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▲5. 3D分辨率：≥0.25 mm</w:t>
            </w:r>
          </w:p>
          <w:p w14:paraId="28B6FD4A">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▲6.扫描幅面：≥400mm</w:t>
            </w:r>
          </w:p>
          <w:p w14:paraId="1987B44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▲7.最大测量范围：转台全自动扫描:≥300×300×300mm，自由扫描:≥2000mm×2000mm×2000mm</w:t>
            </w:r>
          </w:p>
          <w:p w14:paraId="24F0CC68">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▲8.扫描时间：转台全自动扫描:≤45S，自由扫描:&lt;1s(单片)；</w:t>
            </w:r>
          </w:p>
          <w:p w14:paraId="7830808C">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▲9. 3D数据精度：≥0.1mm</w:t>
            </w:r>
          </w:p>
          <w:p w14:paraId="4EE035DA">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▲10.采集速度：≥40万点/秒</w:t>
            </w:r>
          </w:p>
          <w:p w14:paraId="6DA61008">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▲11.纹理清晰度：1.3mp(单幅≥130万，输出最高≥16K)</w:t>
            </w:r>
          </w:p>
          <w:p w14:paraId="6A94CBE8">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12.支持系统：Win+Mac</w:t>
            </w:r>
          </w:p>
          <w:p w14:paraId="34346ED1">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▲13.光源：LED白光(非激光)</w:t>
            </w:r>
          </w:p>
          <w:p w14:paraId="3D35CC9A">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▲14.视频帧速率：≥16fps</w:t>
            </w:r>
          </w:p>
          <w:p w14:paraId="40F67FF0">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▲15.多核处理器：是</w:t>
            </w:r>
          </w:p>
          <w:p w14:paraId="3EF59656">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16.重量：≤0.8kg</w:t>
            </w:r>
          </w:p>
          <w:p w14:paraId="594A1EA0">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17.连接接口：USB3.0</w:t>
            </w:r>
          </w:p>
          <w:p w14:paraId="3CCEFA4C">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18.输出格式：obj ply stl. asc</w:t>
            </w:r>
          </w:p>
          <w:p w14:paraId="283BC0E8">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▲19.软件功能：无需贴点、校准、开机即扫数据采集、处理、优化自动生成，无需人工处理支持断点记忆扫描，通电即扫。</w:t>
            </w:r>
          </w:p>
        </w:tc>
        <w:tc>
          <w:tcPr>
            <w:tcW w:w="230" w:type="pct"/>
            <w:vAlign w:val="center"/>
          </w:tcPr>
          <w:p w14:paraId="6BEE3E51">
            <w:pPr>
              <w:keepNext w:val="0"/>
              <w:keepLines w:val="0"/>
              <w:pageBreakBefore w:val="0"/>
              <w:widowControl/>
              <w:numPr>
                <w:ilvl w:val="0"/>
                <w:numId w:val="0"/>
              </w:numPr>
              <w:kinsoku/>
              <w:wordWrap/>
              <w:overflowPunct/>
              <w:topLinePunct w:val="0"/>
              <w:autoSpaceDE/>
              <w:autoSpaceDN/>
              <w:bidi w:val="0"/>
              <w:spacing w:line="288" w:lineRule="auto"/>
              <w:jc w:val="center"/>
              <w:textAlignment w:val="auto"/>
              <w:rPr>
                <w:rFonts w:hint="eastAsia" w:ascii="宋体" w:hAnsi="宋体" w:cs="宋体"/>
                <w:b w:val="0"/>
                <w:bCs w:val="0"/>
                <w:color w:val="auto"/>
                <w:kern w:val="2"/>
                <w:sz w:val="20"/>
                <w:szCs w:val="20"/>
                <w:highlight w:val="none"/>
                <w:vertAlign w:val="baseline"/>
                <w:lang w:val="en-US" w:eastAsia="zh-CN" w:bidi="ar-SA"/>
              </w:rPr>
            </w:pPr>
            <w:r>
              <w:rPr>
                <w:rFonts w:hint="eastAsia" w:ascii="宋体" w:hAnsi="宋体" w:cs="宋体"/>
                <w:b w:val="0"/>
                <w:bCs w:val="0"/>
                <w:color w:val="auto"/>
                <w:kern w:val="2"/>
                <w:sz w:val="20"/>
                <w:szCs w:val="20"/>
                <w:highlight w:val="none"/>
                <w:vertAlign w:val="baseline"/>
                <w:lang w:val="en-US" w:eastAsia="zh-CN" w:bidi="ar-SA"/>
              </w:rPr>
              <w:t>台</w:t>
            </w:r>
          </w:p>
        </w:tc>
        <w:tc>
          <w:tcPr>
            <w:tcW w:w="217" w:type="pct"/>
            <w:vAlign w:val="center"/>
          </w:tcPr>
          <w:p w14:paraId="7917C286">
            <w:pPr>
              <w:keepNext w:val="0"/>
              <w:keepLines w:val="0"/>
              <w:pageBreakBefore w:val="0"/>
              <w:widowControl/>
              <w:numPr>
                <w:ilvl w:val="0"/>
                <w:numId w:val="0"/>
              </w:numPr>
              <w:kinsoku/>
              <w:wordWrap/>
              <w:overflowPunct/>
              <w:topLinePunct w:val="0"/>
              <w:autoSpaceDE/>
              <w:autoSpaceDN/>
              <w:bidi w:val="0"/>
              <w:spacing w:line="288" w:lineRule="auto"/>
              <w:jc w:val="center"/>
              <w:textAlignment w:val="auto"/>
              <w:rPr>
                <w:rFonts w:hint="default" w:ascii="宋体" w:hAnsi="宋体" w:cs="宋体"/>
                <w:b w:val="0"/>
                <w:bCs w:val="0"/>
                <w:color w:val="auto"/>
                <w:kern w:val="2"/>
                <w:sz w:val="20"/>
                <w:szCs w:val="20"/>
                <w:highlight w:val="none"/>
                <w:vertAlign w:val="baseline"/>
                <w:lang w:val="en-US" w:eastAsia="zh-CN" w:bidi="ar-SA"/>
              </w:rPr>
            </w:pPr>
            <w:r>
              <w:rPr>
                <w:rFonts w:hint="eastAsia" w:ascii="宋体" w:hAnsi="宋体" w:cs="宋体"/>
                <w:b w:val="0"/>
                <w:bCs w:val="0"/>
                <w:color w:val="auto"/>
                <w:kern w:val="2"/>
                <w:sz w:val="20"/>
                <w:szCs w:val="20"/>
                <w:highlight w:val="none"/>
                <w:vertAlign w:val="baseline"/>
                <w:lang w:val="en-US" w:eastAsia="zh-CN" w:bidi="ar-SA"/>
              </w:rPr>
              <w:t>1</w:t>
            </w:r>
          </w:p>
        </w:tc>
        <w:tc>
          <w:tcPr>
            <w:tcW w:w="359" w:type="pct"/>
            <w:shd w:val="clear" w:color="auto" w:fill="auto"/>
            <w:vAlign w:val="center"/>
          </w:tcPr>
          <w:p w14:paraId="2D9D52F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2"/>
                <w:sz w:val="22"/>
                <w:szCs w:val="22"/>
                <w:highlight w:val="none"/>
                <w:u w:val="none"/>
                <w:lang w:val="en-US" w:eastAsia="zh-CN" w:bidi="ar-SA"/>
              </w:rPr>
            </w:pPr>
            <w:r>
              <w:rPr>
                <w:rFonts w:hint="eastAsia" w:asciiTheme="minorEastAsia" w:hAnsiTheme="minorEastAsia" w:eastAsiaTheme="minorEastAsia" w:cstheme="minorEastAsia"/>
                <w:b w:val="0"/>
                <w:bCs w:val="0"/>
                <w:i w:val="0"/>
                <w:iCs w:val="0"/>
                <w:color w:val="auto"/>
                <w:kern w:val="2"/>
                <w:sz w:val="22"/>
                <w:szCs w:val="22"/>
                <w:highlight w:val="none"/>
                <w:u w:val="none"/>
                <w:lang w:val="en-US" w:eastAsia="zh-CN" w:bidi="ar-SA"/>
              </w:rPr>
              <w:t>7000</w:t>
            </w:r>
          </w:p>
        </w:tc>
        <w:tc>
          <w:tcPr>
            <w:tcW w:w="450" w:type="pct"/>
            <w:shd w:val="clear" w:color="auto" w:fill="auto"/>
            <w:vAlign w:val="center"/>
          </w:tcPr>
          <w:p w14:paraId="0FEFD5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2"/>
                <w:sz w:val="22"/>
                <w:szCs w:val="22"/>
                <w:highlight w:val="none"/>
                <w:u w:val="none"/>
                <w:lang w:val="en-US" w:eastAsia="zh-CN" w:bidi="ar-SA"/>
              </w:rPr>
            </w:pPr>
            <w:r>
              <w:rPr>
                <w:rFonts w:hint="eastAsia" w:asciiTheme="minorEastAsia" w:hAnsiTheme="minorEastAsia" w:eastAsiaTheme="minorEastAsia" w:cstheme="minorEastAsia"/>
                <w:b w:val="0"/>
                <w:bCs w:val="0"/>
                <w:i w:val="0"/>
                <w:iCs w:val="0"/>
                <w:color w:val="auto"/>
                <w:kern w:val="2"/>
                <w:sz w:val="22"/>
                <w:szCs w:val="22"/>
                <w:highlight w:val="none"/>
                <w:u w:val="none"/>
                <w:lang w:val="en-US" w:eastAsia="zh-CN" w:bidi="ar-SA"/>
              </w:rPr>
              <w:t>7000</w:t>
            </w:r>
          </w:p>
        </w:tc>
      </w:tr>
      <w:tr w14:paraId="7EF64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2" w:type="pct"/>
            <w:vAlign w:val="center"/>
          </w:tcPr>
          <w:p w14:paraId="2A1322FD">
            <w:pPr>
              <w:keepNext w:val="0"/>
              <w:keepLines w:val="0"/>
              <w:pageBreakBefore w:val="0"/>
              <w:kinsoku/>
              <w:wordWrap/>
              <w:overflowPunct/>
              <w:topLinePunct w:val="0"/>
              <w:autoSpaceDE/>
              <w:autoSpaceDN/>
              <w:bidi w:val="0"/>
              <w:spacing w:line="288" w:lineRule="auto"/>
              <w:jc w:val="center"/>
              <w:textAlignment w:val="auto"/>
              <w:rPr>
                <w:rFonts w:hint="eastAsia" w:ascii="宋体" w:hAnsi="宋体" w:eastAsia="宋体" w:cs="宋体"/>
                <w:b w:val="0"/>
                <w:bCs w:val="0"/>
                <w:color w:val="auto"/>
                <w:sz w:val="20"/>
                <w:szCs w:val="20"/>
                <w:highlight w:val="none"/>
                <w:lang w:val="en-US" w:eastAsia="zh-CN"/>
              </w:rPr>
            </w:pPr>
            <w:r>
              <w:rPr>
                <w:rFonts w:hint="eastAsia" w:ascii="宋体" w:hAnsi="宋体" w:cs="宋体"/>
                <w:b w:val="0"/>
                <w:bCs w:val="0"/>
                <w:color w:val="auto"/>
                <w:sz w:val="20"/>
                <w:szCs w:val="20"/>
                <w:highlight w:val="none"/>
                <w:lang w:val="en-US" w:eastAsia="zh-CN"/>
              </w:rPr>
              <w:t>4</w:t>
            </w:r>
          </w:p>
        </w:tc>
        <w:tc>
          <w:tcPr>
            <w:tcW w:w="328" w:type="pct"/>
            <w:vAlign w:val="center"/>
          </w:tcPr>
          <w:p w14:paraId="2E0E0AEC">
            <w:pPr>
              <w:keepNext w:val="0"/>
              <w:keepLines w:val="0"/>
              <w:pageBreakBefore w:val="0"/>
              <w:kinsoku/>
              <w:wordWrap/>
              <w:overflowPunct/>
              <w:topLinePunct w:val="0"/>
              <w:autoSpaceDE/>
              <w:autoSpaceDN/>
              <w:bidi w:val="0"/>
              <w:spacing w:line="288" w:lineRule="auto"/>
              <w:jc w:val="center"/>
              <w:textAlignment w:val="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75寸交互平板</w:t>
            </w:r>
          </w:p>
        </w:tc>
        <w:tc>
          <w:tcPr>
            <w:tcW w:w="345" w:type="pct"/>
            <w:vAlign w:val="center"/>
          </w:tcPr>
          <w:p w14:paraId="59465EDC">
            <w:pPr>
              <w:keepNext w:val="0"/>
              <w:keepLines w:val="0"/>
              <w:pageBreakBefore w:val="0"/>
              <w:kinsoku/>
              <w:wordWrap/>
              <w:overflowPunct/>
              <w:topLinePunct w:val="0"/>
              <w:autoSpaceDE/>
              <w:autoSpaceDN/>
              <w:bidi w:val="0"/>
              <w:spacing w:line="288" w:lineRule="auto"/>
              <w:textAlignment w:val="auto"/>
              <w:rPr>
                <w:rFonts w:hint="eastAsia" w:ascii="宋体" w:hAnsi="宋体" w:cs="宋体"/>
                <w:b w:val="0"/>
                <w:bCs w:val="0"/>
                <w:color w:val="auto"/>
                <w:sz w:val="20"/>
                <w:szCs w:val="20"/>
                <w:highlight w:val="none"/>
                <w:lang w:val="en-US" w:eastAsia="zh-CN"/>
              </w:rPr>
            </w:pPr>
            <w:r>
              <w:rPr>
                <w:rFonts w:hint="eastAsia" w:ascii="宋体" w:hAnsi="宋体" w:cs="宋体"/>
                <w:b w:val="0"/>
                <w:bCs w:val="0"/>
                <w:color w:val="auto"/>
                <w:sz w:val="20"/>
                <w:szCs w:val="20"/>
                <w:highlight w:val="none"/>
                <w:lang w:val="en-US" w:eastAsia="zh-CN"/>
              </w:rPr>
              <w:t>希沃、鸿合、海信（或同档次品牌以上）</w:t>
            </w:r>
          </w:p>
          <w:p w14:paraId="09956775">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kern w:val="2"/>
                <w:sz w:val="20"/>
                <w:szCs w:val="20"/>
                <w:highlight w:val="none"/>
                <w:lang w:val="en-US" w:eastAsia="zh-CN" w:bidi="ar-SA"/>
              </w:rPr>
            </w:pPr>
          </w:p>
        </w:tc>
        <w:tc>
          <w:tcPr>
            <w:tcW w:w="2848" w:type="pct"/>
          </w:tcPr>
          <w:p w14:paraId="0DC22F6C">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一、整机硬件性能要求</w:t>
            </w:r>
          </w:p>
          <w:p w14:paraId="7A96BF46">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w:t>
            </w:r>
            <w:r>
              <w:rPr>
                <w:rFonts w:hint="default" w:ascii="宋体" w:hAnsi="宋体" w:cs="宋体"/>
                <w:b w:val="0"/>
                <w:bCs w:val="0"/>
                <w:color w:val="auto"/>
                <w:kern w:val="0"/>
                <w:sz w:val="20"/>
                <w:szCs w:val="20"/>
                <w:highlight w:val="none"/>
                <w:lang w:val="en-US" w:eastAsia="zh-CN"/>
              </w:rPr>
              <w:t>1、整机屏幕采用≥75英寸液晶显示器。</w:t>
            </w:r>
          </w:p>
          <w:p w14:paraId="3CB35046">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w:t>
            </w:r>
            <w:r>
              <w:rPr>
                <w:rFonts w:hint="default" w:ascii="宋体" w:hAnsi="宋体" w:cs="宋体"/>
                <w:b w:val="0"/>
                <w:bCs w:val="0"/>
                <w:color w:val="auto"/>
                <w:kern w:val="0"/>
                <w:sz w:val="20"/>
                <w:szCs w:val="20"/>
                <w:highlight w:val="none"/>
                <w:lang w:val="en-US" w:eastAsia="zh-CN"/>
              </w:rPr>
              <w:t>2、整机采用超高清LED液晶显示屏，显示比例16:9，分辨率≥3840×2160。</w:t>
            </w:r>
          </w:p>
          <w:p w14:paraId="7E4A2604">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3、三合一电源按键，同一电源物理按键完成Android系统和Windows系统的开机、节能熄屏、关机操作；关机状态下按按键开机；开机状态下按按键实现节能熄屏/唤醒，长按按键实现关机。</w:t>
            </w:r>
          </w:p>
          <w:p w14:paraId="60459801">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w:t>
            </w:r>
            <w:r>
              <w:rPr>
                <w:rFonts w:hint="default" w:ascii="宋体" w:hAnsi="宋体" w:cs="宋体"/>
                <w:b w:val="0"/>
                <w:bCs w:val="0"/>
                <w:color w:val="auto"/>
                <w:kern w:val="0"/>
                <w:sz w:val="20"/>
                <w:szCs w:val="20"/>
                <w:highlight w:val="none"/>
                <w:lang w:val="en-US" w:eastAsia="zh-CN"/>
              </w:rPr>
              <w:t>4、整机为适配教学场景的便捷使用，设备按键采用简洁化设计，前置接口与按键在设备同一侧。前置物理按键，可实现开关机、音量＋－、护眼、录屏、设置功能。</w:t>
            </w:r>
          </w:p>
          <w:p w14:paraId="17E511E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5、支持经典护眼模式，可通过前置面板物理功能按键一键启用经典护眼模式。</w:t>
            </w:r>
          </w:p>
          <w:p w14:paraId="5A69F20F">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w:t>
            </w:r>
            <w:r>
              <w:rPr>
                <w:rFonts w:hint="default" w:ascii="宋体" w:hAnsi="宋体" w:cs="宋体"/>
                <w:b w:val="0"/>
                <w:bCs w:val="0"/>
                <w:color w:val="auto"/>
                <w:kern w:val="0"/>
                <w:sz w:val="20"/>
                <w:szCs w:val="20"/>
                <w:highlight w:val="none"/>
                <w:lang w:val="en-US" w:eastAsia="zh-CN"/>
              </w:rPr>
              <w:t>6、设备支持通过前置面板物理按键一键启动录屏功能，可将屏幕中显示的课件、音频内容与人声同时录制。</w:t>
            </w:r>
          </w:p>
          <w:p w14:paraId="11656E78">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7、整机前置 USB 接口具备防撞挡板设计，防撞挡板采用转轴式翻转，可拆卸更换不同宽度的挡板对设备进行防撞防护。</w:t>
            </w:r>
          </w:p>
          <w:p w14:paraId="009EA5B8">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8、整机前置按键支持自定义设置，可通过自定义设置实现前置面板功能按键一键启用任一全局小工具（批注、截屏、计时、降半屏、放大镜、倒数日、日历）、快捷开关（节能模式、纸质护眼模式、经典护眼模式、自动亮度模式）。</w:t>
            </w:r>
          </w:p>
          <w:p w14:paraId="6773967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w:t>
            </w:r>
            <w:r>
              <w:rPr>
                <w:rFonts w:hint="default" w:ascii="宋体" w:hAnsi="宋体" w:cs="宋体"/>
                <w:b w:val="0"/>
                <w:bCs w:val="0"/>
                <w:color w:val="auto"/>
                <w:kern w:val="0"/>
                <w:sz w:val="20"/>
                <w:szCs w:val="20"/>
                <w:highlight w:val="none"/>
                <w:lang w:val="en-US" w:eastAsia="zh-CN"/>
              </w:rPr>
              <w:t>9、整机设备内置2.2声道扬声器，前朝向发声，12W高音扬声器2个，上朝向30W中低音扬声器2个，最大功率≥84W。（投标时须提供国家认可的第三方检测机构出具的关于该功能检测报告复印件）</w:t>
            </w:r>
          </w:p>
          <w:p w14:paraId="1DB05B16">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w:t>
            </w:r>
            <w:r>
              <w:rPr>
                <w:rFonts w:hint="default" w:ascii="宋体" w:hAnsi="宋体" w:cs="宋体"/>
                <w:b w:val="0"/>
                <w:bCs w:val="0"/>
                <w:color w:val="auto"/>
                <w:kern w:val="0"/>
                <w:sz w:val="20"/>
                <w:szCs w:val="20"/>
                <w:highlight w:val="none"/>
                <w:lang w:val="en-US" w:eastAsia="zh-CN"/>
              </w:rPr>
              <w:t>10、整机可选择高级音效设置，支持在左右声道平衡显示范围中进行更改；中低频段显示调节范围125Hz～1KHz，高频段显示调节范围 2KHz～16KHz，分贝显示-12dB～12dB 调节范围。</w:t>
            </w:r>
          </w:p>
          <w:p w14:paraId="6B81106B">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11、整机内置非独立外扩展的4阵列麦克风，可用于对教室环境音频进行采集，麦克风拾音距离≥12米。</w:t>
            </w:r>
          </w:p>
          <w:p w14:paraId="3F3B4C06">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12、整机内置扬声器采用缝隙发声技术，喇叭采用槽式开口设计，≤5.8mm</w:t>
            </w:r>
          </w:p>
          <w:p w14:paraId="56027A3A">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13、整机扬声器在100%音量下，可做到1米处声压级≥88db，10米处声压级≥79dB</w:t>
            </w:r>
          </w:p>
          <w:p w14:paraId="76C1CBCF">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14、内置摄像头、麦克风无需外接线材连接，无任何可见外接线材及模块化拼接痕迹，未占用整机设备端口。</w:t>
            </w:r>
          </w:p>
          <w:p w14:paraId="4FF1F4A2">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15、支持标准、听力、观影和AI空间感知音效模式，AI空间感知音效模式可通过内置麦克风采集教室物理环境声音，自动生成符合当前教室物理环境的频段、音量、音效。</w:t>
            </w:r>
          </w:p>
          <w:p w14:paraId="1A1C1E48">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16、整机内置摄像头（非外扩），PC通道下支持通过视频展台软件调用摄像头进行二维码扫码识别。</w:t>
            </w:r>
          </w:p>
          <w:p w14:paraId="1E03399F">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17、具备摄像头工作指示灯，摄像头运行时，有指示灯提示。</w:t>
            </w:r>
          </w:p>
          <w:p w14:paraId="6376E24A">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w:t>
            </w:r>
            <w:r>
              <w:rPr>
                <w:rFonts w:hint="default" w:ascii="宋体" w:hAnsi="宋体" w:cs="宋体"/>
                <w:b w:val="0"/>
                <w:bCs w:val="0"/>
                <w:color w:val="auto"/>
                <w:kern w:val="0"/>
                <w:sz w:val="20"/>
                <w:szCs w:val="20"/>
                <w:highlight w:val="none"/>
                <w:lang w:val="en-US" w:eastAsia="zh-CN"/>
              </w:rPr>
              <w:t>18、整机上边框内置非独立摄像头，采用一体化集成设计，⽀持输出4:3、16:9⽐例的图⽚和视频，支持拍摄≥1600 万像素数的照片和视频，支持输出 4k 分辨率的视频。</w:t>
            </w:r>
          </w:p>
          <w:p w14:paraId="2EC2B3D5">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19、整机摄像头支持人脸识别、清点人数、随机抽人；识别所有学生，显示标记，然后随机抽选，同时显示标记不少于60人。</w:t>
            </w:r>
          </w:p>
          <w:p w14:paraId="0B040AF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w:t>
            </w:r>
            <w:r>
              <w:rPr>
                <w:rFonts w:hint="default" w:ascii="宋体" w:hAnsi="宋体" w:cs="宋体"/>
                <w:b w:val="0"/>
                <w:bCs w:val="0"/>
                <w:color w:val="auto"/>
                <w:kern w:val="0"/>
                <w:sz w:val="20"/>
                <w:szCs w:val="20"/>
                <w:highlight w:val="none"/>
                <w:lang w:val="en-US" w:eastAsia="zh-CN"/>
              </w:rPr>
              <w:t>20、整机具备班级视力检测功能，学⽣站在距离屏幕前5m处，可通过⼿势识别方式来标识方向进行视力测试，测试完成后可直接⽣成视⼒检测结果，并建⽴学⽣视⼒档案，对学⽣视⼒情况进⾏管理。（投标时须提供国家认可的第三方检测机构出具的关于该功能检测报告复印件）</w:t>
            </w:r>
          </w:p>
          <w:p w14:paraId="054DBF9C">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21、整机色域覆盖率（NTSC）≥72%</w:t>
            </w:r>
          </w:p>
          <w:p w14:paraId="2EB12F25">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22、整机背光系统支持DC调光方式，多级亮度调节，支持白颜色背景下最暗亮度≤100nit，用于提升显示对比度。</w:t>
            </w:r>
          </w:p>
          <w:p w14:paraId="04139A40">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23、灰阶等级≥256级。整机屏幕蓝光占比（有害蓝光415～455nm能量综合）/（整体蓝光400～500能量综合）≤50%</w:t>
            </w:r>
          </w:p>
          <w:p w14:paraId="7AC460F0">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24、支持标准、多媒体和节能三种图像模式调节。支持自定义图像设置，可对对比度、屏幕色温、图像亮度、亮度范围、色彩空间调节设置。</w:t>
            </w:r>
          </w:p>
          <w:p w14:paraId="572E668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25、整机系统支持手势上滑调出人工智能画质调节模式（AI-PQ），在安卓通道下可根据屏幕内容自动调节画质参数，当屏幕出现人物、建筑、夜景等元素时，自动调整对比度、饱和度、锐利度、色调色相值、高光/阴影。</w:t>
            </w:r>
          </w:p>
          <w:p w14:paraId="1682995A">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w:t>
            </w:r>
            <w:r>
              <w:rPr>
                <w:rFonts w:hint="default" w:ascii="宋体" w:hAnsi="宋体" w:cs="宋体"/>
                <w:b w:val="0"/>
                <w:bCs w:val="0"/>
                <w:color w:val="auto"/>
                <w:kern w:val="0"/>
                <w:sz w:val="20"/>
                <w:szCs w:val="20"/>
                <w:highlight w:val="none"/>
                <w:lang w:val="en-US" w:eastAsia="zh-CN"/>
              </w:rPr>
              <w:t>26、整机左、右、下三边框皆具备磁吸功能，边框任意位置可吸附具备磁吸功能的书写笔。</w:t>
            </w:r>
          </w:p>
          <w:p w14:paraId="59620FF2">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二、内置OPS电脑性能要求</w:t>
            </w:r>
          </w:p>
          <w:p w14:paraId="3AE78593">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w:t>
            </w:r>
            <w:r>
              <w:rPr>
                <w:rFonts w:hint="default" w:ascii="宋体" w:hAnsi="宋体" w:cs="宋体"/>
                <w:b w:val="0"/>
                <w:bCs w:val="0"/>
                <w:color w:val="auto"/>
                <w:kern w:val="0"/>
                <w:sz w:val="20"/>
                <w:szCs w:val="20"/>
                <w:highlight w:val="none"/>
                <w:lang w:val="en-US" w:eastAsia="zh-CN"/>
              </w:rPr>
              <w:t>1、PC 模块可抽拉式插入整机，可实现无单独接线的拔插，具有标准 PC 防盗锁孔，确保电脑模块安全防盗。采用按压式卡扣，无需工具即可快速拆卸电脑模块。</w:t>
            </w:r>
          </w:p>
          <w:p w14:paraId="17F87D91">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w:t>
            </w:r>
            <w:r>
              <w:rPr>
                <w:rFonts w:hint="default" w:ascii="宋体" w:hAnsi="宋体" w:cs="宋体"/>
                <w:b w:val="0"/>
                <w:bCs w:val="0"/>
                <w:color w:val="auto"/>
                <w:kern w:val="0"/>
                <w:sz w:val="20"/>
                <w:szCs w:val="20"/>
                <w:highlight w:val="none"/>
                <w:lang w:val="en-US" w:eastAsia="zh-CN"/>
              </w:rPr>
              <w:t>2、CPU：搭载Intel  酷睿系列</w:t>
            </w:r>
            <w:r>
              <w:rPr>
                <w:rFonts w:hint="eastAsia" w:ascii="宋体" w:hAnsi="宋体" w:cs="宋体"/>
                <w:b w:val="0"/>
                <w:bCs w:val="0"/>
                <w:color w:val="auto"/>
                <w:kern w:val="0"/>
                <w:sz w:val="20"/>
                <w:szCs w:val="20"/>
                <w:highlight w:val="none"/>
                <w:lang w:val="en-US" w:eastAsia="zh-CN"/>
              </w:rPr>
              <w:t>给不低于</w:t>
            </w:r>
            <w:r>
              <w:rPr>
                <w:rFonts w:hint="default" w:ascii="宋体" w:hAnsi="宋体" w:cs="宋体"/>
                <w:b w:val="0"/>
                <w:bCs w:val="0"/>
                <w:color w:val="auto"/>
                <w:kern w:val="0"/>
                <w:sz w:val="20"/>
                <w:szCs w:val="20"/>
                <w:highlight w:val="none"/>
                <w:lang w:val="en-US" w:eastAsia="zh-CN"/>
              </w:rPr>
              <w:t xml:space="preserve"> i5 CPU，内存：8 GB DDR4笔记本内存或以上配置，硬盘：256 GB或以上SSD固态硬盘。</w:t>
            </w:r>
          </w:p>
          <w:p w14:paraId="6D8F8E05">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3、和整机的连接采用万兆级接口，传输速率≥10Gbps，和整机的连接接口针脚数≤40pin。</w:t>
            </w:r>
          </w:p>
          <w:p w14:paraId="03911B86">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4、具有独立非外拓展的视频输出接口：≥1 路 HDMI，具有独立非外拓展的电脑 USB 接口：至少具备 4个USB3.0 接口。</w:t>
            </w:r>
          </w:p>
          <w:p w14:paraId="6ADFADE6">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三、安卓系统性能要求</w:t>
            </w:r>
          </w:p>
          <w:p w14:paraId="2782ACEF">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w:t>
            </w:r>
            <w:r>
              <w:rPr>
                <w:rFonts w:hint="default" w:ascii="宋体" w:hAnsi="宋体" w:cs="宋体"/>
                <w:b w:val="0"/>
                <w:bCs w:val="0"/>
                <w:color w:val="auto"/>
                <w:kern w:val="0"/>
                <w:sz w:val="20"/>
                <w:szCs w:val="20"/>
                <w:highlight w:val="none"/>
                <w:lang w:val="en-US" w:eastAsia="zh-CN"/>
              </w:rPr>
              <w:t>1、整机嵌入式系统版本≥Android 15，主频≥1.6GHz。</w:t>
            </w:r>
          </w:p>
          <w:p w14:paraId="795364A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2、嵌入式Android操作系统下，白板支持对已经书写的笔迹和形状和颜色进行更换。</w:t>
            </w:r>
          </w:p>
          <w:p w14:paraId="30BC9050">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3、在嵌入式系统下使用白板软件时，整机可自行调节屏幕亮度。</w:t>
            </w:r>
          </w:p>
          <w:p w14:paraId="2647804C">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w:t>
            </w:r>
            <w:r>
              <w:rPr>
                <w:rFonts w:hint="default" w:ascii="宋体" w:hAnsi="宋体" w:cs="宋体"/>
                <w:b w:val="0"/>
                <w:bCs w:val="0"/>
                <w:color w:val="auto"/>
                <w:kern w:val="0"/>
                <w:sz w:val="20"/>
                <w:szCs w:val="20"/>
                <w:highlight w:val="none"/>
                <w:lang w:val="en-US" w:eastAsia="zh-CN"/>
              </w:rPr>
              <w:t>4、支持通过悬浮球调起元素周期表，支持对不同类别元素进行颜色区分，可通过点击对不同元素进行分类展示，展示样式支持按原子数/原子结构/相对原子质量/电子构型配置元素方式进行调整。</w:t>
            </w:r>
          </w:p>
          <w:p w14:paraId="019F87F4">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w:t>
            </w:r>
            <w:r>
              <w:rPr>
                <w:rFonts w:hint="default" w:ascii="宋体" w:hAnsi="宋体" w:cs="宋体"/>
                <w:b w:val="0"/>
                <w:bCs w:val="0"/>
                <w:color w:val="auto"/>
                <w:kern w:val="0"/>
                <w:sz w:val="20"/>
                <w:szCs w:val="20"/>
                <w:highlight w:val="none"/>
                <w:lang w:val="en-US" w:eastAsia="zh-CN"/>
              </w:rPr>
              <w:t>5、整机内置交互式白板软件支持汉字语音测评功能，通过整机拾音麦进行用户声音采集分析，判断用户发音是否标准。</w:t>
            </w:r>
          </w:p>
          <w:p w14:paraId="3D73C19A">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6、无PC状态下，嵌入式系统内置互动白板支持全局漫游，并能在工具栏中对全局内容进行预览和移动。</w:t>
            </w:r>
          </w:p>
          <w:p w14:paraId="2DB18D32">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7、无PC状态下，嵌入式Android 操作系统下可使用白板书写、WPS 软件和网页浏览</w:t>
            </w:r>
          </w:p>
          <w:p w14:paraId="08FD1954">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8、在嵌入式Android操作系统下，能对TV多媒体USB所读取到的文件进行自动归类，可分类查找文档、板书、图片、音视频，检索后可直接在界面中打开。</w:t>
            </w:r>
          </w:p>
          <w:p w14:paraId="5165E5F0">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四、整机触摸系统设计</w:t>
            </w:r>
          </w:p>
          <w:p w14:paraId="7CA22D59">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w:t>
            </w:r>
            <w:r>
              <w:rPr>
                <w:rFonts w:hint="default" w:ascii="宋体" w:hAnsi="宋体" w:cs="宋体"/>
                <w:b w:val="0"/>
                <w:bCs w:val="0"/>
                <w:color w:val="auto"/>
                <w:kern w:val="0"/>
                <w:sz w:val="20"/>
                <w:szCs w:val="20"/>
                <w:highlight w:val="none"/>
                <w:lang w:val="en-US" w:eastAsia="zh-CN"/>
              </w:rPr>
              <w:t>1、支持Windows 7、Windows 8、Windows 10、Windows11、Linux、Mac Os、UOS和麒麟系统外置电脑操作系统接入时，无需安装触摸驱动。</w:t>
            </w:r>
          </w:p>
          <w:p w14:paraId="7EE8B06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2、触摸分辨率≥32768×32768。</w:t>
            </w:r>
          </w:p>
          <w:p w14:paraId="6FD68EED">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3、书写触控延迟≤25ms</w:t>
            </w:r>
          </w:p>
          <w:p w14:paraId="0D4347BD">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4、整机触控书写功能集成预测算法，在书写速度≥50cm/s，支持笔迹距离笔的距离小于20mm。</w:t>
            </w:r>
          </w:p>
          <w:p w14:paraId="31BD1C06">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5、触摸响应≤4ms。</w:t>
            </w:r>
          </w:p>
          <w:p w14:paraId="2AFF8189">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6、触摸最小识别物≤3mm。</w:t>
            </w:r>
          </w:p>
          <w:p w14:paraId="29B047A5">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7、整机屏幕触摸有效识别高度不超过3mm，即触摸物体距离玻璃外表面高度不超过3mm时，触摸屏识别为点击操作。</w:t>
            </w:r>
          </w:p>
          <w:p w14:paraId="3676407C">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8、整机支持提笔书写，在Windows系统下可实现无需点击任意功能入口，当检测到红外笔笔尖接触屏幕时，自动进入书写模式。</w:t>
            </w:r>
          </w:p>
          <w:p w14:paraId="658100D1">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9、整机支持手笔分离，通过提笔即写唤醒批注功能后，可进行手笔分离功能，使用笔正常书写，使用手指可以操作应用，进行点击操作。</w:t>
            </w:r>
          </w:p>
          <w:p w14:paraId="013CFF7A">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10、整机触摸支持动态压力感应，支持无任何电子功能的普通书写笔在整机上书写或点压时，整机能感应压力变化，书写或点压过程笔迹呈现不同粗细。</w:t>
            </w:r>
          </w:p>
          <w:p w14:paraId="739546D1">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w:t>
            </w:r>
            <w:r>
              <w:rPr>
                <w:rFonts w:hint="default" w:ascii="宋体" w:hAnsi="宋体" w:cs="宋体"/>
                <w:b w:val="0"/>
                <w:bCs w:val="0"/>
                <w:color w:val="auto"/>
                <w:kern w:val="0"/>
                <w:sz w:val="20"/>
                <w:szCs w:val="20"/>
                <w:highlight w:val="none"/>
                <w:lang w:val="en-US" w:eastAsia="zh-CN"/>
              </w:rPr>
              <w:t>11、支持智能书写功能，书写文字自动识别为标准印刷体，支持图形识别功能，可将多种手绘图形转化为矩形、三角形、圆形标准图形。</w:t>
            </w:r>
          </w:p>
          <w:p w14:paraId="661F493F">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w:t>
            </w:r>
            <w:r>
              <w:rPr>
                <w:rFonts w:hint="default" w:ascii="宋体" w:hAnsi="宋体" w:cs="宋体"/>
                <w:b w:val="0"/>
                <w:bCs w:val="0"/>
                <w:color w:val="auto"/>
                <w:kern w:val="0"/>
                <w:sz w:val="20"/>
                <w:szCs w:val="20"/>
                <w:highlight w:val="none"/>
                <w:lang w:val="en-US" w:eastAsia="zh-CN"/>
              </w:rPr>
              <w:t>12、整机白板软件支持智能图表绘制，可将手绘表格转化为智能表格，形成表格对象后表格中书写区域可根据书写内容自适应调整大小，支持将表格外书写内容一键拖动到表格中。</w:t>
            </w:r>
          </w:p>
          <w:p w14:paraId="61AA8AD0">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w:t>
            </w:r>
            <w:r>
              <w:rPr>
                <w:rFonts w:hint="default" w:ascii="宋体" w:hAnsi="宋体" w:cs="宋体"/>
                <w:b w:val="0"/>
                <w:bCs w:val="0"/>
                <w:color w:val="auto"/>
                <w:kern w:val="0"/>
                <w:sz w:val="20"/>
                <w:szCs w:val="20"/>
                <w:highlight w:val="none"/>
                <w:lang w:val="en-US" w:eastAsia="zh-CN"/>
              </w:rPr>
              <w:t>13、交互式白板软件支持手写笔迹的智能编辑，支持通过手绘置换符快速置换前后文字语序，支持手动涂抹笔迹对象进行快速删除，支持圈选笔迹对象进行手写笔迹缩放，支持文字间手绘竖线进行文字间距的快速调整。</w:t>
            </w:r>
          </w:p>
          <w:p w14:paraId="01CEA52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w:t>
            </w:r>
            <w:r>
              <w:rPr>
                <w:rFonts w:hint="default" w:ascii="宋体" w:hAnsi="宋体" w:cs="宋体"/>
                <w:b w:val="0"/>
                <w:bCs w:val="0"/>
                <w:color w:val="auto"/>
                <w:kern w:val="0"/>
                <w:sz w:val="20"/>
                <w:szCs w:val="20"/>
                <w:highlight w:val="none"/>
                <w:lang w:val="en-US" w:eastAsia="zh-CN"/>
              </w:rPr>
              <w:t>14、整机内置交互式白板软件支持课件多人在线协同编辑，支持以链接的形式进行课件分享、邀请协作，支持查看当前在线用户，针对邀请协同的用户可设置可编辑、可阅读权限，支持将PPT课件转化为交互式课件进行协同编辑。</w:t>
            </w:r>
          </w:p>
          <w:p w14:paraId="119A447A">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五、侧边栏教学设计要求</w:t>
            </w:r>
          </w:p>
          <w:p w14:paraId="25C6BFA2">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1、整机全通道侧边栏快捷菜单包含如下小工具：批注、降半屏、截屏、放大镜、倒计时、日历、聚光灯、秒表、冻屏、倒数日、答题、节拍器</w:t>
            </w:r>
          </w:p>
          <w:p w14:paraId="4E9C6084">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2、整机全通道侧边栏快捷菜单小工具支持自定义，支持设置对应小工具的显示/隐藏。</w:t>
            </w:r>
          </w:p>
          <w:p w14:paraId="3AA689E6">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3、整机全通道侧边栏支持使用批注小工具进行批注讲解，可切换书写笔颜色、截屏保存批注内容、清屏，可根据手与屏幕的接触面积自动调整板擦工具的大小。</w:t>
            </w:r>
          </w:p>
          <w:p w14:paraId="13094840">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w:t>
            </w:r>
            <w:r>
              <w:rPr>
                <w:rFonts w:hint="default" w:ascii="宋体" w:hAnsi="宋体" w:cs="宋体"/>
                <w:b w:val="0"/>
                <w:bCs w:val="0"/>
                <w:color w:val="auto"/>
                <w:kern w:val="0"/>
                <w:sz w:val="20"/>
                <w:szCs w:val="20"/>
                <w:highlight w:val="none"/>
                <w:lang w:val="en-US" w:eastAsia="zh-CN"/>
              </w:rPr>
              <w:t>4、整机全通道侧边栏支持将设备屏幕降低为半屏幕状态，点击上半屏幕可以返回全屏状态。</w:t>
            </w:r>
          </w:p>
          <w:p w14:paraId="65FC111B">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5、整机全通道侧边栏支持自行选择所需截取屏幕范围，点击截屏即可成功截取屏幕，并自动保存。</w:t>
            </w:r>
          </w:p>
          <w:p w14:paraId="18BBFB9F">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6、整机全通道侧边栏支持放大选中区域内容，并可支持对未选中区域关灯处理，实现聚光灯效果。</w:t>
            </w:r>
          </w:p>
          <w:p w14:paraId="7A6CB055">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w:t>
            </w:r>
            <w:r>
              <w:rPr>
                <w:rFonts w:hint="default" w:ascii="宋体" w:hAnsi="宋体" w:cs="宋体"/>
                <w:b w:val="0"/>
                <w:bCs w:val="0"/>
                <w:color w:val="auto"/>
                <w:kern w:val="0"/>
                <w:sz w:val="20"/>
                <w:szCs w:val="20"/>
                <w:highlight w:val="none"/>
                <w:lang w:val="en-US" w:eastAsia="zh-CN"/>
              </w:rPr>
              <w:t>7、整机支持在无任何外部设备的情况下，实时录制用户朗读内容，识别用户声纹并进行统一身份登录，登录后自动获取个人云端教学课件列表，打开教学白板软件时可跳过软件自带登录步骤。（投标时须提供国家认可的第三方检测机构出具的关于该功能检测报告复印件）</w:t>
            </w:r>
          </w:p>
          <w:p w14:paraId="11743A6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8、整机全通道侧边栏支持打开日历，查看日期。</w:t>
            </w:r>
          </w:p>
          <w:p w14:paraId="135F27DC">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9、整机全通道侧边栏支持聚光灯，支持聚光灯高亮区域大小调节、区域移动。</w:t>
            </w:r>
          </w:p>
          <w:p w14:paraId="3A6AA4A4">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10、整机全通道侧边栏支持冻屏，将屏幕画面进行缩放。</w:t>
            </w:r>
          </w:p>
          <w:p w14:paraId="14C00291">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11、整机安卓和外接通道下侧边栏支持设置倒数日。</w:t>
            </w:r>
          </w:p>
          <w:p w14:paraId="375A877C">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12、整机安卓和外接通道 下侧边栏支持通过扫描二维码加入班级，老师设置题型，学生回答后提交，教师查看正确率比例及详细讲解；支持随机抽选、实时弹幕；支持管理当前班级成员；支持导出学生报告。全通道下可支持通过自定义按键调出该功能。</w:t>
            </w:r>
          </w:p>
          <w:p w14:paraId="5F988063">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w:t>
            </w:r>
            <w:r>
              <w:rPr>
                <w:rFonts w:hint="default" w:ascii="宋体" w:hAnsi="宋体" w:cs="宋体"/>
                <w:b w:val="0"/>
                <w:bCs w:val="0"/>
                <w:color w:val="auto"/>
                <w:kern w:val="0"/>
                <w:sz w:val="20"/>
                <w:szCs w:val="20"/>
                <w:highlight w:val="none"/>
                <w:lang w:val="en-US" w:eastAsia="zh-CN"/>
              </w:rPr>
              <w:t>13、整机侧边栏内置智能语音转文字工具，将整机内置麦克风拾取的语音进行文字转译，以悬浮字幕形式将转译文字显示在屏幕上。</w:t>
            </w:r>
          </w:p>
          <w:p w14:paraId="79EE711C">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14、整机支持在设备上通过摄像头获取教室内图像并自动识别图像内所有人员，并随机抽选1人。</w:t>
            </w:r>
          </w:p>
          <w:p w14:paraId="583DC269">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w:t>
            </w:r>
            <w:r>
              <w:rPr>
                <w:rFonts w:hint="default" w:ascii="宋体" w:hAnsi="宋体" w:cs="宋体"/>
                <w:b w:val="0"/>
                <w:bCs w:val="0"/>
                <w:color w:val="auto"/>
                <w:kern w:val="0"/>
                <w:sz w:val="20"/>
                <w:szCs w:val="20"/>
                <w:highlight w:val="none"/>
                <w:lang w:val="en-US" w:eastAsia="zh-CN"/>
              </w:rPr>
              <w:t>15、整机支持在设备上通过摄像头获取教室内图像并自动识别图像内所有人员，并自动进行人数统计。</w:t>
            </w:r>
          </w:p>
          <w:p w14:paraId="27BAE8A4">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w:t>
            </w:r>
            <w:r>
              <w:rPr>
                <w:rFonts w:hint="default" w:ascii="宋体" w:hAnsi="宋体" w:cs="宋体"/>
                <w:b w:val="0"/>
                <w:bCs w:val="0"/>
                <w:color w:val="auto"/>
                <w:kern w:val="0"/>
                <w:sz w:val="20"/>
                <w:szCs w:val="20"/>
                <w:highlight w:val="none"/>
                <w:lang w:val="en-US" w:eastAsia="zh-CN"/>
              </w:rPr>
              <w:t>16、整机全通道侧边栏快捷菜单简洁模式，可进行打开批注、降半屏、主页的基础操作。</w:t>
            </w:r>
          </w:p>
          <w:p w14:paraId="057CDF9C">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六、教学功能应用</w:t>
            </w:r>
          </w:p>
          <w:p w14:paraId="2448BC68">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w:t>
            </w:r>
            <w:r>
              <w:rPr>
                <w:rFonts w:hint="default" w:ascii="宋体" w:hAnsi="宋体" w:cs="宋体"/>
                <w:b w:val="0"/>
                <w:bCs w:val="0"/>
                <w:color w:val="auto"/>
                <w:kern w:val="0"/>
                <w:sz w:val="20"/>
                <w:szCs w:val="20"/>
                <w:highlight w:val="none"/>
                <w:lang w:val="en-US" w:eastAsia="zh-CN"/>
              </w:rPr>
              <w:t>3、整机内置 AI 授课工具，支持对整机页面显示的题目或视频展台所采集的题目内容进行识别，支持手动框选题目范围，能够对题目进行详细的讲解，讲解内容包括解题步骤和注意事项。（投标时须提供国家认可的第三方检测机构出具的关于该功能检测报告复印件）</w:t>
            </w:r>
          </w:p>
          <w:p w14:paraId="4927B506">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w:t>
            </w:r>
            <w:r>
              <w:rPr>
                <w:rFonts w:hint="default" w:ascii="宋体" w:hAnsi="宋体" w:cs="宋体"/>
                <w:b w:val="0"/>
                <w:bCs w:val="0"/>
                <w:color w:val="auto"/>
                <w:kern w:val="0"/>
                <w:sz w:val="20"/>
                <w:szCs w:val="20"/>
                <w:highlight w:val="none"/>
                <w:lang w:val="en-US" w:eastAsia="zh-CN"/>
              </w:rPr>
              <w:t>4、整机内置AI授课工具，可根据题目所涉及的知识点和难度级别，可推荐相似题目，推荐题目数量可根据用户需求进行设置。</w:t>
            </w:r>
          </w:p>
          <w:p w14:paraId="0C15A9C5">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w:t>
            </w:r>
            <w:r>
              <w:rPr>
                <w:rFonts w:hint="default" w:ascii="宋体" w:hAnsi="宋体" w:cs="宋体"/>
                <w:b w:val="0"/>
                <w:bCs w:val="0"/>
                <w:color w:val="auto"/>
                <w:kern w:val="0"/>
                <w:sz w:val="20"/>
                <w:szCs w:val="20"/>
                <w:highlight w:val="none"/>
                <w:lang w:val="en-US" w:eastAsia="zh-CN"/>
              </w:rPr>
              <w:t>5、整机内置AI作文批改工具，支持对视频展台所采集的内容进行识别，识别到英文作文类型后，支持作文内容进行批改。可根据作文的整体表现给出一个综合评分，并提供详细的评分依据。</w:t>
            </w:r>
          </w:p>
          <w:p w14:paraId="5AC2E2BA">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w:t>
            </w:r>
            <w:r>
              <w:rPr>
                <w:rFonts w:hint="default" w:ascii="宋体" w:hAnsi="宋体" w:cs="宋体"/>
                <w:b w:val="0"/>
                <w:bCs w:val="0"/>
                <w:color w:val="auto"/>
                <w:kern w:val="0"/>
                <w:sz w:val="20"/>
                <w:szCs w:val="20"/>
                <w:highlight w:val="none"/>
                <w:lang w:val="en-US" w:eastAsia="zh-CN"/>
              </w:rPr>
              <w:t>6、整机内置AI作文批改工具，能够从作文的词汇词组、语法句子、内容连贯性多个维度进行分析和评价。对于存在的语法错误和错别字，能够指出并提供修改建议。</w:t>
            </w:r>
          </w:p>
          <w:p w14:paraId="65F657AB">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w:t>
            </w:r>
            <w:r>
              <w:rPr>
                <w:rFonts w:hint="default" w:ascii="宋体" w:hAnsi="宋体" w:cs="宋体"/>
                <w:b w:val="0"/>
                <w:bCs w:val="0"/>
                <w:color w:val="auto"/>
                <w:kern w:val="0"/>
                <w:sz w:val="20"/>
                <w:szCs w:val="20"/>
                <w:highlight w:val="none"/>
                <w:lang w:val="en-US" w:eastAsia="zh-CN"/>
              </w:rPr>
              <w:t>7、整机内置AI智能体（非第三方应用），根据教学和学习需求可快速创建，支持个性化设定角色信息包括角色性格、技能与头像信息，支持语音和文字两种方式与智能体进行对话交互，创建的智能体可上传到本校资源进行共享使用。</w:t>
            </w:r>
          </w:p>
          <w:p w14:paraId="07BD6382">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w:t>
            </w:r>
            <w:r>
              <w:rPr>
                <w:rFonts w:hint="default" w:ascii="宋体" w:hAnsi="宋体" w:cs="宋体"/>
                <w:b w:val="0"/>
                <w:bCs w:val="0"/>
                <w:color w:val="auto"/>
                <w:kern w:val="0"/>
                <w:sz w:val="20"/>
                <w:szCs w:val="20"/>
                <w:highlight w:val="none"/>
                <w:lang w:val="en-US" w:eastAsia="zh-CN"/>
              </w:rPr>
              <w:t>8、整机内置AI智能体（非第三方应用），支持用户通过当前设备与历史学家智能体进行对话交流。智能体包涵历史文物、文化遗址、博物馆展览文博知识。用户可通过语音方式向智能体提问，智能体能够根据用户的问题提供准确、详细的回答，支持多轮对话，可根据用户的兴趣偏好，推荐相关的文博展览、文物故事内容。</w:t>
            </w:r>
          </w:p>
          <w:p w14:paraId="7D77377F">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w:t>
            </w:r>
            <w:r>
              <w:rPr>
                <w:rFonts w:hint="default" w:ascii="宋体" w:hAnsi="宋体" w:cs="宋体"/>
                <w:b w:val="0"/>
                <w:bCs w:val="0"/>
                <w:color w:val="auto"/>
                <w:kern w:val="0"/>
                <w:sz w:val="20"/>
                <w:szCs w:val="20"/>
                <w:highlight w:val="none"/>
                <w:lang w:val="en-US" w:eastAsia="zh-CN"/>
              </w:rPr>
              <w:t>9、整机自带AI书写美化能力，智能识别批注的书写轨迹，进行笔锋智能美化，模拟纸上书写的起笔、行笔和收笔效果。</w:t>
            </w:r>
          </w:p>
          <w:p w14:paraId="3B38B181">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w:t>
            </w:r>
            <w:r>
              <w:rPr>
                <w:rFonts w:hint="default" w:ascii="宋体" w:hAnsi="宋体" w:cs="宋体"/>
                <w:b w:val="0"/>
                <w:bCs w:val="0"/>
                <w:color w:val="auto"/>
                <w:kern w:val="0"/>
                <w:sz w:val="20"/>
                <w:szCs w:val="20"/>
                <w:highlight w:val="none"/>
                <w:lang w:val="en-US" w:eastAsia="zh-CN"/>
              </w:rPr>
              <w:t>10、整机内置微课制作工具，支持对全屏/区域的屏幕内容、整机声音、麦克风声音、摄像头内容进行录制，支持切换录制分辨率，支持录制过程中进行画笔标注与擦除；支持中途暂停录制和继续录制。</w:t>
            </w:r>
          </w:p>
          <w:p w14:paraId="3EB19281">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w:t>
            </w:r>
            <w:r>
              <w:rPr>
                <w:rFonts w:hint="default" w:ascii="宋体" w:hAnsi="宋体" w:cs="宋体"/>
                <w:b w:val="0"/>
                <w:bCs w:val="0"/>
                <w:color w:val="auto"/>
                <w:kern w:val="0"/>
                <w:sz w:val="20"/>
                <w:szCs w:val="20"/>
                <w:highlight w:val="none"/>
                <w:lang w:val="en-US" w:eastAsia="zh-CN"/>
              </w:rPr>
              <w:t>11、整机内置文字快剪功能，支持微课录制结束后提取视频中的文字，按照提取出的文字，对视频进行快速视频剪辑。</w:t>
            </w:r>
          </w:p>
          <w:p w14:paraId="690BF39F">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七、智慧互动教学软件</w:t>
            </w:r>
          </w:p>
          <w:p w14:paraId="0D5147CD">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1、公网连接：不需借助任何外接设备，在公网环境下即可支持学生端手机、平板同教师端进行连接。</w:t>
            </w:r>
          </w:p>
          <w:p w14:paraId="3652A30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 xml:space="preserve">2、班级创建：支持老师主动创建班级，创建成功后，每次登录教师端即可直接进入班级列表，选择班级进入课堂。  </w:t>
            </w:r>
          </w:p>
          <w:p w14:paraId="4D58384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3、扫码连接：支持学生端通过输入连接码和扫描二维码两种方式，进入课堂，同步完成考勤签到。</w:t>
            </w:r>
          </w:p>
          <w:p w14:paraId="2D64C528">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 xml:space="preserve">4、统计考勤：互动反馈系统支持无感考勤功能，学生连接成功后名字可显示在签到列表上，签到列表实时统计已签到人数，并查看未到的人员。  </w:t>
            </w:r>
          </w:p>
          <w:p w14:paraId="77EED0BA">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 xml:space="preserve">5、互动反馈系统：具备公网互动反馈功能，将所有学生端和教师端连接一起构建成互动反馈系统，在系统里面教师可以单选，多选，判断，观点，抢答，抽选，提问箱，文件下发，批注下发。 </w:t>
            </w:r>
          </w:p>
          <w:p w14:paraId="4BD6B2B1">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 xml:space="preserve">6、互动答题系统：支持课中互动反馈系统，提供单选、多选及判断题功能，可一键下发答题指令，支持一次下发多道题目，最多可下发99道题目，学生作答结果实时显示。支持切换柱状图按全班或分组答题结果展示，以提供小组间作答对比 </w:t>
            </w:r>
          </w:p>
          <w:p w14:paraId="551E4C8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7、抢答抽选：互动反馈系统支持抢答、抽选功能，活跃课堂氛围。</w:t>
            </w:r>
          </w:p>
          <w:p w14:paraId="018F5D74">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8、观点云词：互动反馈系统支持主观观点收集功能，支持学生们自主提交不多于200字的观点评论，并自动生成班级关键词云，点击关键词可查看对应学生名单和具体评论信息。</w:t>
            </w:r>
          </w:p>
          <w:p w14:paraId="61DCE1E9">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w:t>
            </w:r>
            <w:r>
              <w:rPr>
                <w:rFonts w:hint="default" w:ascii="宋体" w:hAnsi="宋体" w:cs="宋体"/>
                <w:b w:val="0"/>
                <w:bCs w:val="0"/>
                <w:color w:val="auto"/>
                <w:kern w:val="0"/>
                <w:sz w:val="20"/>
                <w:szCs w:val="20"/>
                <w:highlight w:val="none"/>
                <w:lang w:val="en-US" w:eastAsia="zh-CN"/>
              </w:rPr>
              <w:t xml:space="preserve">9、学情报告；互动反馈系统在上课结束后支持实时生成课程报告，课堂报告支持查看签到人数，课堂互动总数，平均参与度，提问个数，支持查看考勤详情，互动详情和提问详情。 资料分发 </w:t>
            </w:r>
          </w:p>
          <w:p w14:paraId="70C5EB8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10、资料下发：支持教师端一键下发资料到全体学生端，并且支持撤回功能。下发的资料支持的文件多样，包含但不局限于以下格式：音视频格式，文档格式，图片格式。</w:t>
            </w:r>
          </w:p>
          <w:p w14:paraId="49188385">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 xml:space="preserve">11、课堂答疑：教师端在连接状态下可实时接收到来自学生的提问，提问内容可根据老师操作自动判断为已读或者未读，并且支持问题放大全屏查看。  </w:t>
            </w:r>
          </w:p>
          <w:p w14:paraId="2A864E3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12、无线传屏：教师端工具栏支持无线传屏，点击开启无线传屏则打开传屏码，老师自带笔记本在互动教学软件输入传屏码即可进行无线传屏。</w:t>
            </w:r>
          </w:p>
          <w:p w14:paraId="71915FEC">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w:t>
            </w:r>
            <w:r>
              <w:rPr>
                <w:rFonts w:hint="default" w:ascii="宋体" w:hAnsi="宋体" w:cs="宋体"/>
                <w:b w:val="0"/>
                <w:bCs w:val="0"/>
                <w:color w:val="auto"/>
                <w:kern w:val="0"/>
                <w:sz w:val="20"/>
                <w:szCs w:val="20"/>
                <w:highlight w:val="none"/>
                <w:lang w:val="en-US" w:eastAsia="zh-CN"/>
              </w:rPr>
              <w:t>13、学习空间：学生端互动教学软件app上线学习空间，支持学生在学习空间查看老师上传在课程平台的课件，通知记录，笔记记录，作业记录等，学生可以对课件每一页的内容进行提问，收藏，做笔记；</w:t>
            </w:r>
          </w:p>
          <w:p w14:paraId="62B89866">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八、整体网络及接口功能设计</w:t>
            </w:r>
          </w:p>
          <w:p w14:paraId="41EF8A4C">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w:t>
            </w:r>
            <w:r>
              <w:rPr>
                <w:rFonts w:hint="default" w:ascii="宋体" w:hAnsi="宋体" w:cs="宋体"/>
                <w:b w:val="0"/>
                <w:bCs w:val="0"/>
                <w:color w:val="auto"/>
                <w:kern w:val="0"/>
                <w:sz w:val="20"/>
                <w:szCs w:val="20"/>
                <w:highlight w:val="none"/>
                <w:lang w:val="en-US" w:eastAsia="zh-CN"/>
              </w:rPr>
              <w:t>1、支持通过Type-C接口U盘进行文件传输，兼容Type-C接口手机充电。</w:t>
            </w:r>
          </w:p>
          <w:p w14:paraId="5E550359">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2、整机无需外接无线网卡，在Windows系统下可实现Wi-Fi无线上网连接、AP无线热点发射和BT蓝牙连接功能。Wi-Fi和AP热点工作距离≥12m。</w:t>
            </w:r>
          </w:p>
          <w:p w14:paraId="48957FB8">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3、整机支持蓝牙Bluetooth 5.4标准，固件版本号HCI13.0/LMP13.0。</w:t>
            </w:r>
          </w:p>
          <w:p w14:paraId="185E911B">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4、整机PC端支持主动发现蓝牙外设从而连接（无需整机进入发现模式），支持连接外部蓝牙音箱播放音频。</w:t>
            </w:r>
          </w:p>
          <w:p w14:paraId="1130C594">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w:t>
            </w:r>
            <w:r>
              <w:rPr>
                <w:rFonts w:hint="default" w:ascii="宋体" w:hAnsi="宋体" w:cs="宋体"/>
                <w:b w:val="0"/>
                <w:bCs w:val="0"/>
                <w:color w:val="auto"/>
                <w:kern w:val="0"/>
                <w:sz w:val="20"/>
                <w:szCs w:val="20"/>
                <w:highlight w:val="none"/>
                <w:lang w:val="en-US" w:eastAsia="zh-CN"/>
              </w:rPr>
              <w:t>5、整机支持发出频率为18kHz-22kHz超声波信号，智能手机和笔记本电脑接收超声波信号后可以自动识别附近投屏设备，点击对应设备即可完成投屏操作。（投标时须提供国家认可的第三方检测机构出具的关于该功能检测报告复印件）</w:t>
            </w:r>
          </w:p>
          <w:p w14:paraId="35A69E22">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6、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在进行传屏；投屏时可以选择过滤特定应用窗口，如邮件应用窗口。</w:t>
            </w:r>
          </w:p>
          <w:p w14:paraId="489A91AD">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7、整机内置双WiFi6无线网卡（不接受外接），在Android和Windows系统下，可实现Wi-Fi无线上网连接、AP无线热点发射。</w:t>
            </w:r>
          </w:p>
          <w:p w14:paraId="64A688E2">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8、整机内置双WiFi6无线网卡（不接受外接），在Android下支持无线设备同时连接数量≥32个，在Windows系统下支持无线设备同时连接≥8个；</w:t>
            </w:r>
          </w:p>
          <w:p w14:paraId="34FFE2B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9、整机无需外接无线网卡，在Windows系统下接入无线网络，切换到嵌入式Android系统下可直接实现无线上网功能，不需手动重复设置。</w:t>
            </w:r>
          </w:p>
          <w:p w14:paraId="051FB492">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 xml:space="preserve">10、Wi-Fi及AP热点支持频段2.4GHz/5GHz </w:t>
            </w:r>
          </w:p>
          <w:p w14:paraId="7A9FDA10">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w:t>
            </w:r>
            <w:r>
              <w:rPr>
                <w:rFonts w:hint="default" w:ascii="宋体" w:hAnsi="宋体" w:cs="宋体"/>
                <w:b w:val="0"/>
                <w:bCs w:val="0"/>
                <w:color w:val="auto"/>
                <w:kern w:val="0"/>
                <w:sz w:val="20"/>
                <w:szCs w:val="20"/>
                <w:highlight w:val="none"/>
                <w:lang w:val="en-US" w:eastAsia="zh-CN"/>
              </w:rPr>
              <w:t>11、Wi-Fi制式支持IEEE 802.11 a/b/g/n/ac/ax；支持版本Wi-Fi6。</w:t>
            </w:r>
          </w:p>
          <w:p w14:paraId="7B5619A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12、侧置输入接口具备2路HDMI、1路RS232、1路USB接口。</w:t>
            </w:r>
          </w:p>
          <w:p w14:paraId="4CCFB634">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13、侧置输出接口具备1路音频输出、1路触控USB输出。</w:t>
            </w:r>
          </w:p>
          <w:p w14:paraId="7A14F5C8">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14、前置输入接口3路USB接口（包含1路Type-C、2路USB）。</w:t>
            </w:r>
          </w:p>
        </w:tc>
        <w:tc>
          <w:tcPr>
            <w:tcW w:w="230" w:type="pct"/>
            <w:vAlign w:val="center"/>
          </w:tcPr>
          <w:p w14:paraId="70FACA50">
            <w:pPr>
              <w:keepNext w:val="0"/>
              <w:keepLines w:val="0"/>
              <w:pageBreakBefore w:val="0"/>
              <w:widowControl/>
              <w:numPr>
                <w:ilvl w:val="0"/>
                <w:numId w:val="0"/>
              </w:numPr>
              <w:kinsoku/>
              <w:wordWrap/>
              <w:overflowPunct/>
              <w:topLinePunct w:val="0"/>
              <w:autoSpaceDE/>
              <w:autoSpaceDN/>
              <w:bidi w:val="0"/>
              <w:spacing w:line="288" w:lineRule="auto"/>
              <w:jc w:val="center"/>
              <w:textAlignment w:val="auto"/>
              <w:rPr>
                <w:rFonts w:hint="eastAsia" w:ascii="宋体" w:hAnsi="宋体" w:cs="宋体"/>
                <w:b w:val="0"/>
                <w:bCs w:val="0"/>
                <w:color w:val="auto"/>
                <w:kern w:val="2"/>
                <w:sz w:val="20"/>
                <w:szCs w:val="20"/>
                <w:highlight w:val="none"/>
                <w:vertAlign w:val="baseline"/>
                <w:lang w:val="en-US" w:eastAsia="zh-CN" w:bidi="ar-SA"/>
              </w:rPr>
            </w:pPr>
            <w:r>
              <w:rPr>
                <w:rFonts w:hint="eastAsia" w:ascii="宋体" w:hAnsi="宋体" w:cs="宋体"/>
                <w:b w:val="0"/>
                <w:bCs w:val="0"/>
                <w:color w:val="auto"/>
                <w:kern w:val="2"/>
                <w:sz w:val="20"/>
                <w:szCs w:val="20"/>
                <w:highlight w:val="none"/>
                <w:vertAlign w:val="baseline"/>
                <w:lang w:val="en-US" w:eastAsia="zh-CN" w:bidi="ar-SA"/>
              </w:rPr>
              <w:t>台</w:t>
            </w:r>
          </w:p>
        </w:tc>
        <w:tc>
          <w:tcPr>
            <w:tcW w:w="217" w:type="pct"/>
            <w:vAlign w:val="center"/>
          </w:tcPr>
          <w:p w14:paraId="6C0FA6FB">
            <w:pPr>
              <w:keepNext w:val="0"/>
              <w:keepLines w:val="0"/>
              <w:pageBreakBefore w:val="0"/>
              <w:widowControl/>
              <w:numPr>
                <w:ilvl w:val="0"/>
                <w:numId w:val="0"/>
              </w:numPr>
              <w:kinsoku/>
              <w:wordWrap/>
              <w:overflowPunct/>
              <w:topLinePunct w:val="0"/>
              <w:autoSpaceDE/>
              <w:autoSpaceDN/>
              <w:bidi w:val="0"/>
              <w:spacing w:line="288" w:lineRule="auto"/>
              <w:jc w:val="center"/>
              <w:textAlignment w:val="auto"/>
              <w:rPr>
                <w:rFonts w:hint="default" w:ascii="宋体" w:hAnsi="宋体" w:cs="宋体"/>
                <w:b w:val="0"/>
                <w:bCs w:val="0"/>
                <w:color w:val="auto"/>
                <w:kern w:val="2"/>
                <w:sz w:val="20"/>
                <w:szCs w:val="20"/>
                <w:highlight w:val="none"/>
                <w:vertAlign w:val="baseline"/>
                <w:lang w:val="en-US" w:eastAsia="zh-CN" w:bidi="ar-SA"/>
              </w:rPr>
            </w:pPr>
            <w:r>
              <w:rPr>
                <w:rFonts w:hint="eastAsia" w:ascii="宋体" w:hAnsi="宋体" w:cs="宋体"/>
                <w:b w:val="0"/>
                <w:bCs w:val="0"/>
                <w:color w:val="auto"/>
                <w:kern w:val="2"/>
                <w:sz w:val="20"/>
                <w:szCs w:val="20"/>
                <w:highlight w:val="none"/>
                <w:vertAlign w:val="baseline"/>
                <w:lang w:val="en-US" w:eastAsia="zh-CN" w:bidi="ar-SA"/>
              </w:rPr>
              <w:t>1</w:t>
            </w:r>
          </w:p>
        </w:tc>
        <w:tc>
          <w:tcPr>
            <w:tcW w:w="359" w:type="pct"/>
            <w:shd w:val="clear" w:color="auto" w:fill="auto"/>
            <w:vAlign w:val="center"/>
          </w:tcPr>
          <w:p w14:paraId="6D28FA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2"/>
                <w:sz w:val="22"/>
                <w:szCs w:val="22"/>
                <w:highlight w:val="none"/>
                <w:u w:val="none"/>
                <w:lang w:val="en-US" w:eastAsia="zh-CN" w:bidi="ar-SA"/>
              </w:rPr>
            </w:pPr>
            <w:r>
              <w:rPr>
                <w:rFonts w:hint="eastAsia" w:asciiTheme="minorEastAsia" w:hAnsiTheme="minorEastAsia" w:eastAsiaTheme="minorEastAsia" w:cstheme="minorEastAsia"/>
                <w:b w:val="0"/>
                <w:bCs w:val="0"/>
                <w:i w:val="0"/>
                <w:iCs w:val="0"/>
                <w:color w:val="auto"/>
                <w:kern w:val="2"/>
                <w:sz w:val="22"/>
                <w:szCs w:val="22"/>
                <w:highlight w:val="none"/>
                <w:u w:val="none"/>
                <w:lang w:val="en-US" w:eastAsia="zh-CN" w:bidi="ar-SA"/>
              </w:rPr>
              <w:t>21000</w:t>
            </w:r>
          </w:p>
        </w:tc>
        <w:tc>
          <w:tcPr>
            <w:tcW w:w="450" w:type="pct"/>
            <w:shd w:val="clear" w:color="auto" w:fill="auto"/>
            <w:vAlign w:val="center"/>
          </w:tcPr>
          <w:p w14:paraId="017A38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2"/>
                <w:sz w:val="22"/>
                <w:szCs w:val="22"/>
                <w:highlight w:val="none"/>
                <w:u w:val="none"/>
                <w:lang w:val="en-US" w:eastAsia="zh-CN" w:bidi="ar-SA"/>
              </w:rPr>
            </w:pPr>
            <w:r>
              <w:rPr>
                <w:rFonts w:hint="eastAsia" w:asciiTheme="minorEastAsia" w:hAnsiTheme="minorEastAsia" w:eastAsiaTheme="minorEastAsia" w:cstheme="minorEastAsia"/>
                <w:b w:val="0"/>
                <w:bCs w:val="0"/>
                <w:i w:val="0"/>
                <w:iCs w:val="0"/>
                <w:color w:val="auto"/>
                <w:kern w:val="2"/>
                <w:sz w:val="22"/>
                <w:szCs w:val="22"/>
                <w:highlight w:val="none"/>
                <w:u w:val="none"/>
                <w:lang w:val="en-US" w:eastAsia="zh-CN" w:bidi="ar-SA"/>
              </w:rPr>
              <w:t>21000</w:t>
            </w:r>
          </w:p>
        </w:tc>
      </w:tr>
      <w:tr w14:paraId="3CD9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4549" w:type="pct"/>
            <w:gridSpan w:val="7"/>
            <w:vAlign w:val="center"/>
          </w:tcPr>
          <w:p w14:paraId="4F873D1F">
            <w:pPr>
              <w:keepNext w:val="0"/>
              <w:keepLines w:val="0"/>
              <w:pageBreakBefore w:val="0"/>
              <w:widowControl/>
              <w:numPr>
                <w:ilvl w:val="0"/>
                <w:numId w:val="0"/>
              </w:numPr>
              <w:kinsoku/>
              <w:wordWrap/>
              <w:overflowPunct/>
              <w:topLinePunct w:val="0"/>
              <w:autoSpaceDE/>
              <w:autoSpaceDN/>
              <w:bidi w:val="0"/>
              <w:spacing w:line="288" w:lineRule="auto"/>
              <w:jc w:val="center"/>
              <w:textAlignment w:val="auto"/>
              <w:rPr>
                <w:rFonts w:hint="eastAsia" w:ascii="宋体" w:hAnsi="宋体" w:eastAsia="宋体" w:cs="宋体"/>
                <w:b w:val="0"/>
                <w:bCs w:val="0"/>
                <w:color w:val="auto"/>
                <w:kern w:val="2"/>
                <w:sz w:val="20"/>
                <w:szCs w:val="20"/>
                <w:highlight w:val="none"/>
                <w:vertAlign w:val="baseline"/>
                <w:lang w:val="en-US" w:eastAsia="zh-CN" w:bidi="ar-SA"/>
              </w:rPr>
            </w:pPr>
            <w:r>
              <w:rPr>
                <w:rFonts w:hint="eastAsia" w:ascii="宋体" w:hAnsi="宋体" w:eastAsia="宋体" w:cs="宋体"/>
                <w:b w:val="0"/>
                <w:bCs w:val="0"/>
                <w:color w:val="auto"/>
                <w:kern w:val="0"/>
                <w:sz w:val="20"/>
                <w:szCs w:val="20"/>
                <w:highlight w:val="none"/>
                <w:lang w:val="en-US" w:eastAsia="zh-CN"/>
              </w:rPr>
              <w:t>合计</w:t>
            </w:r>
          </w:p>
        </w:tc>
        <w:tc>
          <w:tcPr>
            <w:tcW w:w="450" w:type="pct"/>
            <w:shd w:val="clear" w:color="auto" w:fill="auto"/>
            <w:vAlign w:val="center"/>
          </w:tcPr>
          <w:p w14:paraId="1BBA2033">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kern w:val="2"/>
                <w:sz w:val="22"/>
                <w:szCs w:val="22"/>
                <w:highlight w:val="none"/>
                <w:u w:val="none"/>
                <w:lang w:val="en-US" w:eastAsia="zh-CN" w:bidi="ar-SA"/>
              </w:rPr>
            </w:pPr>
            <w:r>
              <w:rPr>
                <w:rFonts w:hint="eastAsia" w:asciiTheme="minorEastAsia" w:hAnsiTheme="minorEastAsia" w:eastAsiaTheme="minorEastAsia" w:cstheme="minorEastAsia"/>
                <w:b w:val="0"/>
                <w:bCs w:val="0"/>
                <w:i w:val="0"/>
                <w:iCs w:val="0"/>
                <w:color w:val="auto"/>
                <w:kern w:val="2"/>
                <w:sz w:val="22"/>
                <w:szCs w:val="22"/>
                <w:highlight w:val="none"/>
                <w:u w:val="none"/>
                <w:lang w:val="en-US" w:eastAsia="zh-CN" w:bidi="ar-SA"/>
              </w:rPr>
              <w:t>75000</w:t>
            </w:r>
          </w:p>
        </w:tc>
      </w:tr>
    </w:tbl>
    <w:p w14:paraId="2F0D6F3C">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14624"/>
      </w:tblGrid>
      <w:tr w14:paraId="15480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2"/>
          </w:tcPr>
          <w:p w14:paraId="6724E585">
            <w:pPr>
              <w:rPr>
                <w:rFonts w:hint="eastAsia" w:ascii="宋体" w:hAnsi="宋体" w:eastAsia="宋体" w:cs="宋体"/>
                <w:b w:val="0"/>
                <w:bCs w:val="0"/>
                <w:color w:val="auto"/>
                <w:highlight w:val="none"/>
                <w:vertAlign w:val="baseline"/>
              </w:rPr>
            </w:pPr>
            <w:r>
              <w:rPr>
                <w:rFonts w:hint="eastAsia" w:ascii="宋体" w:hAnsi="宋体" w:eastAsia="宋体" w:cs="Calibri"/>
                <w:b w:val="0"/>
                <w:bCs w:val="0"/>
                <w:color w:val="auto"/>
                <w:kern w:val="0"/>
                <w:sz w:val="20"/>
                <w:szCs w:val="20"/>
                <w:highlight w:val="none"/>
                <w:lang w:val="en-US" w:eastAsia="zh-CN"/>
              </w:rPr>
              <w:t>▲</w:t>
            </w:r>
            <w:r>
              <w:rPr>
                <w:rFonts w:hint="eastAsia" w:ascii="宋体" w:hAnsi="宋体" w:eastAsia="宋体" w:cs="宋体"/>
                <w:b w:val="0"/>
                <w:bCs w:val="0"/>
                <w:color w:val="auto"/>
                <w:kern w:val="0"/>
                <w:szCs w:val="21"/>
                <w:highlight w:val="none"/>
              </w:rPr>
              <w:t>二、商务服务要求表</w:t>
            </w:r>
          </w:p>
        </w:tc>
      </w:tr>
      <w:tr w14:paraId="668C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7B70F0AD">
            <w:pPr>
              <w:widowControl/>
              <w:snapToGrid w:val="0"/>
              <w:spacing w:line="400" w:lineRule="exact"/>
              <w:jc w:val="center"/>
              <w:textAlignment w:val="center"/>
              <w:rPr>
                <w:rFonts w:hint="eastAsia" w:ascii="宋体" w:hAnsi="宋体" w:eastAsia="宋体" w:cs="宋体"/>
                <w:b w:val="0"/>
                <w:bCs w:val="0"/>
                <w:color w:val="auto"/>
                <w:kern w:val="2"/>
                <w:sz w:val="21"/>
                <w:szCs w:val="21"/>
                <w:highlight w:val="none"/>
                <w:lang w:val="en-US" w:eastAsia="zh-CN" w:bidi="ar-SA"/>
              </w:rPr>
            </w:pPr>
            <w:r>
              <w:rPr>
                <w:rStyle w:val="14"/>
                <w:rFonts w:hint="eastAsia" w:ascii="宋体" w:hAnsi="宋体" w:eastAsia="宋体" w:cs="宋体"/>
                <w:b w:val="0"/>
                <w:bCs w:val="0"/>
                <w:color w:val="auto"/>
                <w:sz w:val="21"/>
                <w:szCs w:val="21"/>
                <w:highlight w:val="none"/>
              </w:rPr>
              <w:t>交货时间及地点</w:t>
            </w:r>
          </w:p>
        </w:tc>
        <w:tc>
          <w:tcPr>
            <w:tcW w:w="14624" w:type="dxa"/>
            <w:shd w:val="clear" w:color="auto" w:fill="auto"/>
            <w:vAlign w:val="center"/>
          </w:tcPr>
          <w:p w14:paraId="55E9414F">
            <w:pPr>
              <w:widowControl/>
              <w:numPr>
                <w:ilvl w:val="0"/>
                <w:numId w:val="0"/>
              </w:numPr>
              <w:snapToGrid w:val="0"/>
              <w:spacing w:line="400" w:lineRule="exact"/>
              <w:jc w:val="left"/>
              <w:textAlignment w:val="center"/>
              <w:rPr>
                <w:rFonts w:hint="eastAsia" w:asciiTheme="minorEastAsia" w:hAnsiTheme="minorEastAsia" w:cstheme="minorEastAsia"/>
                <w:b w:val="0"/>
                <w:bCs w:val="0"/>
                <w:color w:val="auto"/>
                <w:kern w:val="0"/>
                <w:szCs w:val="21"/>
                <w:highlight w:val="none"/>
              </w:rPr>
            </w:pPr>
            <w:r>
              <w:rPr>
                <w:rFonts w:hint="eastAsia" w:asciiTheme="minorEastAsia" w:hAnsiTheme="minorEastAsia" w:cstheme="minorEastAsia"/>
                <w:b w:val="0"/>
                <w:bCs w:val="0"/>
                <w:color w:val="auto"/>
                <w:kern w:val="0"/>
                <w:szCs w:val="21"/>
                <w:highlight w:val="none"/>
              </w:rPr>
              <w:t>1、合同签订日期：中标通知书发出后</w:t>
            </w:r>
            <w:r>
              <w:rPr>
                <w:rFonts w:hint="eastAsia" w:asciiTheme="minorEastAsia" w:hAnsiTheme="minorEastAsia" w:cstheme="minorEastAsia"/>
                <w:b w:val="0"/>
                <w:bCs w:val="0"/>
                <w:color w:val="auto"/>
                <w:kern w:val="0"/>
                <w:szCs w:val="21"/>
                <w:highlight w:val="none"/>
                <w:lang w:val="en-US" w:eastAsia="zh-CN"/>
              </w:rPr>
              <w:t>7</w:t>
            </w:r>
            <w:r>
              <w:rPr>
                <w:rFonts w:hint="eastAsia" w:asciiTheme="minorEastAsia" w:hAnsiTheme="minorEastAsia" w:cstheme="minorEastAsia"/>
                <w:b w:val="0"/>
                <w:bCs w:val="0"/>
                <w:color w:val="auto"/>
                <w:kern w:val="0"/>
                <w:szCs w:val="21"/>
                <w:highlight w:val="none"/>
              </w:rPr>
              <w:t xml:space="preserve">日内。 </w:t>
            </w:r>
          </w:p>
          <w:p w14:paraId="59F8EBB0">
            <w:pPr>
              <w:widowControl/>
              <w:numPr>
                <w:ilvl w:val="0"/>
                <w:numId w:val="0"/>
              </w:numPr>
              <w:snapToGrid w:val="0"/>
              <w:spacing w:line="400" w:lineRule="exact"/>
              <w:jc w:val="left"/>
              <w:textAlignment w:val="center"/>
              <w:rPr>
                <w:rFonts w:hint="eastAsia" w:asciiTheme="minorEastAsia" w:hAnsiTheme="minorEastAsia" w:cstheme="minorEastAsia"/>
                <w:b w:val="0"/>
                <w:bCs w:val="0"/>
                <w:color w:val="auto"/>
                <w:kern w:val="0"/>
                <w:szCs w:val="21"/>
                <w:highlight w:val="none"/>
              </w:rPr>
            </w:pPr>
            <w:r>
              <w:rPr>
                <w:rFonts w:hint="eastAsia" w:asciiTheme="minorEastAsia" w:hAnsiTheme="minorEastAsia" w:cstheme="minorEastAsia"/>
                <w:b w:val="0"/>
                <w:bCs w:val="0"/>
                <w:color w:val="auto"/>
                <w:kern w:val="0"/>
                <w:szCs w:val="21"/>
                <w:highlight w:val="none"/>
              </w:rPr>
              <w:t>2、交货（实施）时间：合同签订之日起</w:t>
            </w:r>
            <w:r>
              <w:rPr>
                <w:rFonts w:hint="eastAsia" w:asciiTheme="minorEastAsia" w:hAnsiTheme="minorEastAsia" w:cstheme="minorEastAsia"/>
                <w:b w:val="0"/>
                <w:bCs w:val="0"/>
                <w:color w:val="auto"/>
                <w:kern w:val="0"/>
                <w:szCs w:val="21"/>
                <w:highlight w:val="none"/>
                <w:lang w:val="en-US" w:eastAsia="zh-CN"/>
              </w:rPr>
              <w:t>5</w:t>
            </w:r>
            <w:r>
              <w:rPr>
                <w:rFonts w:hint="eastAsia" w:asciiTheme="minorEastAsia" w:hAnsiTheme="minorEastAsia" w:cstheme="minorEastAsia"/>
                <w:b w:val="0"/>
                <w:bCs w:val="0"/>
                <w:color w:val="auto"/>
                <w:kern w:val="0"/>
                <w:szCs w:val="21"/>
                <w:highlight w:val="none"/>
              </w:rPr>
              <w:t>个日历日内交货并安装调试完毕。</w:t>
            </w:r>
          </w:p>
          <w:p w14:paraId="3BE34CE9">
            <w:pPr>
              <w:widowControl/>
              <w:snapToGrid w:val="0"/>
              <w:spacing w:line="400" w:lineRule="exact"/>
              <w:jc w:val="left"/>
              <w:textAlignment w:val="center"/>
              <w:rPr>
                <w:rFonts w:hint="eastAsia" w:ascii="宋体" w:hAnsi="宋体" w:eastAsia="宋体" w:cs="宋体"/>
                <w:b w:val="0"/>
                <w:bCs w:val="0"/>
                <w:color w:val="auto"/>
                <w:kern w:val="2"/>
                <w:sz w:val="21"/>
                <w:szCs w:val="21"/>
                <w:highlight w:val="none"/>
                <w:lang w:val="en-US" w:eastAsia="zh-CN" w:bidi="ar-SA"/>
              </w:rPr>
            </w:pPr>
            <w:r>
              <w:rPr>
                <w:rStyle w:val="14"/>
                <w:rFonts w:hint="eastAsia" w:asciiTheme="minorEastAsia" w:hAnsiTheme="minorEastAsia" w:eastAsiaTheme="minorEastAsia" w:cstheme="minorEastAsia"/>
                <w:b w:val="0"/>
                <w:bCs w:val="0"/>
                <w:color w:val="auto"/>
                <w:sz w:val="21"/>
                <w:szCs w:val="21"/>
                <w:highlight w:val="none"/>
                <w:lang w:val="en-US" w:eastAsia="zh-CN"/>
              </w:rPr>
              <w:t>3</w:t>
            </w:r>
            <w:r>
              <w:rPr>
                <w:rStyle w:val="14"/>
                <w:rFonts w:hint="eastAsia" w:asciiTheme="minorEastAsia" w:hAnsiTheme="minorEastAsia" w:eastAsiaTheme="minorEastAsia" w:cstheme="minorEastAsia"/>
                <w:b w:val="0"/>
                <w:bCs w:val="0"/>
                <w:color w:val="auto"/>
                <w:sz w:val="21"/>
                <w:szCs w:val="21"/>
                <w:highlight w:val="none"/>
                <w:lang w:eastAsia="zh-CN"/>
              </w:rPr>
              <w:t>、</w:t>
            </w:r>
            <w:r>
              <w:rPr>
                <w:rStyle w:val="14"/>
                <w:rFonts w:hint="default" w:asciiTheme="minorEastAsia" w:hAnsiTheme="minorEastAsia" w:eastAsiaTheme="minorEastAsia" w:cstheme="minorEastAsia"/>
                <w:b w:val="0"/>
                <w:bCs w:val="0"/>
                <w:color w:val="auto"/>
                <w:sz w:val="21"/>
                <w:szCs w:val="21"/>
                <w:highlight w:val="none"/>
              </w:rPr>
              <w:t>交货地点：</w:t>
            </w:r>
            <w:r>
              <w:rPr>
                <w:rFonts w:hint="eastAsia" w:asciiTheme="minorEastAsia" w:hAnsiTheme="minorEastAsia" w:cstheme="minorEastAsia"/>
                <w:b w:val="0"/>
                <w:bCs w:val="0"/>
                <w:color w:val="auto"/>
                <w:szCs w:val="21"/>
                <w:highlight w:val="none"/>
              </w:rPr>
              <w:t>广西南宁市采购人指定地点（广西水利电力职业技术学院</w:t>
            </w:r>
            <w:r>
              <w:rPr>
                <w:rFonts w:hint="eastAsia" w:asciiTheme="minorEastAsia" w:hAnsiTheme="minorEastAsia" w:cstheme="minorEastAsia"/>
                <w:b w:val="0"/>
                <w:bCs w:val="0"/>
                <w:color w:val="auto"/>
                <w:szCs w:val="21"/>
                <w:highlight w:val="none"/>
                <w:lang w:val="en-US" w:eastAsia="zh-CN"/>
              </w:rPr>
              <w:t>里建</w:t>
            </w:r>
            <w:r>
              <w:rPr>
                <w:rFonts w:hint="eastAsia" w:asciiTheme="minorEastAsia" w:hAnsiTheme="minorEastAsia" w:cstheme="minorEastAsia"/>
                <w:b w:val="0"/>
                <w:bCs w:val="0"/>
                <w:color w:val="auto"/>
                <w:szCs w:val="21"/>
                <w:highlight w:val="none"/>
              </w:rPr>
              <w:t>校区）</w:t>
            </w:r>
            <w:r>
              <w:rPr>
                <w:rStyle w:val="14"/>
                <w:rFonts w:hint="default" w:asciiTheme="minorEastAsia" w:hAnsiTheme="minorEastAsia" w:eastAsiaTheme="minorEastAsia" w:cstheme="minorEastAsia"/>
                <w:b w:val="0"/>
                <w:bCs w:val="0"/>
                <w:color w:val="auto"/>
                <w:sz w:val="21"/>
                <w:szCs w:val="21"/>
                <w:highlight w:val="none"/>
              </w:rPr>
              <w:t>。</w:t>
            </w:r>
          </w:p>
        </w:tc>
      </w:tr>
      <w:tr w14:paraId="5B2C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3ABD7DCC">
            <w:pPr>
              <w:widowControl/>
              <w:snapToGrid w:val="0"/>
              <w:spacing w:line="400" w:lineRule="exact"/>
              <w:jc w:val="center"/>
              <w:textAlignment w:val="center"/>
              <w:rPr>
                <w:rFonts w:hint="eastAsia" w:ascii="宋体" w:hAnsi="宋体" w:eastAsia="宋体" w:cs="宋体"/>
                <w:b w:val="0"/>
                <w:bCs w:val="0"/>
                <w:color w:val="auto"/>
                <w:kern w:val="2"/>
                <w:sz w:val="21"/>
                <w:szCs w:val="21"/>
                <w:highlight w:val="none"/>
                <w:lang w:val="en-US" w:eastAsia="zh-CN" w:bidi="ar-SA"/>
              </w:rPr>
            </w:pPr>
            <w:r>
              <w:rPr>
                <w:rStyle w:val="14"/>
                <w:rFonts w:hint="eastAsia" w:ascii="宋体" w:hAnsi="宋体" w:eastAsia="宋体" w:cs="宋体"/>
                <w:b w:val="0"/>
                <w:bCs w:val="0"/>
                <w:color w:val="auto"/>
                <w:sz w:val="21"/>
                <w:szCs w:val="21"/>
                <w:highlight w:val="none"/>
              </w:rPr>
              <w:t>质保期</w:t>
            </w:r>
          </w:p>
        </w:tc>
        <w:tc>
          <w:tcPr>
            <w:tcW w:w="14624" w:type="dxa"/>
            <w:shd w:val="clear" w:color="auto" w:fill="auto"/>
            <w:vAlign w:val="center"/>
          </w:tcPr>
          <w:p w14:paraId="23EDCCBE">
            <w:pPr>
              <w:widowControl/>
              <w:numPr>
                <w:ilvl w:val="0"/>
                <w:numId w:val="0"/>
              </w:numPr>
              <w:jc w:val="left"/>
              <w:textAlignment w:val="center"/>
              <w:rPr>
                <w:rFonts w:hint="eastAsia" w:ascii="宋体" w:hAnsi="宋体" w:eastAsia="宋体" w:cs="宋体"/>
                <w:b w:val="0"/>
                <w:bCs w:val="0"/>
                <w:color w:val="auto"/>
                <w:kern w:val="2"/>
                <w:sz w:val="21"/>
                <w:szCs w:val="21"/>
                <w:highlight w:val="none"/>
                <w:lang w:val="en-US" w:eastAsia="zh-CN" w:bidi="ar-SA"/>
              </w:rPr>
            </w:pPr>
            <w:r>
              <w:rPr>
                <w:rStyle w:val="14"/>
                <w:rFonts w:hint="default" w:asciiTheme="minorEastAsia" w:hAnsiTheme="minorEastAsia" w:eastAsiaTheme="minorEastAsia" w:cstheme="minorEastAsia"/>
                <w:b w:val="0"/>
                <w:bCs w:val="0"/>
                <w:color w:val="auto"/>
                <w:sz w:val="21"/>
                <w:szCs w:val="21"/>
                <w:highlight w:val="none"/>
              </w:rPr>
              <w:t>按国家有关规定或厂家承诺实行“三包”，</w:t>
            </w:r>
            <w:r>
              <w:rPr>
                <w:rFonts w:hint="eastAsia" w:asciiTheme="minorEastAsia" w:hAnsiTheme="minorEastAsia" w:cstheme="minorEastAsia"/>
                <w:b w:val="0"/>
                <w:bCs w:val="0"/>
                <w:color w:val="auto"/>
                <w:kern w:val="0"/>
                <w:szCs w:val="21"/>
                <w:highlight w:val="none"/>
              </w:rPr>
              <w:t>质保期从验收合格之日起整机不少于</w:t>
            </w:r>
            <w:r>
              <w:rPr>
                <w:rFonts w:hint="eastAsia" w:asciiTheme="minorEastAsia" w:hAnsiTheme="minorEastAsia" w:cstheme="minorEastAsia"/>
                <w:b w:val="0"/>
                <w:bCs w:val="0"/>
                <w:color w:val="auto"/>
                <w:kern w:val="0"/>
                <w:szCs w:val="21"/>
                <w:highlight w:val="none"/>
                <w:u w:val="single"/>
                <w:lang w:val="en-US" w:eastAsia="zh-CN"/>
              </w:rPr>
              <w:t>3</w:t>
            </w:r>
            <w:r>
              <w:rPr>
                <w:rFonts w:hint="eastAsia" w:asciiTheme="minorEastAsia" w:hAnsiTheme="minorEastAsia" w:cstheme="minorEastAsia"/>
                <w:b w:val="0"/>
                <w:bCs w:val="0"/>
                <w:color w:val="auto"/>
                <w:kern w:val="0"/>
                <w:szCs w:val="21"/>
                <w:highlight w:val="none"/>
              </w:rPr>
              <w:t>年（技术参数中有特别指明质保期的按参数要求，厂家质保期高于采购要求的按厂家质保）</w:t>
            </w:r>
            <w:r>
              <w:rPr>
                <w:rStyle w:val="14"/>
                <w:rFonts w:hint="default" w:asciiTheme="minorEastAsia" w:hAnsiTheme="minorEastAsia" w:eastAsiaTheme="minorEastAsia" w:cstheme="minorEastAsia"/>
                <w:b w:val="0"/>
                <w:bCs w:val="0"/>
                <w:color w:val="auto"/>
                <w:sz w:val="21"/>
                <w:szCs w:val="21"/>
                <w:highlight w:val="none"/>
              </w:rPr>
              <w:t>，质保期内全免费上门维修、免费更换零部件，质保期过后提供终身技术支持和维护。</w:t>
            </w:r>
          </w:p>
        </w:tc>
      </w:tr>
      <w:tr w14:paraId="4E1FB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4891CE8A">
            <w:pPr>
              <w:widowControl/>
              <w:snapToGrid w:val="0"/>
              <w:spacing w:line="400" w:lineRule="exact"/>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0"/>
                <w:szCs w:val="21"/>
                <w:highlight w:val="none"/>
              </w:rPr>
              <w:t>产品质量与售后服务要求</w:t>
            </w:r>
          </w:p>
        </w:tc>
        <w:tc>
          <w:tcPr>
            <w:tcW w:w="14624" w:type="dxa"/>
            <w:shd w:val="clear" w:color="auto" w:fill="auto"/>
            <w:vAlign w:val="center"/>
          </w:tcPr>
          <w:p w14:paraId="4011C85E">
            <w:pPr>
              <w:widowControl/>
              <w:snapToGrid w:val="0"/>
              <w:spacing w:line="400" w:lineRule="exact"/>
              <w:jc w:val="left"/>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kern w:val="2"/>
                <w:sz w:val="21"/>
                <w:szCs w:val="21"/>
                <w:highlight w:val="none"/>
                <w:lang w:val="en-US" w:eastAsia="zh-CN" w:bidi="ar-SA"/>
              </w:rPr>
              <w:t>所投产品必须能实质性响应采购要求（所投产品应完全满足或优于采购参数要求），供货时能按照采购需求的要求提供厂家的供货证明和售后服务承诺书原件，避免假冒伪劣产品。对不能满足参数要求虚假响应，采购人可作废标处理，并依法向供应商追究违约责任。</w:t>
            </w:r>
          </w:p>
          <w:p w14:paraId="11D58D1B">
            <w:pPr>
              <w:widowControl/>
              <w:snapToGrid w:val="0"/>
              <w:spacing w:line="400" w:lineRule="exact"/>
              <w:jc w:val="left"/>
              <w:textAlignment w:val="center"/>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故障响应时间：成交供应商收到采购人的故障维修通知后30分钟内电话服务应答，2小时内到达现场进行维修，4小时内排除故障，如24小时内无法修复的，质保期内成交供应商应无条件更换新设备或提供代用设备，或采取使设备可正常运转的措施。</w:t>
            </w:r>
          </w:p>
        </w:tc>
      </w:tr>
      <w:tr w14:paraId="118BC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2DBED3ED">
            <w:pPr>
              <w:spacing w:line="4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Cs w:val="21"/>
                <w:highlight w:val="none"/>
              </w:rPr>
              <w:t>实施和安装要求</w:t>
            </w:r>
          </w:p>
        </w:tc>
        <w:tc>
          <w:tcPr>
            <w:tcW w:w="14624" w:type="dxa"/>
            <w:shd w:val="clear" w:color="auto" w:fill="auto"/>
            <w:vAlign w:val="center"/>
          </w:tcPr>
          <w:p w14:paraId="4DFD51E1">
            <w:pPr>
              <w:spacing w:line="400" w:lineRule="exact"/>
              <w:jc w:val="left"/>
              <w:rPr>
                <w:rFonts w:hint="eastAsia" w:ascii="宋体" w:hAnsi="宋体" w:eastAsia="宋体" w:cs="宋体"/>
                <w:b w:val="0"/>
                <w:bCs w:val="0"/>
                <w:color w:val="auto"/>
                <w:szCs w:val="21"/>
                <w:highlight w:val="none"/>
              </w:rPr>
            </w:pPr>
            <w:r>
              <w:rPr>
                <w:rFonts w:hint="eastAsia" w:ascii="宋体" w:hAnsi="宋体" w:cs="宋体"/>
                <w:b w:val="0"/>
                <w:bCs w:val="0"/>
                <w:color w:val="auto"/>
                <w:szCs w:val="21"/>
                <w:highlight w:val="none"/>
                <w:lang w:val="en-US" w:eastAsia="zh-CN"/>
              </w:rPr>
              <w:t>1、</w:t>
            </w:r>
            <w:r>
              <w:rPr>
                <w:rFonts w:hint="eastAsia" w:ascii="宋体" w:hAnsi="宋体" w:eastAsia="宋体" w:cs="宋体"/>
                <w:b w:val="0"/>
                <w:bCs w:val="0"/>
                <w:color w:val="auto"/>
                <w:szCs w:val="21"/>
                <w:highlight w:val="none"/>
              </w:rPr>
              <w:t>本项目为交钥匙工程，成交后，供应商需应严格按竞标产品的安装规范要求进行安装调试，保证设备正常运行，质量合格。</w:t>
            </w:r>
          </w:p>
          <w:p w14:paraId="3897F2EA">
            <w:pPr>
              <w:spacing w:line="400" w:lineRule="exact"/>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（1）根据采购要求的工期提供项目实施方案及进度安排计划表；</w:t>
            </w:r>
          </w:p>
          <w:p w14:paraId="248AD737">
            <w:pPr>
              <w:spacing w:line="400" w:lineRule="exact"/>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（2）供应商必须服从采购单位现场负责人的指挥，按指定地点进行设备安装、调试，确保设备安装符合国家现行技术规范标准；</w:t>
            </w:r>
          </w:p>
          <w:p w14:paraId="726392B3">
            <w:pPr>
              <w:spacing w:line="400" w:lineRule="exact"/>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（3）安装过程中的所有安全保障由供应商自行负责；</w:t>
            </w:r>
          </w:p>
          <w:p w14:paraId="1A4230A6">
            <w:pPr>
              <w:spacing w:line="400" w:lineRule="exact"/>
              <w:rPr>
                <w:rFonts w:hint="eastAsia" w:ascii="宋体" w:hAnsi="宋体" w:eastAsia="宋体" w:cs="宋体"/>
                <w:b w:val="0"/>
                <w:bCs w:val="0"/>
                <w:color w:val="auto"/>
                <w:kern w:val="0"/>
                <w:szCs w:val="21"/>
                <w:highlight w:val="none"/>
                <w:lang w:val="zh-CN"/>
              </w:rPr>
            </w:pPr>
            <w:r>
              <w:rPr>
                <w:rFonts w:hint="eastAsia" w:ascii="宋体" w:hAnsi="宋体" w:eastAsia="宋体" w:cs="宋体"/>
                <w:b w:val="0"/>
                <w:bCs w:val="0"/>
                <w:color w:val="auto"/>
                <w:kern w:val="0"/>
                <w:szCs w:val="21"/>
                <w:highlight w:val="none"/>
                <w:lang w:val="zh-CN"/>
              </w:rPr>
              <w:t>（</w:t>
            </w:r>
            <w:r>
              <w:rPr>
                <w:rFonts w:hint="eastAsia" w:ascii="宋体" w:hAnsi="宋体" w:eastAsia="宋体" w:cs="宋体"/>
                <w:b w:val="0"/>
                <w:bCs w:val="0"/>
                <w:color w:val="auto"/>
                <w:kern w:val="0"/>
                <w:szCs w:val="21"/>
                <w:highlight w:val="none"/>
              </w:rPr>
              <w:t>4</w:t>
            </w:r>
            <w:r>
              <w:rPr>
                <w:rFonts w:hint="eastAsia" w:ascii="宋体" w:hAnsi="宋体" w:eastAsia="宋体" w:cs="宋体"/>
                <w:b w:val="0"/>
                <w:bCs w:val="0"/>
                <w:color w:val="auto"/>
                <w:kern w:val="0"/>
                <w:szCs w:val="21"/>
                <w:highlight w:val="none"/>
                <w:lang w:val="zh-CN"/>
              </w:rPr>
              <w:t>）项目实施过程中产生的垃圾废料由供应商负责清理至校外。</w:t>
            </w:r>
          </w:p>
          <w:p w14:paraId="1A1EFAD5">
            <w:pPr>
              <w:spacing w:line="400" w:lineRule="exact"/>
              <w:rPr>
                <w:rFonts w:hint="default" w:ascii="宋体" w:hAnsi="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2、为更好的服务于学校教学与科研活动，供应商需提供专业的使用培训服务，培训内容包含正向设计应用、设备安装与调试、日常使用维护、常见故障排除等。</w:t>
            </w:r>
          </w:p>
        </w:tc>
      </w:tr>
      <w:tr w14:paraId="55B1A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6C362CE8">
            <w:pPr>
              <w:widowControl/>
              <w:snapToGrid w:val="0"/>
              <w:spacing w:line="400" w:lineRule="exact"/>
              <w:jc w:val="center"/>
              <w:textAlignment w:val="center"/>
              <w:rPr>
                <w:rFonts w:hint="eastAsia" w:ascii="宋体" w:hAnsi="宋体" w:eastAsia="宋体" w:cs="宋体"/>
                <w:b w:val="0"/>
                <w:bCs w:val="0"/>
                <w:color w:val="auto"/>
                <w:kern w:val="2"/>
                <w:sz w:val="21"/>
                <w:szCs w:val="21"/>
                <w:highlight w:val="none"/>
                <w:lang w:val="en-US" w:eastAsia="zh-CN" w:bidi="ar-SA"/>
              </w:rPr>
            </w:pPr>
            <w:r>
              <w:rPr>
                <w:rStyle w:val="14"/>
                <w:rFonts w:hint="eastAsia" w:ascii="宋体" w:hAnsi="宋体" w:eastAsia="宋体" w:cs="宋体"/>
                <w:b w:val="0"/>
                <w:bCs w:val="0"/>
                <w:color w:val="auto"/>
                <w:sz w:val="21"/>
                <w:szCs w:val="21"/>
                <w:highlight w:val="none"/>
              </w:rPr>
              <w:t>付款方式</w:t>
            </w:r>
          </w:p>
        </w:tc>
        <w:tc>
          <w:tcPr>
            <w:tcW w:w="14624" w:type="dxa"/>
            <w:shd w:val="clear" w:color="auto" w:fill="auto"/>
            <w:vAlign w:val="center"/>
          </w:tcPr>
          <w:p w14:paraId="52FA89C8">
            <w:pPr>
              <w:widowControl/>
              <w:snapToGrid w:val="0"/>
              <w:spacing w:line="400" w:lineRule="exact"/>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b w:val="0"/>
                <w:bCs w:val="0"/>
                <w:kern w:val="0"/>
                <w:szCs w:val="21"/>
                <w:highlight w:val="none"/>
              </w:rPr>
              <w:t>项目全部货物服务交付并安装调试至正常运行，经采购人最终验收合格后，中标人开具增值税专用发票给采购人，采购人在收到发票后10个工作日内一次性支付100%合同货款。</w:t>
            </w:r>
          </w:p>
        </w:tc>
      </w:tr>
      <w:tr w14:paraId="1114E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325E5B12">
            <w:pPr>
              <w:widowControl/>
              <w:snapToGrid w:val="0"/>
              <w:spacing w:line="400" w:lineRule="exact"/>
              <w:jc w:val="center"/>
              <w:textAlignment w:val="center"/>
              <w:rPr>
                <w:rFonts w:hint="eastAsia" w:ascii="宋体" w:hAnsi="宋体" w:eastAsia="宋体" w:cs="宋体"/>
                <w:b w:val="0"/>
                <w:bCs w:val="0"/>
                <w:color w:val="auto"/>
                <w:kern w:val="2"/>
                <w:sz w:val="21"/>
                <w:szCs w:val="21"/>
                <w:highlight w:val="none"/>
                <w:lang w:val="en-US" w:eastAsia="zh-CN" w:bidi="ar-SA"/>
              </w:rPr>
            </w:pPr>
            <w:r>
              <w:rPr>
                <w:rStyle w:val="14"/>
                <w:rFonts w:hint="eastAsia" w:ascii="宋体" w:hAnsi="宋体" w:eastAsia="宋体" w:cs="宋体"/>
                <w:b w:val="0"/>
                <w:bCs w:val="0"/>
                <w:color w:val="auto"/>
                <w:sz w:val="21"/>
                <w:szCs w:val="21"/>
                <w:highlight w:val="none"/>
              </w:rPr>
              <w:t>验收要求</w:t>
            </w:r>
          </w:p>
        </w:tc>
        <w:tc>
          <w:tcPr>
            <w:tcW w:w="14624" w:type="dxa"/>
            <w:shd w:val="clear" w:color="auto" w:fill="auto"/>
            <w:vAlign w:val="center"/>
          </w:tcPr>
          <w:p w14:paraId="3FBA7EE8">
            <w:pPr>
              <w:widowControl/>
              <w:snapToGrid w:val="0"/>
              <w:spacing w:line="400" w:lineRule="exact"/>
              <w:ind w:firstLine="420" w:firstLineChars="200"/>
              <w:jc w:val="left"/>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 xml:space="preserve">1、验收标准：按合同要求及国家标准进行验收。验收时，采购人将严格按照合同要求及国家标准进行验收，对照采购文件的功能目标及技术指标全面核对检验，对所有要求出具的证明文件的原件进行核查（如有）。如交付产品不能满足采购要求和合同约定质量标准的视为验收不合格，按相关规定做退货处理及违约处理，成交供应商承担所有责任和费用，采购人保留进一步追究责任的权利。 </w:t>
            </w:r>
          </w:p>
          <w:p w14:paraId="3B2D3A35">
            <w:pPr>
              <w:widowControl/>
              <w:snapToGrid w:val="0"/>
              <w:spacing w:line="400" w:lineRule="exact"/>
              <w:ind w:firstLine="420" w:firstLineChars="200"/>
              <w:jc w:val="left"/>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供应商完成设备安装与调试后，需对拟交付的合同成果及其组件进行自检并提出书面验收申请，经采购人同意后共同组织验收，签写相应验收意见并签名确认。如对验收存在异议的，可聘请第三方按合同约定组织验收，所有费用由成交供应商负责。</w:t>
            </w:r>
          </w:p>
          <w:p w14:paraId="332031A5">
            <w:pPr>
              <w:widowControl/>
              <w:snapToGrid w:val="0"/>
              <w:spacing w:line="400" w:lineRule="exact"/>
              <w:ind w:firstLine="420" w:firstLineChars="200"/>
              <w:jc w:val="left"/>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3、货物（设备）验收合格，项目约定产品或服务方可正式交接，双方对相关货物清单、随机附件及验收结论意见书等书面材料进行清点签字后，作为项目的最终验收。</w:t>
            </w:r>
          </w:p>
          <w:p w14:paraId="658D5C7E">
            <w:pPr>
              <w:widowControl/>
              <w:snapToGrid w:val="0"/>
              <w:spacing w:line="400" w:lineRule="exact"/>
              <w:ind w:firstLine="420" w:firstLineChars="200"/>
              <w:jc w:val="left"/>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4、验收费用：验收所产生的劳务费、检验费及相关发生的全部费用均由成交人承担。</w:t>
            </w:r>
          </w:p>
        </w:tc>
      </w:tr>
      <w:tr w14:paraId="3AC5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2982A134">
            <w:pPr>
              <w:widowControl/>
              <w:snapToGrid w:val="0"/>
              <w:spacing w:line="400" w:lineRule="exact"/>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0"/>
                <w:szCs w:val="21"/>
                <w:highlight w:val="none"/>
              </w:rPr>
              <w:t>其他要求</w:t>
            </w:r>
          </w:p>
        </w:tc>
        <w:tc>
          <w:tcPr>
            <w:tcW w:w="14624" w:type="dxa"/>
            <w:shd w:val="clear" w:color="auto" w:fill="auto"/>
            <w:vAlign w:val="center"/>
          </w:tcPr>
          <w:p w14:paraId="2F7CF760">
            <w:pPr>
              <w:autoSpaceDE w:val="0"/>
              <w:autoSpaceDN w:val="0"/>
              <w:adjustRightInd w:val="0"/>
              <w:spacing w:line="400" w:lineRule="exact"/>
              <w:ind w:firstLine="420" w:firstLineChars="200"/>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1、供应商必须实质性响应本项目标注“▲”的技术参数要求，不允许负偏离，对技术参数要求中非标注“▲”的技术参数负偏离项数不超过</w:t>
            </w:r>
            <w:r>
              <w:rPr>
                <w:rFonts w:hint="eastAsia" w:ascii="宋体" w:hAnsi="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lang w:val="en-US" w:eastAsia="zh-CN"/>
              </w:rPr>
              <w:t>项，否则视为无效响应。投标时，供应商所投产品须满足或优于技术参数配置要求【需提供《商务、技术响应、偏离情况说明表》（格式自拟）、《竞标报价表》和投标产品的《技术参数配置清单》（格式见附件）及检测报告复印件等相关佐证材料，以上材料加盖供应商公章】， 否则视为无效响应。</w:t>
            </w:r>
          </w:p>
          <w:p w14:paraId="268FD641">
            <w:pPr>
              <w:autoSpaceDE w:val="0"/>
              <w:autoSpaceDN w:val="0"/>
              <w:adjustRightInd w:val="0"/>
              <w:spacing w:line="400" w:lineRule="exact"/>
              <w:ind w:firstLine="420" w:firstLineChars="200"/>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2、根据《财政部 发展改革委 生态环境部 市场监管总局关于调整优化节能产品、环境标志产品政府采购执行机制的通知》（财库〔2019〕9 号）和《关于印发节能产品政府采购品目清单的通知》（财库〔2019〕19 号）的规定，本项目采购的产品如属于节能产品政府采购品目清单内标注“</w:t>
            </w:r>
            <w:r>
              <w:rPr>
                <w:rFonts w:hint="eastAsia" w:ascii="宋体" w:hAnsi="宋体" w:cs="宋体"/>
                <w:b w:val="0"/>
                <w:bCs w:val="0"/>
                <w:color w:val="auto"/>
                <w:kern w:val="0"/>
                <w:sz w:val="20"/>
                <w:szCs w:val="20"/>
                <w:highlight w:val="none"/>
                <w:lang w:val="en-US" w:eastAsia="zh-CN"/>
              </w:rPr>
              <w:t>★</w:t>
            </w:r>
            <w:r>
              <w:rPr>
                <w:rFonts w:hint="eastAsia" w:ascii="宋体" w:hAnsi="宋体" w:eastAsia="宋体" w:cs="宋体"/>
                <w:b w:val="0"/>
                <w:bCs w:val="0"/>
                <w:color w:val="auto"/>
                <w:szCs w:val="21"/>
                <w:highlight w:val="none"/>
                <w:lang w:val="en-US" w:eastAsia="zh-CN"/>
              </w:rPr>
              <w:t>”的产品的，供应商的竞标货物必须使用政府强制采购的节能产品，竞标时须提供国家确定的认证机构出具的、处于有效期之内的有效的节能产品认证证书复印件并加盖供应商公章，否则响应文件作无效竞标处理。</w:t>
            </w:r>
          </w:p>
          <w:p w14:paraId="33880612">
            <w:pPr>
              <w:autoSpaceDE w:val="0"/>
              <w:autoSpaceDN w:val="0"/>
              <w:adjustRightInd w:val="0"/>
              <w:spacing w:line="400" w:lineRule="exact"/>
              <w:ind w:firstLine="420" w:firstLineChars="200"/>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供应商在参与竞标报价前需仔细阅读项目采购的技术及商务要求，评估自身履约能力，谢绝恶意低价、不按要求报价、中标后无故放弃、不按合同履行等违约行为。对出现此类行为的成交供应商，将根据在线竞价违约处理规则，依法依规提请政采云平台进行处罚，并保留依法追究违约责任的权利，供应商的违约行为列入不良记录记入政府采购诚信档案。采购单位有权将在线询价单中的商务要求列入合同条款，否则有权拒签合同。</w:t>
            </w:r>
          </w:p>
          <w:p w14:paraId="1F74A98F">
            <w:pPr>
              <w:autoSpaceDE w:val="0"/>
              <w:autoSpaceDN w:val="0"/>
              <w:adjustRightInd w:val="0"/>
              <w:spacing w:line="400" w:lineRule="exact"/>
              <w:ind w:firstLine="420" w:firstLineChars="200"/>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中标公示期内若有其他供应商质疑情况下，中标单位必须提供与标书技术要求及功能符合的样品一套至采购人处进行整体性能与标书文件核对，协助质疑答复。如出现所提供样品不符招标要求或无法提供样品，均视为虚假应标处理并根据招标法及标书要求追究法律责任。</w:t>
            </w:r>
          </w:p>
        </w:tc>
      </w:tr>
    </w:tbl>
    <w:p w14:paraId="7FFFC522">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42380685">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6173C674">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5304796A">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0C7D9527">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40DF424D">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776C1B2D">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4AFFA2AE">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2AB99F45">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52A8C38D">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6A386CD8">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76A5CAFF">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682CE868">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40E6D930">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73447A87">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579234A8">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b w:val="0"/>
          <w:bCs w:val="0"/>
          <w:color w:val="auto"/>
          <w:sz w:val="21"/>
          <w:szCs w:val="21"/>
          <w:highlight w:val="none"/>
          <w:lang w:val="en-US" w:eastAsia="zh-CN"/>
        </w:rPr>
      </w:pPr>
    </w:p>
    <w:p w14:paraId="2BC52C53">
      <w:pPr>
        <w:rPr>
          <w:b w:val="0"/>
          <w:bCs w:val="0"/>
          <w:color w:val="auto"/>
          <w:highlight w:val="none"/>
        </w:rPr>
      </w:pPr>
      <w:r>
        <w:rPr>
          <w:rFonts w:hint="eastAsia"/>
          <w:b w:val="0"/>
          <w:bCs w:val="0"/>
          <w:color w:val="auto"/>
          <w:highlight w:val="none"/>
        </w:rPr>
        <w:t>附件</w:t>
      </w:r>
    </w:p>
    <w:p w14:paraId="3183A1B2">
      <w:pPr>
        <w:tabs>
          <w:tab w:val="left" w:pos="3479"/>
        </w:tabs>
        <w:spacing w:line="520" w:lineRule="exact"/>
        <w:jc w:val="center"/>
        <w:rPr>
          <w:rFonts w:hint="eastAsia" w:asciiTheme="minorEastAsia" w:hAnsiTheme="minorEastAsia" w:cstheme="minorEastAsia"/>
          <w:b w:val="0"/>
          <w:bCs w:val="0"/>
          <w:color w:val="auto"/>
          <w:sz w:val="32"/>
          <w:szCs w:val="32"/>
          <w:highlight w:val="none"/>
        </w:rPr>
      </w:pPr>
      <w:r>
        <w:rPr>
          <w:rFonts w:hint="eastAsia" w:asciiTheme="minorEastAsia" w:hAnsiTheme="minorEastAsia" w:cstheme="minorEastAsia"/>
          <w:b w:val="0"/>
          <w:bCs w:val="0"/>
          <w:color w:val="auto"/>
          <w:sz w:val="44"/>
          <w:szCs w:val="44"/>
          <w:highlight w:val="none"/>
        </w:rPr>
        <w:t>竞  标  报  价  表</w:t>
      </w:r>
    </w:p>
    <w:p w14:paraId="38971243">
      <w:pPr>
        <w:spacing w:line="520" w:lineRule="exact"/>
        <w:jc w:val="center"/>
        <w:rPr>
          <w:rFonts w:hint="eastAsia" w:ascii="方正小标宋简体" w:hAnsi="方正小标宋简体" w:eastAsia="方正小标宋简体" w:cs="方正小标宋简体"/>
          <w:b w:val="0"/>
          <w:bCs w:val="0"/>
          <w:color w:val="auto"/>
          <w:sz w:val="32"/>
          <w:szCs w:val="32"/>
          <w:highlight w:val="none"/>
        </w:rPr>
      </w:pPr>
    </w:p>
    <w:p w14:paraId="5988FFAF">
      <w:pPr>
        <w:snapToGrid w:val="0"/>
        <w:spacing w:line="360" w:lineRule="auto"/>
        <w:rPr>
          <w:rFonts w:hint="eastAsia" w:ascii="宋体" w:hAnsi="宋体" w:cs="仿宋_GB2312"/>
          <w:b w:val="0"/>
          <w:bCs w:val="0"/>
          <w:color w:val="auto"/>
          <w:sz w:val="24"/>
          <w:highlight w:val="none"/>
        </w:rPr>
      </w:pPr>
      <w:r>
        <w:rPr>
          <w:rFonts w:hint="eastAsia" w:ascii="宋体" w:hAnsi="宋体" w:cs="仿宋_GB2312"/>
          <w:b w:val="0"/>
          <w:bCs w:val="0"/>
          <w:color w:val="auto"/>
          <w:sz w:val="24"/>
          <w:highlight w:val="none"/>
        </w:rPr>
        <w:t>项目名称：                                                                                    单位：元</w:t>
      </w:r>
    </w:p>
    <w:tbl>
      <w:tblPr>
        <w:tblStyle w:val="6"/>
        <w:tblW w:w="145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8"/>
        <w:gridCol w:w="4343"/>
        <w:gridCol w:w="2865"/>
        <w:gridCol w:w="1050"/>
        <w:gridCol w:w="1590"/>
        <w:gridCol w:w="1445"/>
        <w:gridCol w:w="2383"/>
      </w:tblGrid>
      <w:tr w14:paraId="5BA5DA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838" w:type="dxa"/>
            <w:tcBorders>
              <w:top w:val="single" w:color="auto" w:sz="4" w:space="0"/>
              <w:left w:val="single" w:color="auto" w:sz="4" w:space="0"/>
              <w:bottom w:val="single" w:color="auto" w:sz="4" w:space="0"/>
              <w:right w:val="single" w:color="auto" w:sz="4" w:space="0"/>
            </w:tcBorders>
            <w:vAlign w:val="center"/>
          </w:tcPr>
          <w:p w14:paraId="4E4FB784">
            <w:pPr>
              <w:spacing w:line="360" w:lineRule="exact"/>
              <w:jc w:val="center"/>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项号</w:t>
            </w:r>
          </w:p>
        </w:tc>
        <w:tc>
          <w:tcPr>
            <w:tcW w:w="4343" w:type="dxa"/>
            <w:tcBorders>
              <w:top w:val="single" w:color="auto" w:sz="4" w:space="0"/>
              <w:left w:val="single" w:color="auto" w:sz="4" w:space="0"/>
              <w:bottom w:val="single" w:color="auto" w:sz="4" w:space="0"/>
              <w:right w:val="single" w:color="auto" w:sz="4" w:space="0"/>
            </w:tcBorders>
            <w:vAlign w:val="center"/>
          </w:tcPr>
          <w:p w14:paraId="13C6CD31">
            <w:pPr>
              <w:spacing w:line="360" w:lineRule="exact"/>
              <w:jc w:val="center"/>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货物名称</w:t>
            </w:r>
          </w:p>
        </w:tc>
        <w:tc>
          <w:tcPr>
            <w:tcW w:w="2865" w:type="dxa"/>
            <w:tcBorders>
              <w:top w:val="single" w:color="auto" w:sz="4" w:space="0"/>
              <w:left w:val="single" w:color="auto" w:sz="4" w:space="0"/>
              <w:bottom w:val="single" w:color="auto" w:sz="4" w:space="0"/>
              <w:right w:val="single" w:color="auto" w:sz="4" w:space="0"/>
            </w:tcBorders>
            <w:vAlign w:val="center"/>
          </w:tcPr>
          <w:p w14:paraId="18C0BEF8">
            <w:pPr>
              <w:spacing w:line="360" w:lineRule="exact"/>
              <w:jc w:val="center"/>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品牌</w:t>
            </w:r>
          </w:p>
        </w:tc>
        <w:tc>
          <w:tcPr>
            <w:tcW w:w="1050" w:type="dxa"/>
            <w:tcBorders>
              <w:top w:val="single" w:color="auto" w:sz="4" w:space="0"/>
              <w:left w:val="single" w:color="auto" w:sz="4" w:space="0"/>
              <w:bottom w:val="single" w:color="auto" w:sz="4" w:space="0"/>
              <w:right w:val="single" w:color="auto" w:sz="4" w:space="0"/>
            </w:tcBorders>
            <w:vAlign w:val="center"/>
          </w:tcPr>
          <w:p w14:paraId="1E5BBF02">
            <w:pPr>
              <w:spacing w:line="360" w:lineRule="exact"/>
              <w:jc w:val="center"/>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单位</w:t>
            </w:r>
          </w:p>
        </w:tc>
        <w:tc>
          <w:tcPr>
            <w:tcW w:w="1590" w:type="dxa"/>
            <w:tcBorders>
              <w:top w:val="single" w:color="auto" w:sz="4" w:space="0"/>
              <w:left w:val="single" w:color="auto" w:sz="4" w:space="0"/>
              <w:bottom w:val="single" w:color="auto" w:sz="4" w:space="0"/>
              <w:right w:val="single" w:color="auto" w:sz="4" w:space="0"/>
            </w:tcBorders>
            <w:vAlign w:val="center"/>
          </w:tcPr>
          <w:p w14:paraId="0CA5BD2E">
            <w:pPr>
              <w:spacing w:line="360" w:lineRule="exact"/>
              <w:jc w:val="center"/>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数量</w:t>
            </w:r>
          </w:p>
          <w:p w14:paraId="2ABD7952">
            <w:pPr>
              <w:spacing w:line="360" w:lineRule="exact"/>
              <w:jc w:val="center"/>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①</w:t>
            </w:r>
          </w:p>
        </w:tc>
        <w:tc>
          <w:tcPr>
            <w:tcW w:w="1445" w:type="dxa"/>
            <w:tcBorders>
              <w:top w:val="single" w:color="auto" w:sz="4" w:space="0"/>
              <w:left w:val="single" w:color="auto" w:sz="4" w:space="0"/>
              <w:bottom w:val="single" w:color="auto" w:sz="4" w:space="0"/>
              <w:right w:val="single" w:color="auto" w:sz="4" w:space="0"/>
            </w:tcBorders>
            <w:vAlign w:val="center"/>
          </w:tcPr>
          <w:p w14:paraId="55DEE98D">
            <w:pPr>
              <w:spacing w:line="360" w:lineRule="exact"/>
              <w:jc w:val="center"/>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单价</w:t>
            </w:r>
          </w:p>
          <w:p w14:paraId="763668E3">
            <w:pPr>
              <w:spacing w:line="360" w:lineRule="exact"/>
              <w:jc w:val="center"/>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②</w:t>
            </w:r>
          </w:p>
        </w:tc>
        <w:tc>
          <w:tcPr>
            <w:tcW w:w="2383" w:type="dxa"/>
            <w:tcBorders>
              <w:top w:val="single" w:color="auto" w:sz="4" w:space="0"/>
              <w:left w:val="single" w:color="auto" w:sz="4" w:space="0"/>
              <w:bottom w:val="single" w:color="auto" w:sz="4" w:space="0"/>
              <w:right w:val="single" w:color="auto" w:sz="4" w:space="0"/>
            </w:tcBorders>
            <w:vAlign w:val="center"/>
          </w:tcPr>
          <w:p w14:paraId="0F2BFBB9">
            <w:pPr>
              <w:spacing w:line="360" w:lineRule="exact"/>
              <w:jc w:val="center"/>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竞标报价</w:t>
            </w:r>
          </w:p>
          <w:p w14:paraId="41938572">
            <w:pPr>
              <w:spacing w:line="360" w:lineRule="exact"/>
              <w:jc w:val="center"/>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③=①×②</w:t>
            </w:r>
          </w:p>
        </w:tc>
      </w:tr>
      <w:tr w14:paraId="1E2BF8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3" w:hRule="atLeast"/>
        </w:trPr>
        <w:tc>
          <w:tcPr>
            <w:tcW w:w="838" w:type="dxa"/>
            <w:tcBorders>
              <w:top w:val="single" w:color="auto" w:sz="4" w:space="0"/>
              <w:left w:val="single" w:color="auto" w:sz="4" w:space="0"/>
              <w:bottom w:val="single" w:color="auto" w:sz="4" w:space="0"/>
              <w:right w:val="single" w:color="auto" w:sz="4" w:space="0"/>
            </w:tcBorders>
            <w:vAlign w:val="center"/>
          </w:tcPr>
          <w:p w14:paraId="1EDA1452">
            <w:pPr>
              <w:spacing w:line="360" w:lineRule="auto"/>
              <w:jc w:val="center"/>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1</w:t>
            </w:r>
          </w:p>
        </w:tc>
        <w:tc>
          <w:tcPr>
            <w:tcW w:w="4343" w:type="dxa"/>
            <w:tcBorders>
              <w:top w:val="single" w:color="auto" w:sz="4" w:space="0"/>
              <w:left w:val="single" w:color="auto" w:sz="4" w:space="0"/>
              <w:bottom w:val="single" w:color="auto" w:sz="4" w:space="0"/>
              <w:right w:val="single" w:color="auto" w:sz="4" w:space="0"/>
            </w:tcBorders>
            <w:vAlign w:val="center"/>
          </w:tcPr>
          <w:p w14:paraId="2A24F031">
            <w:pPr>
              <w:spacing w:line="360" w:lineRule="auto"/>
              <w:jc w:val="center"/>
              <w:rPr>
                <w:rFonts w:hint="eastAsia" w:ascii="宋体" w:hAnsi="宋体" w:cs="仿宋_GB2312"/>
                <w:b w:val="0"/>
                <w:bCs w:val="0"/>
                <w:color w:val="auto"/>
                <w:szCs w:val="21"/>
                <w:highlight w:val="none"/>
              </w:rPr>
            </w:pPr>
          </w:p>
        </w:tc>
        <w:tc>
          <w:tcPr>
            <w:tcW w:w="2865" w:type="dxa"/>
            <w:tcBorders>
              <w:top w:val="single" w:color="auto" w:sz="4" w:space="0"/>
              <w:left w:val="single" w:color="auto" w:sz="4" w:space="0"/>
              <w:bottom w:val="single" w:color="auto" w:sz="4" w:space="0"/>
              <w:right w:val="single" w:color="auto" w:sz="4" w:space="0"/>
            </w:tcBorders>
            <w:vAlign w:val="center"/>
          </w:tcPr>
          <w:p w14:paraId="3FB1A459">
            <w:pPr>
              <w:spacing w:line="360" w:lineRule="auto"/>
              <w:jc w:val="center"/>
              <w:rPr>
                <w:rFonts w:hint="eastAsia" w:ascii="宋体" w:hAnsi="宋体" w:cs="仿宋_GB2312"/>
                <w:b w:val="0"/>
                <w:bCs w:val="0"/>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51B61367">
            <w:pPr>
              <w:spacing w:line="360" w:lineRule="exact"/>
              <w:jc w:val="center"/>
              <w:rPr>
                <w:rFonts w:hint="eastAsia" w:ascii="宋体" w:hAnsi="宋体" w:eastAsia="宋体" w:cs="仿宋_GB2312"/>
                <w:b w:val="0"/>
                <w:bCs w:val="0"/>
                <w:color w:val="auto"/>
                <w:szCs w:val="21"/>
                <w:highlight w:val="none"/>
                <w:lang w:val="en-US" w:eastAsia="zh-CN"/>
              </w:rPr>
            </w:pPr>
          </w:p>
        </w:tc>
        <w:tc>
          <w:tcPr>
            <w:tcW w:w="1590" w:type="dxa"/>
            <w:tcBorders>
              <w:top w:val="single" w:color="auto" w:sz="4" w:space="0"/>
              <w:left w:val="single" w:color="auto" w:sz="4" w:space="0"/>
              <w:bottom w:val="single" w:color="auto" w:sz="4" w:space="0"/>
              <w:right w:val="single" w:color="auto" w:sz="4" w:space="0"/>
            </w:tcBorders>
            <w:vAlign w:val="center"/>
          </w:tcPr>
          <w:p w14:paraId="7D725F70">
            <w:pPr>
              <w:spacing w:line="360" w:lineRule="exact"/>
              <w:jc w:val="center"/>
              <w:rPr>
                <w:rFonts w:hint="eastAsia" w:ascii="宋体" w:hAnsi="宋体" w:eastAsia="宋体" w:cs="仿宋_GB2312"/>
                <w:b w:val="0"/>
                <w:bCs w:val="0"/>
                <w:color w:val="auto"/>
                <w:szCs w:val="21"/>
                <w:highlight w:val="none"/>
                <w:lang w:val="en-US" w:eastAsia="zh-CN"/>
              </w:rPr>
            </w:pPr>
          </w:p>
        </w:tc>
        <w:tc>
          <w:tcPr>
            <w:tcW w:w="1445" w:type="dxa"/>
            <w:tcBorders>
              <w:top w:val="single" w:color="auto" w:sz="4" w:space="0"/>
              <w:left w:val="single" w:color="auto" w:sz="4" w:space="0"/>
              <w:bottom w:val="single" w:color="auto" w:sz="4" w:space="0"/>
              <w:right w:val="single" w:color="auto" w:sz="4" w:space="0"/>
            </w:tcBorders>
            <w:vAlign w:val="center"/>
          </w:tcPr>
          <w:p w14:paraId="1CC172F1">
            <w:pPr>
              <w:spacing w:line="360" w:lineRule="auto"/>
              <w:jc w:val="center"/>
              <w:rPr>
                <w:rFonts w:hint="eastAsia" w:ascii="宋体" w:hAnsi="宋体" w:cs="仿宋_GB2312"/>
                <w:b w:val="0"/>
                <w:bCs w:val="0"/>
                <w:color w:val="auto"/>
                <w:szCs w:val="21"/>
                <w:highlight w:val="none"/>
              </w:rPr>
            </w:pPr>
          </w:p>
        </w:tc>
        <w:tc>
          <w:tcPr>
            <w:tcW w:w="2383" w:type="dxa"/>
            <w:tcBorders>
              <w:top w:val="single" w:color="auto" w:sz="4" w:space="0"/>
              <w:left w:val="single" w:color="auto" w:sz="4" w:space="0"/>
              <w:bottom w:val="single" w:color="auto" w:sz="4" w:space="0"/>
              <w:right w:val="single" w:color="auto" w:sz="4" w:space="0"/>
            </w:tcBorders>
            <w:vAlign w:val="center"/>
          </w:tcPr>
          <w:p w14:paraId="0996EDB7">
            <w:pPr>
              <w:spacing w:line="360" w:lineRule="auto"/>
              <w:jc w:val="center"/>
              <w:rPr>
                <w:rFonts w:hint="eastAsia" w:ascii="宋体" w:hAnsi="宋体" w:cs="仿宋_GB2312"/>
                <w:b w:val="0"/>
                <w:bCs w:val="0"/>
                <w:color w:val="auto"/>
                <w:szCs w:val="21"/>
                <w:highlight w:val="none"/>
              </w:rPr>
            </w:pPr>
          </w:p>
        </w:tc>
      </w:tr>
      <w:tr w14:paraId="299A9C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3" w:hRule="atLeast"/>
        </w:trPr>
        <w:tc>
          <w:tcPr>
            <w:tcW w:w="838" w:type="dxa"/>
            <w:tcBorders>
              <w:top w:val="single" w:color="auto" w:sz="4" w:space="0"/>
              <w:left w:val="single" w:color="auto" w:sz="4" w:space="0"/>
              <w:bottom w:val="single" w:color="auto" w:sz="4" w:space="0"/>
              <w:right w:val="single" w:color="auto" w:sz="4" w:space="0"/>
            </w:tcBorders>
            <w:vAlign w:val="center"/>
          </w:tcPr>
          <w:p w14:paraId="0CC52A36">
            <w:pPr>
              <w:spacing w:line="360" w:lineRule="auto"/>
              <w:jc w:val="center"/>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2</w:t>
            </w:r>
          </w:p>
        </w:tc>
        <w:tc>
          <w:tcPr>
            <w:tcW w:w="4343" w:type="dxa"/>
            <w:tcBorders>
              <w:top w:val="single" w:color="auto" w:sz="4" w:space="0"/>
              <w:left w:val="single" w:color="auto" w:sz="4" w:space="0"/>
              <w:bottom w:val="single" w:color="auto" w:sz="4" w:space="0"/>
              <w:right w:val="single" w:color="auto" w:sz="4" w:space="0"/>
            </w:tcBorders>
            <w:vAlign w:val="center"/>
          </w:tcPr>
          <w:p w14:paraId="52E5DACC">
            <w:pPr>
              <w:spacing w:line="360" w:lineRule="auto"/>
              <w:jc w:val="center"/>
              <w:rPr>
                <w:rFonts w:hint="eastAsia" w:ascii="宋体" w:hAnsi="宋体" w:cs="仿宋_GB2312"/>
                <w:b w:val="0"/>
                <w:bCs w:val="0"/>
                <w:color w:val="auto"/>
                <w:szCs w:val="21"/>
                <w:highlight w:val="none"/>
              </w:rPr>
            </w:pPr>
          </w:p>
        </w:tc>
        <w:tc>
          <w:tcPr>
            <w:tcW w:w="2865" w:type="dxa"/>
            <w:tcBorders>
              <w:top w:val="single" w:color="auto" w:sz="4" w:space="0"/>
              <w:left w:val="single" w:color="auto" w:sz="4" w:space="0"/>
              <w:bottom w:val="single" w:color="auto" w:sz="4" w:space="0"/>
              <w:right w:val="single" w:color="auto" w:sz="4" w:space="0"/>
            </w:tcBorders>
            <w:vAlign w:val="center"/>
          </w:tcPr>
          <w:p w14:paraId="75A7E24D">
            <w:pPr>
              <w:spacing w:line="360" w:lineRule="auto"/>
              <w:jc w:val="center"/>
              <w:rPr>
                <w:rFonts w:hint="eastAsia" w:ascii="宋体" w:hAnsi="宋体" w:cs="仿宋_GB2312"/>
                <w:b w:val="0"/>
                <w:bCs w:val="0"/>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426BEBAA">
            <w:pPr>
              <w:spacing w:line="360" w:lineRule="exact"/>
              <w:jc w:val="center"/>
              <w:rPr>
                <w:rFonts w:hint="eastAsia" w:ascii="宋体" w:hAnsi="宋体" w:cs="仿宋_GB2312"/>
                <w:b w:val="0"/>
                <w:bCs w:val="0"/>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50793883">
            <w:pPr>
              <w:spacing w:line="360" w:lineRule="exact"/>
              <w:jc w:val="center"/>
              <w:rPr>
                <w:rFonts w:hint="eastAsia" w:ascii="宋体" w:hAnsi="宋体" w:cs="仿宋_GB2312"/>
                <w:b w:val="0"/>
                <w:bCs w:val="0"/>
                <w:color w:val="auto"/>
                <w:szCs w:val="21"/>
                <w:highlight w:val="none"/>
              </w:rPr>
            </w:pPr>
          </w:p>
        </w:tc>
        <w:tc>
          <w:tcPr>
            <w:tcW w:w="1445" w:type="dxa"/>
            <w:tcBorders>
              <w:top w:val="single" w:color="auto" w:sz="4" w:space="0"/>
              <w:left w:val="single" w:color="auto" w:sz="4" w:space="0"/>
              <w:bottom w:val="single" w:color="auto" w:sz="4" w:space="0"/>
              <w:right w:val="single" w:color="auto" w:sz="4" w:space="0"/>
            </w:tcBorders>
            <w:vAlign w:val="center"/>
          </w:tcPr>
          <w:p w14:paraId="7CA3D3BB">
            <w:pPr>
              <w:spacing w:line="360" w:lineRule="auto"/>
              <w:jc w:val="center"/>
              <w:rPr>
                <w:rFonts w:hint="eastAsia" w:ascii="宋体" w:hAnsi="宋体" w:cs="仿宋_GB2312"/>
                <w:b w:val="0"/>
                <w:bCs w:val="0"/>
                <w:color w:val="auto"/>
                <w:szCs w:val="21"/>
                <w:highlight w:val="none"/>
              </w:rPr>
            </w:pPr>
          </w:p>
        </w:tc>
        <w:tc>
          <w:tcPr>
            <w:tcW w:w="2383" w:type="dxa"/>
            <w:tcBorders>
              <w:top w:val="single" w:color="auto" w:sz="4" w:space="0"/>
              <w:left w:val="single" w:color="auto" w:sz="4" w:space="0"/>
              <w:bottom w:val="single" w:color="auto" w:sz="4" w:space="0"/>
              <w:right w:val="single" w:color="auto" w:sz="4" w:space="0"/>
            </w:tcBorders>
            <w:vAlign w:val="center"/>
          </w:tcPr>
          <w:p w14:paraId="1CA1890B">
            <w:pPr>
              <w:spacing w:line="360" w:lineRule="auto"/>
              <w:jc w:val="center"/>
              <w:rPr>
                <w:rFonts w:hint="eastAsia" w:ascii="宋体" w:hAnsi="宋体" w:cs="仿宋_GB2312"/>
                <w:b w:val="0"/>
                <w:bCs w:val="0"/>
                <w:color w:val="auto"/>
                <w:szCs w:val="21"/>
                <w:highlight w:val="none"/>
              </w:rPr>
            </w:pPr>
          </w:p>
        </w:tc>
      </w:tr>
      <w:tr w14:paraId="41457D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3" w:hRule="atLeast"/>
        </w:trPr>
        <w:tc>
          <w:tcPr>
            <w:tcW w:w="838" w:type="dxa"/>
            <w:tcBorders>
              <w:top w:val="single" w:color="auto" w:sz="4" w:space="0"/>
              <w:left w:val="single" w:color="auto" w:sz="4" w:space="0"/>
              <w:bottom w:val="single" w:color="auto" w:sz="4" w:space="0"/>
              <w:right w:val="single" w:color="auto" w:sz="4" w:space="0"/>
            </w:tcBorders>
            <w:vAlign w:val="center"/>
          </w:tcPr>
          <w:p w14:paraId="0E2BE0F4">
            <w:pPr>
              <w:spacing w:line="360" w:lineRule="auto"/>
              <w:jc w:val="center"/>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w:t>
            </w:r>
          </w:p>
        </w:tc>
        <w:tc>
          <w:tcPr>
            <w:tcW w:w="4343" w:type="dxa"/>
            <w:tcBorders>
              <w:top w:val="single" w:color="auto" w:sz="4" w:space="0"/>
              <w:left w:val="single" w:color="auto" w:sz="4" w:space="0"/>
              <w:bottom w:val="single" w:color="auto" w:sz="4" w:space="0"/>
              <w:right w:val="single" w:color="auto" w:sz="4" w:space="0"/>
            </w:tcBorders>
            <w:vAlign w:val="center"/>
          </w:tcPr>
          <w:p w14:paraId="6E9C61FE">
            <w:pPr>
              <w:spacing w:line="360" w:lineRule="auto"/>
              <w:jc w:val="center"/>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w:t>
            </w:r>
          </w:p>
        </w:tc>
        <w:tc>
          <w:tcPr>
            <w:tcW w:w="2865" w:type="dxa"/>
            <w:tcBorders>
              <w:top w:val="single" w:color="auto" w:sz="4" w:space="0"/>
              <w:left w:val="single" w:color="auto" w:sz="4" w:space="0"/>
              <w:bottom w:val="single" w:color="auto" w:sz="4" w:space="0"/>
              <w:right w:val="single" w:color="auto" w:sz="4" w:space="0"/>
            </w:tcBorders>
            <w:vAlign w:val="center"/>
          </w:tcPr>
          <w:p w14:paraId="0BF57132">
            <w:pPr>
              <w:spacing w:line="360" w:lineRule="auto"/>
              <w:jc w:val="center"/>
              <w:rPr>
                <w:rFonts w:hint="eastAsia" w:ascii="宋体" w:hAnsi="宋体" w:cs="仿宋_GB2312"/>
                <w:b w:val="0"/>
                <w:bCs w:val="0"/>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1329D898">
            <w:pPr>
              <w:spacing w:line="360" w:lineRule="exact"/>
              <w:jc w:val="center"/>
              <w:rPr>
                <w:rFonts w:hint="eastAsia" w:ascii="宋体" w:hAnsi="宋体" w:cs="仿宋_GB2312"/>
                <w:b w:val="0"/>
                <w:bCs w:val="0"/>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4C5AC231">
            <w:pPr>
              <w:spacing w:line="360" w:lineRule="exact"/>
              <w:jc w:val="center"/>
              <w:rPr>
                <w:rFonts w:hint="eastAsia" w:ascii="宋体" w:hAnsi="宋体" w:cs="仿宋_GB2312"/>
                <w:b w:val="0"/>
                <w:bCs w:val="0"/>
                <w:color w:val="auto"/>
                <w:szCs w:val="21"/>
                <w:highlight w:val="none"/>
              </w:rPr>
            </w:pPr>
          </w:p>
        </w:tc>
        <w:tc>
          <w:tcPr>
            <w:tcW w:w="1445" w:type="dxa"/>
            <w:tcBorders>
              <w:top w:val="single" w:color="auto" w:sz="4" w:space="0"/>
              <w:left w:val="single" w:color="auto" w:sz="4" w:space="0"/>
              <w:bottom w:val="single" w:color="auto" w:sz="4" w:space="0"/>
              <w:right w:val="single" w:color="auto" w:sz="4" w:space="0"/>
            </w:tcBorders>
            <w:vAlign w:val="center"/>
          </w:tcPr>
          <w:p w14:paraId="100B0FB4">
            <w:pPr>
              <w:spacing w:line="360" w:lineRule="auto"/>
              <w:jc w:val="center"/>
              <w:rPr>
                <w:rFonts w:hint="eastAsia" w:ascii="宋体" w:hAnsi="宋体" w:cs="仿宋_GB2312"/>
                <w:b w:val="0"/>
                <w:bCs w:val="0"/>
                <w:color w:val="auto"/>
                <w:szCs w:val="21"/>
                <w:highlight w:val="none"/>
              </w:rPr>
            </w:pPr>
          </w:p>
        </w:tc>
        <w:tc>
          <w:tcPr>
            <w:tcW w:w="2383" w:type="dxa"/>
            <w:tcBorders>
              <w:top w:val="single" w:color="auto" w:sz="4" w:space="0"/>
              <w:left w:val="single" w:color="auto" w:sz="4" w:space="0"/>
              <w:bottom w:val="single" w:color="auto" w:sz="4" w:space="0"/>
              <w:right w:val="single" w:color="auto" w:sz="4" w:space="0"/>
            </w:tcBorders>
            <w:vAlign w:val="center"/>
          </w:tcPr>
          <w:p w14:paraId="2E0929C2">
            <w:pPr>
              <w:spacing w:line="360" w:lineRule="auto"/>
              <w:jc w:val="center"/>
              <w:rPr>
                <w:rFonts w:hint="eastAsia" w:ascii="宋体" w:hAnsi="宋体" w:cs="仿宋_GB2312"/>
                <w:b w:val="0"/>
                <w:bCs w:val="0"/>
                <w:color w:val="auto"/>
                <w:szCs w:val="21"/>
                <w:highlight w:val="none"/>
              </w:rPr>
            </w:pPr>
          </w:p>
        </w:tc>
      </w:tr>
      <w:tr w14:paraId="0C7C31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3" w:hRule="atLeast"/>
        </w:trPr>
        <w:tc>
          <w:tcPr>
            <w:tcW w:w="838" w:type="dxa"/>
            <w:tcBorders>
              <w:top w:val="single" w:color="auto" w:sz="4" w:space="0"/>
              <w:left w:val="single" w:color="auto" w:sz="4" w:space="0"/>
              <w:bottom w:val="single" w:color="auto" w:sz="4" w:space="0"/>
              <w:right w:val="single" w:color="auto" w:sz="4" w:space="0"/>
            </w:tcBorders>
            <w:vAlign w:val="center"/>
          </w:tcPr>
          <w:p w14:paraId="0B725A84">
            <w:pPr>
              <w:spacing w:line="360" w:lineRule="auto"/>
              <w:jc w:val="center"/>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w:t>
            </w:r>
          </w:p>
        </w:tc>
        <w:tc>
          <w:tcPr>
            <w:tcW w:w="4343" w:type="dxa"/>
            <w:tcBorders>
              <w:top w:val="single" w:color="auto" w:sz="4" w:space="0"/>
              <w:left w:val="single" w:color="auto" w:sz="4" w:space="0"/>
              <w:bottom w:val="single" w:color="auto" w:sz="4" w:space="0"/>
              <w:right w:val="single" w:color="auto" w:sz="4" w:space="0"/>
            </w:tcBorders>
            <w:vAlign w:val="center"/>
          </w:tcPr>
          <w:p w14:paraId="52BCFB01">
            <w:pPr>
              <w:spacing w:line="360" w:lineRule="auto"/>
              <w:jc w:val="center"/>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w:t>
            </w:r>
          </w:p>
        </w:tc>
        <w:tc>
          <w:tcPr>
            <w:tcW w:w="2865" w:type="dxa"/>
            <w:tcBorders>
              <w:top w:val="single" w:color="auto" w:sz="4" w:space="0"/>
              <w:left w:val="single" w:color="auto" w:sz="4" w:space="0"/>
              <w:bottom w:val="single" w:color="auto" w:sz="4" w:space="0"/>
              <w:right w:val="single" w:color="auto" w:sz="4" w:space="0"/>
            </w:tcBorders>
            <w:vAlign w:val="center"/>
          </w:tcPr>
          <w:p w14:paraId="33CFBF37">
            <w:pPr>
              <w:spacing w:line="360" w:lineRule="auto"/>
              <w:jc w:val="center"/>
              <w:rPr>
                <w:rFonts w:hint="eastAsia" w:ascii="宋体" w:hAnsi="宋体" w:cs="仿宋_GB2312"/>
                <w:b w:val="0"/>
                <w:bCs w:val="0"/>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6F9DF8B5">
            <w:pPr>
              <w:spacing w:line="360" w:lineRule="exact"/>
              <w:jc w:val="center"/>
              <w:rPr>
                <w:rFonts w:hint="eastAsia" w:ascii="宋体" w:hAnsi="宋体" w:cs="仿宋_GB2312"/>
                <w:b w:val="0"/>
                <w:bCs w:val="0"/>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7AA6BDAB">
            <w:pPr>
              <w:spacing w:line="360" w:lineRule="exact"/>
              <w:jc w:val="center"/>
              <w:rPr>
                <w:rFonts w:hint="eastAsia" w:ascii="宋体" w:hAnsi="宋体" w:cs="仿宋_GB2312"/>
                <w:b w:val="0"/>
                <w:bCs w:val="0"/>
                <w:color w:val="auto"/>
                <w:szCs w:val="21"/>
                <w:highlight w:val="none"/>
              </w:rPr>
            </w:pPr>
          </w:p>
        </w:tc>
        <w:tc>
          <w:tcPr>
            <w:tcW w:w="1445" w:type="dxa"/>
            <w:tcBorders>
              <w:top w:val="single" w:color="auto" w:sz="4" w:space="0"/>
              <w:left w:val="single" w:color="auto" w:sz="4" w:space="0"/>
              <w:bottom w:val="single" w:color="auto" w:sz="4" w:space="0"/>
              <w:right w:val="single" w:color="auto" w:sz="4" w:space="0"/>
            </w:tcBorders>
            <w:vAlign w:val="center"/>
          </w:tcPr>
          <w:p w14:paraId="1C127B9E">
            <w:pPr>
              <w:spacing w:line="360" w:lineRule="auto"/>
              <w:jc w:val="center"/>
              <w:rPr>
                <w:rFonts w:hint="eastAsia" w:ascii="宋体" w:hAnsi="宋体" w:cs="仿宋_GB2312"/>
                <w:b w:val="0"/>
                <w:bCs w:val="0"/>
                <w:color w:val="auto"/>
                <w:szCs w:val="21"/>
                <w:highlight w:val="none"/>
              </w:rPr>
            </w:pPr>
          </w:p>
        </w:tc>
        <w:tc>
          <w:tcPr>
            <w:tcW w:w="2383" w:type="dxa"/>
            <w:tcBorders>
              <w:top w:val="single" w:color="auto" w:sz="4" w:space="0"/>
              <w:left w:val="single" w:color="auto" w:sz="4" w:space="0"/>
              <w:bottom w:val="single" w:color="auto" w:sz="4" w:space="0"/>
              <w:right w:val="single" w:color="auto" w:sz="4" w:space="0"/>
            </w:tcBorders>
            <w:vAlign w:val="center"/>
          </w:tcPr>
          <w:p w14:paraId="6D0CF52E">
            <w:pPr>
              <w:spacing w:line="360" w:lineRule="auto"/>
              <w:jc w:val="center"/>
              <w:rPr>
                <w:rFonts w:hint="eastAsia" w:ascii="宋体" w:hAnsi="宋体" w:cs="仿宋_GB2312"/>
                <w:b w:val="0"/>
                <w:bCs w:val="0"/>
                <w:color w:val="auto"/>
                <w:szCs w:val="21"/>
                <w:highlight w:val="none"/>
              </w:rPr>
            </w:pPr>
          </w:p>
        </w:tc>
      </w:tr>
      <w:tr w14:paraId="6E5340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14514" w:type="dxa"/>
            <w:gridSpan w:val="7"/>
            <w:tcBorders>
              <w:top w:val="single" w:color="auto" w:sz="4" w:space="0"/>
              <w:left w:val="single" w:color="auto" w:sz="4" w:space="0"/>
              <w:bottom w:val="single" w:color="auto" w:sz="4" w:space="0"/>
              <w:right w:val="single" w:color="auto" w:sz="4" w:space="0"/>
            </w:tcBorders>
            <w:vAlign w:val="center"/>
          </w:tcPr>
          <w:p w14:paraId="4FC11B75">
            <w:pPr>
              <w:snapToGrid w:val="0"/>
              <w:spacing w:line="360" w:lineRule="auto"/>
              <w:rPr>
                <w:rFonts w:hint="eastAsia" w:ascii="宋体" w:hAnsi="宋体" w:cs="仿宋_GB2312"/>
                <w:b w:val="0"/>
                <w:bCs w:val="0"/>
                <w:color w:val="auto"/>
                <w:szCs w:val="21"/>
                <w:highlight w:val="none"/>
                <w:u w:val="single"/>
              </w:rPr>
            </w:pPr>
            <w:r>
              <w:rPr>
                <w:rFonts w:hint="eastAsia" w:ascii="宋体" w:hAnsi="宋体" w:cs="仿宋_GB2312"/>
                <w:b w:val="0"/>
                <w:bCs w:val="0"/>
                <w:color w:val="auto"/>
                <w:szCs w:val="21"/>
                <w:highlight w:val="none"/>
              </w:rPr>
              <w:t>合计金额大写：人民币      （</w:t>
            </w:r>
            <w:r>
              <w:rPr>
                <w:rFonts w:hint="eastAsia" w:ascii="宋体" w:hAnsi="宋体" w:cs="宋体"/>
                <w:b w:val="0"/>
                <w:bCs w:val="0"/>
                <w:color w:val="auto"/>
                <w:szCs w:val="21"/>
                <w:highlight w:val="none"/>
              </w:rPr>
              <w:t>￥</w:t>
            </w:r>
            <w:r>
              <w:rPr>
                <w:rFonts w:hint="eastAsia" w:ascii="宋体" w:hAnsi="宋体" w:cs="仿宋_GB2312"/>
                <w:b w:val="0"/>
                <w:bCs w:val="0"/>
                <w:color w:val="auto"/>
                <w:szCs w:val="21"/>
                <w:highlight w:val="none"/>
              </w:rPr>
              <w:t>：   ）</w:t>
            </w:r>
          </w:p>
        </w:tc>
      </w:tr>
    </w:tbl>
    <w:p w14:paraId="5B8D7C90">
      <w:pPr>
        <w:spacing w:line="360" w:lineRule="exact"/>
        <w:ind w:firstLine="420" w:firstLineChars="200"/>
        <w:contextualSpacing/>
        <w:rPr>
          <w:rFonts w:hint="eastAsia" w:ascii="宋体" w:hAnsi="宋体"/>
          <w:b w:val="0"/>
          <w:bCs w:val="0"/>
          <w:color w:val="auto"/>
          <w:szCs w:val="21"/>
          <w:highlight w:val="none"/>
        </w:rPr>
      </w:pPr>
      <w:r>
        <w:rPr>
          <w:rFonts w:hint="eastAsia" w:ascii="宋体" w:hAnsi="宋体"/>
          <w:b w:val="0"/>
          <w:bCs w:val="0"/>
          <w:color w:val="auto"/>
          <w:szCs w:val="21"/>
          <w:highlight w:val="none"/>
        </w:rPr>
        <w:t>注: 1.所有价格均用人民币表示，单位为元，精确到小数点后两数位。</w:t>
      </w:r>
    </w:p>
    <w:p w14:paraId="785939F9">
      <w:pPr>
        <w:spacing w:line="360" w:lineRule="exact"/>
        <w:ind w:firstLine="840" w:firstLineChars="400"/>
        <w:contextualSpacing/>
        <w:rPr>
          <w:rFonts w:hint="eastAsia" w:ascii="宋体" w:hAnsi="宋体"/>
          <w:b w:val="0"/>
          <w:bCs w:val="0"/>
          <w:color w:val="auto"/>
          <w:szCs w:val="21"/>
          <w:highlight w:val="none"/>
        </w:rPr>
      </w:pPr>
      <w:r>
        <w:rPr>
          <w:rFonts w:hint="eastAsia" w:ascii="宋体" w:hAnsi="宋体"/>
          <w:b w:val="0"/>
          <w:bCs w:val="0"/>
          <w:color w:val="auto"/>
          <w:szCs w:val="21"/>
          <w:highlight w:val="none"/>
        </w:rPr>
        <w:t>2、供应商的报价表必须加盖供应商公章并由法定代表人或者委托代理人签字，否则其响应文件按无效响应处理。</w:t>
      </w:r>
    </w:p>
    <w:p w14:paraId="3170C657">
      <w:pPr>
        <w:spacing w:line="360" w:lineRule="exact"/>
        <w:ind w:firstLine="840" w:firstLineChars="400"/>
        <w:contextualSpacing/>
        <w:rPr>
          <w:rFonts w:hint="eastAsia" w:ascii="宋体" w:hAnsi="宋体"/>
          <w:b w:val="0"/>
          <w:bCs w:val="0"/>
          <w:color w:val="auto"/>
          <w:szCs w:val="21"/>
          <w:highlight w:val="none"/>
        </w:rPr>
      </w:pPr>
      <w:r>
        <w:rPr>
          <w:rFonts w:hint="eastAsia" w:ascii="宋体" w:hAnsi="宋体"/>
          <w:b w:val="0"/>
          <w:bCs w:val="0"/>
          <w:color w:val="auto"/>
          <w:szCs w:val="21"/>
          <w:highlight w:val="none"/>
        </w:rPr>
        <w:t>3、报价一经涂改，应在涂改处加盖供应商公章或者由法定代表人或者授权委托人签字或者盖章，否则其响应文件按无效响应处理。</w:t>
      </w:r>
    </w:p>
    <w:p w14:paraId="10C5E661">
      <w:pPr>
        <w:spacing w:line="360" w:lineRule="exact"/>
        <w:contextualSpacing/>
        <w:rPr>
          <w:rFonts w:hint="eastAsia" w:ascii="宋体" w:hAnsi="宋体"/>
          <w:b w:val="0"/>
          <w:bCs w:val="0"/>
          <w:color w:val="auto"/>
          <w:szCs w:val="21"/>
          <w:highlight w:val="none"/>
        </w:rPr>
      </w:pPr>
    </w:p>
    <w:p w14:paraId="07D5486F">
      <w:pPr>
        <w:spacing w:line="360" w:lineRule="auto"/>
        <w:ind w:right="-817" w:rightChars="-389" w:firstLine="5460" w:firstLineChars="2600"/>
        <w:contextualSpacing/>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 xml:space="preserve">法定代表人或者委托代理人（签字）：                    </w:t>
      </w:r>
    </w:p>
    <w:p w14:paraId="0EAB5D2A">
      <w:pPr>
        <w:spacing w:line="360" w:lineRule="auto"/>
        <w:ind w:right="-817" w:rightChars="-389" w:firstLine="7140" w:firstLineChars="3400"/>
        <w:contextualSpacing/>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 xml:space="preserve">供应商（盖公章）：      </w:t>
      </w:r>
    </w:p>
    <w:p w14:paraId="028CC4C2">
      <w:pPr>
        <w:spacing w:line="360" w:lineRule="auto"/>
        <w:ind w:right="-817" w:rightChars="-389" w:firstLine="8190" w:firstLineChars="3900"/>
        <w:contextualSpacing/>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日 期：   年   月   日</w:t>
      </w:r>
    </w:p>
    <w:p w14:paraId="5444D8FE">
      <w:pPr>
        <w:spacing w:line="360" w:lineRule="auto"/>
        <w:ind w:right="-817" w:rightChars="-389" w:firstLine="8190" w:firstLineChars="3900"/>
        <w:contextualSpacing/>
        <w:rPr>
          <w:rFonts w:hint="eastAsia" w:ascii="宋体" w:hAnsi="宋体" w:cs="仿宋_GB2312"/>
          <w:b w:val="0"/>
          <w:bCs w:val="0"/>
          <w:color w:val="auto"/>
          <w:szCs w:val="21"/>
          <w:highlight w:val="none"/>
        </w:rPr>
        <w:sectPr>
          <w:pgSz w:w="16838" w:h="11906" w:orient="landscape"/>
          <w:pgMar w:top="720" w:right="720" w:bottom="720" w:left="720" w:header="851" w:footer="992" w:gutter="0"/>
          <w:cols w:space="0" w:num="1"/>
          <w:rtlGutter w:val="0"/>
          <w:docGrid w:type="lines" w:linePitch="312" w:charSpace="0"/>
        </w:sectPr>
      </w:pPr>
    </w:p>
    <w:p w14:paraId="2F3FAB2E">
      <w:pPr>
        <w:spacing w:line="360" w:lineRule="auto"/>
        <w:ind w:right="-817" w:rightChars="-389" w:firstLine="8190" w:firstLineChars="3900"/>
        <w:contextualSpacing/>
        <w:rPr>
          <w:rFonts w:hint="eastAsia" w:ascii="宋体" w:hAnsi="宋体" w:cs="仿宋_GB2312"/>
          <w:b w:val="0"/>
          <w:bCs w:val="0"/>
          <w:color w:val="auto"/>
          <w:szCs w:val="21"/>
          <w:highlight w:val="none"/>
        </w:rPr>
      </w:pPr>
    </w:p>
    <w:p w14:paraId="46A6633B">
      <w:pPr>
        <w:adjustRightInd w:val="0"/>
        <w:snapToGrid w:val="0"/>
        <w:spacing w:line="520" w:lineRule="exact"/>
        <w:jc w:val="center"/>
        <w:rPr>
          <w:rFonts w:hint="eastAsia" w:ascii="方正小标宋简体" w:hAnsi="方正小标宋简体" w:eastAsia="方正小标宋简体" w:cs="方正小标宋简体"/>
          <w:b w:val="0"/>
          <w:bCs w:val="0"/>
          <w:sz w:val="44"/>
          <w:szCs w:val="44"/>
          <w:highlight w:val="none"/>
        </w:rPr>
      </w:pPr>
      <w:r>
        <w:rPr>
          <w:rFonts w:hint="eastAsia" w:ascii="宋体" w:hAnsi="宋体"/>
          <w:b w:val="0"/>
          <w:bCs w:val="0"/>
          <w:sz w:val="44"/>
          <w:szCs w:val="44"/>
          <w:highlight w:val="none"/>
        </w:rPr>
        <w:t>货物技术参数配置清单</w:t>
      </w:r>
    </w:p>
    <w:p w14:paraId="7118F3EA">
      <w:pPr>
        <w:spacing w:line="360" w:lineRule="auto"/>
        <w:rPr>
          <w:rFonts w:hint="eastAsia" w:ascii="宋体" w:hAnsi="宋体"/>
          <w:b w:val="0"/>
          <w:bCs w:val="0"/>
          <w:szCs w:val="21"/>
          <w:highlight w:val="none"/>
        </w:rPr>
      </w:pPr>
      <w:r>
        <w:rPr>
          <w:rFonts w:hint="eastAsia" w:ascii="宋体" w:hAnsi="宋体"/>
          <w:b w:val="0"/>
          <w:bCs w:val="0"/>
          <w:szCs w:val="21"/>
          <w:highlight w:val="none"/>
        </w:rPr>
        <w:t xml:space="preserve">项目名称： </w:t>
      </w:r>
    </w:p>
    <w:p w14:paraId="01E2BA16">
      <w:pPr>
        <w:contextualSpacing/>
        <w:rPr>
          <w:rFonts w:hint="eastAsia" w:ascii="宋体" w:hAnsi="宋体"/>
          <w:b w:val="0"/>
          <w:bCs w:val="0"/>
          <w:szCs w:val="21"/>
          <w:highlight w:val="none"/>
        </w:rPr>
      </w:pPr>
    </w:p>
    <w:tbl>
      <w:tblPr>
        <w:tblStyle w:val="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461"/>
        <w:gridCol w:w="1461"/>
        <w:gridCol w:w="2449"/>
        <w:gridCol w:w="1462"/>
        <w:gridCol w:w="1462"/>
        <w:gridCol w:w="1462"/>
        <w:gridCol w:w="1462"/>
        <w:gridCol w:w="1462"/>
        <w:gridCol w:w="1462"/>
        <w:gridCol w:w="1462"/>
      </w:tblGrid>
      <w:tr w14:paraId="1B3E5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68" w:type="pct"/>
            <w:shd w:val="clear" w:color="auto" w:fill="auto"/>
            <w:vAlign w:val="center"/>
          </w:tcPr>
          <w:p w14:paraId="3B8D638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项号名称</w:t>
            </w:r>
          </w:p>
        </w:tc>
        <w:tc>
          <w:tcPr>
            <w:tcW w:w="468" w:type="pct"/>
            <w:shd w:val="clear" w:color="auto" w:fill="auto"/>
            <w:vAlign w:val="center"/>
          </w:tcPr>
          <w:p w14:paraId="07C7A92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序号</w:t>
            </w:r>
          </w:p>
        </w:tc>
        <w:tc>
          <w:tcPr>
            <w:tcW w:w="784" w:type="pct"/>
            <w:shd w:val="clear" w:color="auto" w:fill="auto"/>
            <w:vAlign w:val="center"/>
          </w:tcPr>
          <w:p w14:paraId="3AA9C9A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货物名称</w:t>
            </w:r>
          </w:p>
        </w:tc>
        <w:tc>
          <w:tcPr>
            <w:tcW w:w="468" w:type="pct"/>
            <w:shd w:val="clear" w:color="auto" w:fill="auto"/>
            <w:vAlign w:val="center"/>
          </w:tcPr>
          <w:p w14:paraId="30B3ABA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单位</w:t>
            </w:r>
          </w:p>
        </w:tc>
        <w:tc>
          <w:tcPr>
            <w:tcW w:w="468" w:type="pct"/>
            <w:shd w:val="clear" w:color="auto" w:fill="auto"/>
            <w:vAlign w:val="center"/>
          </w:tcPr>
          <w:p w14:paraId="40DE6AD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数量</w:t>
            </w:r>
          </w:p>
        </w:tc>
        <w:tc>
          <w:tcPr>
            <w:tcW w:w="468" w:type="pct"/>
            <w:shd w:val="clear" w:color="auto" w:fill="auto"/>
            <w:vAlign w:val="center"/>
          </w:tcPr>
          <w:p w14:paraId="548B036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品牌</w:t>
            </w:r>
          </w:p>
        </w:tc>
        <w:tc>
          <w:tcPr>
            <w:tcW w:w="468" w:type="pct"/>
            <w:shd w:val="clear" w:color="auto" w:fill="auto"/>
            <w:vAlign w:val="center"/>
          </w:tcPr>
          <w:p w14:paraId="5E2F79E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规格型号</w:t>
            </w:r>
          </w:p>
        </w:tc>
        <w:tc>
          <w:tcPr>
            <w:tcW w:w="468" w:type="pct"/>
            <w:shd w:val="clear" w:color="auto" w:fill="auto"/>
            <w:vAlign w:val="center"/>
          </w:tcPr>
          <w:p w14:paraId="22298FF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制造商</w:t>
            </w:r>
          </w:p>
        </w:tc>
        <w:tc>
          <w:tcPr>
            <w:tcW w:w="468" w:type="pct"/>
            <w:shd w:val="clear" w:color="auto" w:fill="auto"/>
            <w:vAlign w:val="center"/>
          </w:tcPr>
          <w:p w14:paraId="5F5860E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原产地</w:t>
            </w:r>
          </w:p>
        </w:tc>
        <w:tc>
          <w:tcPr>
            <w:tcW w:w="468" w:type="pct"/>
            <w:shd w:val="clear" w:color="auto" w:fill="auto"/>
            <w:vAlign w:val="center"/>
          </w:tcPr>
          <w:p w14:paraId="2D9395C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技术参数及性能配置</w:t>
            </w:r>
          </w:p>
        </w:tc>
      </w:tr>
      <w:tr w14:paraId="0A185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6" w:hRule="atLeast"/>
        </w:trPr>
        <w:tc>
          <w:tcPr>
            <w:tcW w:w="468" w:type="pct"/>
            <w:vMerge w:val="restart"/>
            <w:shd w:val="clear" w:color="auto" w:fill="auto"/>
            <w:vAlign w:val="center"/>
          </w:tcPr>
          <w:p w14:paraId="0459448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p>
        </w:tc>
        <w:tc>
          <w:tcPr>
            <w:tcW w:w="468" w:type="pct"/>
            <w:shd w:val="clear" w:color="auto" w:fill="auto"/>
            <w:vAlign w:val="center"/>
          </w:tcPr>
          <w:p w14:paraId="3CC3F0F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p>
        </w:tc>
        <w:tc>
          <w:tcPr>
            <w:tcW w:w="784" w:type="pct"/>
            <w:shd w:val="clear" w:color="auto" w:fill="auto"/>
            <w:vAlign w:val="center"/>
          </w:tcPr>
          <w:p w14:paraId="575FC832">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p>
        </w:tc>
        <w:tc>
          <w:tcPr>
            <w:tcW w:w="468" w:type="pct"/>
            <w:shd w:val="clear" w:color="auto" w:fill="auto"/>
            <w:vAlign w:val="center"/>
          </w:tcPr>
          <w:p w14:paraId="1733C78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p>
        </w:tc>
        <w:tc>
          <w:tcPr>
            <w:tcW w:w="468" w:type="pct"/>
            <w:shd w:val="clear" w:color="auto" w:fill="auto"/>
            <w:vAlign w:val="center"/>
          </w:tcPr>
          <w:p w14:paraId="38802C9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p>
        </w:tc>
        <w:tc>
          <w:tcPr>
            <w:tcW w:w="468" w:type="pct"/>
            <w:shd w:val="clear" w:color="auto" w:fill="auto"/>
            <w:vAlign w:val="center"/>
          </w:tcPr>
          <w:p w14:paraId="41300904">
            <w:pPr>
              <w:jc w:val="center"/>
              <w:rPr>
                <w:rFonts w:hint="eastAsia" w:ascii="宋体" w:hAnsi="宋体" w:eastAsia="宋体" w:cs="宋体"/>
                <w:b w:val="0"/>
                <w:bCs w:val="0"/>
                <w:i w:val="0"/>
                <w:iCs w:val="0"/>
                <w:color w:val="auto"/>
                <w:sz w:val="21"/>
                <w:szCs w:val="21"/>
                <w:highlight w:val="none"/>
                <w:u w:val="none"/>
              </w:rPr>
            </w:pPr>
          </w:p>
        </w:tc>
        <w:tc>
          <w:tcPr>
            <w:tcW w:w="468" w:type="pct"/>
            <w:shd w:val="clear" w:color="auto" w:fill="auto"/>
            <w:vAlign w:val="top"/>
          </w:tcPr>
          <w:p w14:paraId="28C8AEBB">
            <w:pPr>
              <w:jc w:val="center"/>
              <w:rPr>
                <w:rFonts w:hint="eastAsia" w:ascii="宋体" w:hAnsi="宋体" w:eastAsia="宋体" w:cs="宋体"/>
                <w:b w:val="0"/>
                <w:bCs w:val="0"/>
                <w:i w:val="0"/>
                <w:iCs w:val="0"/>
                <w:color w:val="auto"/>
                <w:sz w:val="21"/>
                <w:szCs w:val="21"/>
                <w:highlight w:val="none"/>
                <w:u w:val="none"/>
              </w:rPr>
            </w:pPr>
          </w:p>
        </w:tc>
        <w:tc>
          <w:tcPr>
            <w:tcW w:w="468" w:type="pct"/>
            <w:shd w:val="clear" w:color="auto" w:fill="auto"/>
            <w:vAlign w:val="center"/>
          </w:tcPr>
          <w:p w14:paraId="0471F43C">
            <w:pPr>
              <w:jc w:val="center"/>
              <w:rPr>
                <w:rFonts w:hint="eastAsia" w:ascii="宋体" w:hAnsi="宋体" w:eastAsia="宋体" w:cs="宋体"/>
                <w:b w:val="0"/>
                <w:bCs w:val="0"/>
                <w:i w:val="0"/>
                <w:iCs w:val="0"/>
                <w:color w:val="auto"/>
                <w:sz w:val="21"/>
                <w:szCs w:val="21"/>
                <w:highlight w:val="none"/>
                <w:u w:val="none"/>
              </w:rPr>
            </w:pPr>
          </w:p>
        </w:tc>
        <w:tc>
          <w:tcPr>
            <w:tcW w:w="468" w:type="pct"/>
            <w:shd w:val="clear" w:color="auto" w:fill="auto"/>
            <w:vAlign w:val="center"/>
          </w:tcPr>
          <w:p w14:paraId="5BF2C44E">
            <w:pPr>
              <w:jc w:val="center"/>
              <w:rPr>
                <w:rFonts w:hint="eastAsia" w:ascii="宋体" w:hAnsi="宋体" w:eastAsia="宋体" w:cs="宋体"/>
                <w:b w:val="0"/>
                <w:bCs w:val="0"/>
                <w:i w:val="0"/>
                <w:iCs w:val="0"/>
                <w:color w:val="auto"/>
                <w:sz w:val="21"/>
                <w:szCs w:val="21"/>
                <w:highlight w:val="none"/>
                <w:u w:val="none"/>
              </w:rPr>
            </w:pPr>
          </w:p>
        </w:tc>
        <w:tc>
          <w:tcPr>
            <w:tcW w:w="468" w:type="pct"/>
            <w:shd w:val="clear" w:color="auto" w:fill="auto"/>
            <w:vAlign w:val="center"/>
          </w:tcPr>
          <w:p w14:paraId="06D7132A">
            <w:pPr>
              <w:jc w:val="center"/>
              <w:rPr>
                <w:rFonts w:hint="eastAsia" w:ascii="宋体" w:hAnsi="宋体" w:eastAsia="宋体" w:cs="宋体"/>
                <w:b w:val="0"/>
                <w:bCs w:val="0"/>
                <w:i w:val="0"/>
                <w:iCs w:val="0"/>
                <w:color w:val="auto"/>
                <w:sz w:val="21"/>
                <w:szCs w:val="21"/>
                <w:highlight w:val="none"/>
                <w:u w:val="none"/>
              </w:rPr>
            </w:pPr>
          </w:p>
        </w:tc>
      </w:tr>
      <w:tr w14:paraId="6F090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468" w:type="pct"/>
            <w:vMerge w:val="continue"/>
            <w:shd w:val="clear" w:color="auto" w:fill="auto"/>
            <w:vAlign w:val="center"/>
          </w:tcPr>
          <w:p w14:paraId="243AB10B">
            <w:pPr>
              <w:jc w:val="center"/>
              <w:rPr>
                <w:rFonts w:hint="eastAsia" w:ascii="宋体" w:hAnsi="宋体" w:eastAsia="宋体" w:cs="宋体"/>
                <w:b w:val="0"/>
                <w:bCs w:val="0"/>
                <w:i w:val="0"/>
                <w:iCs w:val="0"/>
                <w:color w:val="auto"/>
                <w:sz w:val="20"/>
                <w:szCs w:val="20"/>
                <w:highlight w:val="none"/>
                <w:u w:val="none"/>
              </w:rPr>
            </w:pPr>
          </w:p>
        </w:tc>
        <w:tc>
          <w:tcPr>
            <w:tcW w:w="468" w:type="pct"/>
            <w:shd w:val="clear" w:color="auto" w:fill="auto"/>
            <w:vAlign w:val="center"/>
          </w:tcPr>
          <w:p w14:paraId="0AFF861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p>
        </w:tc>
        <w:tc>
          <w:tcPr>
            <w:tcW w:w="784" w:type="pct"/>
            <w:shd w:val="clear" w:color="auto" w:fill="auto"/>
            <w:vAlign w:val="center"/>
          </w:tcPr>
          <w:p w14:paraId="300D41E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p>
        </w:tc>
        <w:tc>
          <w:tcPr>
            <w:tcW w:w="468" w:type="pct"/>
            <w:shd w:val="clear" w:color="auto" w:fill="auto"/>
            <w:vAlign w:val="center"/>
          </w:tcPr>
          <w:p w14:paraId="0476A8D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p>
        </w:tc>
        <w:tc>
          <w:tcPr>
            <w:tcW w:w="468" w:type="pct"/>
            <w:shd w:val="clear" w:color="auto" w:fill="auto"/>
            <w:vAlign w:val="center"/>
          </w:tcPr>
          <w:p w14:paraId="17AA40E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p>
        </w:tc>
        <w:tc>
          <w:tcPr>
            <w:tcW w:w="468" w:type="pct"/>
            <w:shd w:val="clear" w:color="auto" w:fill="auto"/>
            <w:vAlign w:val="center"/>
          </w:tcPr>
          <w:p w14:paraId="3FD65262">
            <w:pPr>
              <w:jc w:val="center"/>
              <w:rPr>
                <w:rFonts w:hint="eastAsia" w:ascii="宋体" w:hAnsi="宋体" w:eastAsia="宋体" w:cs="宋体"/>
                <w:b w:val="0"/>
                <w:bCs w:val="0"/>
                <w:i w:val="0"/>
                <w:iCs w:val="0"/>
                <w:color w:val="auto"/>
                <w:sz w:val="21"/>
                <w:szCs w:val="21"/>
                <w:highlight w:val="none"/>
                <w:u w:val="none"/>
              </w:rPr>
            </w:pPr>
          </w:p>
        </w:tc>
        <w:tc>
          <w:tcPr>
            <w:tcW w:w="468" w:type="pct"/>
            <w:shd w:val="clear" w:color="auto" w:fill="auto"/>
            <w:vAlign w:val="top"/>
          </w:tcPr>
          <w:p w14:paraId="64E23B73">
            <w:pPr>
              <w:jc w:val="center"/>
              <w:rPr>
                <w:rFonts w:hint="eastAsia" w:ascii="宋体" w:hAnsi="宋体" w:eastAsia="宋体" w:cs="宋体"/>
                <w:b w:val="0"/>
                <w:bCs w:val="0"/>
                <w:i w:val="0"/>
                <w:iCs w:val="0"/>
                <w:color w:val="auto"/>
                <w:sz w:val="21"/>
                <w:szCs w:val="21"/>
                <w:highlight w:val="none"/>
                <w:u w:val="none"/>
              </w:rPr>
            </w:pPr>
          </w:p>
        </w:tc>
        <w:tc>
          <w:tcPr>
            <w:tcW w:w="468" w:type="pct"/>
            <w:shd w:val="clear" w:color="auto" w:fill="auto"/>
            <w:vAlign w:val="center"/>
          </w:tcPr>
          <w:p w14:paraId="3B1F2B93">
            <w:pPr>
              <w:jc w:val="center"/>
              <w:rPr>
                <w:rFonts w:hint="eastAsia" w:ascii="宋体" w:hAnsi="宋体" w:eastAsia="宋体" w:cs="宋体"/>
                <w:b w:val="0"/>
                <w:bCs w:val="0"/>
                <w:i w:val="0"/>
                <w:iCs w:val="0"/>
                <w:color w:val="auto"/>
                <w:sz w:val="21"/>
                <w:szCs w:val="21"/>
                <w:highlight w:val="none"/>
                <w:u w:val="none"/>
              </w:rPr>
            </w:pPr>
          </w:p>
        </w:tc>
        <w:tc>
          <w:tcPr>
            <w:tcW w:w="468" w:type="pct"/>
            <w:shd w:val="clear" w:color="auto" w:fill="auto"/>
            <w:vAlign w:val="center"/>
          </w:tcPr>
          <w:p w14:paraId="53FF6320">
            <w:pPr>
              <w:jc w:val="center"/>
              <w:rPr>
                <w:rFonts w:hint="eastAsia" w:ascii="宋体" w:hAnsi="宋体" w:eastAsia="宋体" w:cs="宋体"/>
                <w:b w:val="0"/>
                <w:bCs w:val="0"/>
                <w:i w:val="0"/>
                <w:iCs w:val="0"/>
                <w:color w:val="auto"/>
                <w:sz w:val="21"/>
                <w:szCs w:val="21"/>
                <w:highlight w:val="none"/>
                <w:u w:val="none"/>
              </w:rPr>
            </w:pPr>
          </w:p>
        </w:tc>
        <w:tc>
          <w:tcPr>
            <w:tcW w:w="468" w:type="pct"/>
            <w:shd w:val="clear" w:color="auto" w:fill="auto"/>
            <w:vAlign w:val="center"/>
          </w:tcPr>
          <w:p w14:paraId="6B365AC2">
            <w:pPr>
              <w:jc w:val="center"/>
              <w:rPr>
                <w:rFonts w:hint="eastAsia" w:ascii="宋体" w:hAnsi="宋体" w:eastAsia="宋体" w:cs="宋体"/>
                <w:b w:val="0"/>
                <w:bCs w:val="0"/>
                <w:i w:val="0"/>
                <w:iCs w:val="0"/>
                <w:color w:val="auto"/>
                <w:sz w:val="21"/>
                <w:szCs w:val="21"/>
                <w:highlight w:val="none"/>
                <w:u w:val="none"/>
              </w:rPr>
            </w:pPr>
          </w:p>
        </w:tc>
      </w:tr>
      <w:tr w14:paraId="1F8C3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8" w:type="pct"/>
            <w:vMerge w:val="continue"/>
            <w:shd w:val="clear" w:color="auto" w:fill="auto"/>
            <w:vAlign w:val="center"/>
          </w:tcPr>
          <w:p w14:paraId="53608B86">
            <w:pPr>
              <w:jc w:val="center"/>
              <w:rPr>
                <w:rFonts w:hint="eastAsia" w:ascii="宋体" w:hAnsi="宋体" w:eastAsia="宋体" w:cs="宋体"/>
                <w:b w:val="0"/>
                <w:bCs w:val="0"/>
                <w:i w:val="0"/>
                <w:iCs w:val="0"/>
                <w:color w:val="auto"/>
                <w:sz w:val="20"/>
                <w:szCs w:val="20"/>
                <w:highlight w:val="none"/>
                <w:u w:val="none"/>
              </w:rPr>
            </w:pPr>
          </w:p>
        </w:tc>
        <w:tc>
          <w:tcPr>
            <w:tcW w:w="468" w:type="pct"/>
            <w:shd w:val="clear" w:color="auto" w:fill="auto"/>
            <w:vAlign w:val="center"/>
          </w:tcPr>
          <w:p w14:paraId="06486A0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p>
        </w:tc>
        <w:tc>
          <w:tcPr>
            <w:tcW w:w="784" w:type="pct"/>
            <w:shd w:val="clear" w:color="auto" w:fill="auto"/>
            <w:vAlign w:val="center"/>
          </w:tcPr>
          <w:p w14:paraId="48ACBFA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p>
        </w:tc>
        <w:tc>
          <w:tcPr>
            <w:tcW w:w="468" w:type="pct"/>
            <w:shd w:val="clear" w:color="auto" w:fill="auto"/>
            <w:vAlign w:val="center"/>
          </w:tcPr>
          <w:p w14:paraId="04F7DF7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p>
        </w:tc>
        <w:tc>
          <w:tcPr>
            <w:tcW w:w="468" w:type="pct"/>
            <w:shd w:val="clear" w:color="auto" w:fill="auto"/>
            <w:vAlign w:val="center"/>
          </w:tcPr>
          <w:p w14:paraId="06AC5FB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p>
        </w:tc>
        <w:tc>
          <w:tcPr>
            <w:tcW w:w="468" w:type="pct"/>
            <w:shd w:val="clear" w:color="auto" w:fill="auto"/>
            <w:vAlign w:val="center"/>
          </w:tcPr>
          <w:p w14:paraId="79672970">
            <w:pPr>
              <w:jc w:val="center"/>
              <w:rPr>
                <w:rFonts w:hint="eastAsia" w:ascii="宋体" w:hAnsi="宋体" w:eastAsia="宋体" w:cs="宋体"/>
                <w:b w:val="0"/>
                <w:bCs w:val="0"/>
                <w:i w:val="0"/>
                <w:iCs w:val="0"/>
                <w:color w:val="auto"/>
                <w:sz w:val="21"/>
                <w:szCs w:val="21"/>
                <w:highlight w:val="none"/>
                <w:u w:val="none"/>
              </w:rPr>
            </w:pPr>
          </w:p>
        </w:tc>
        <w:tc>
          <w:tcPr>
            <w:tcW w:w="468" w:type="pct"/>
            <w:shd w:val="clear" w:color="auto" w:fill="auto"/>
            <w:vAlign w:val="top"/>
          </w:tcPr>
          <w:p w14:paraId="13B5BEA9">
            <w:pPr>
              <w:jc w:val="center"/>
              <w:rPr>
                <w:rFonts w:hint="eastAsia" w:ascii="宋体" w:hAnsi="宋体" w:eastAsia="宋体" w:cs="宋体"/>
                <w:b w:val="0"/>
                <w:bCs w:val="0"/>
                <w:i w:val="0"/>
                <w:iCs w:val="0"/>
                <w:color w:val="auto"/>
                <w:sz w:val="21"/>
                <w:szCs w:val="21"/>
                <w:highlight w:val="none"/>
                <w:u w:val="none"/>
              </w:rPr>
            </w:pPr>
          </w:p>
        </w:tc>
        <w:tc>
          <w:tcPr>
            <w:tcW w:w="468" w:type="pct"/>
            <w:shd w:val="clear" w:color="auto" w:fill="auto"/>
            <w:vAlign w:val="center"/>
          </w:tcPr>
          <w:p w14:paraId="5003DEC9">
            <w:pPr>
              <w:jc w:val="center"/>
              <w:rPr>
                <w:rFonts w:hint="eastAsia" w:ascii="宋体" w:hAnsi="宋体" w:eastAsia="宋体" w:cs="宋体"/>
                <w:b w:val="0"/>
                <w:bCs w:val="0"/>
                <w:i w:val="0"/>
                <w:iCs w:val="0"/>
                <w:color w:val="auto"/>
                <w:sz w:val="21"/>
                <w:szCs w:val="21"/>
                <w:highlight w:val="none"/>
                <w:u w:val="none"/>
              </w:rPr>
            </w:pPr>
          </w:p>
        </w:tc>
        <w:tc>
          <w:tcPr>
            <w:tcW w:w="468" w:type="pct"/>
            <w:shd w:val="clear" w:color="auto" w:fill="auto"/>
            <w:vAlign w:val="center"/>
          </w:tcPr>
          <w:p w14:paraId="67FDF16E">
            <w:pPr>
              <w:jc w:val="center"/>
              <w:rPr>
                <w:rFonts w:hint="eastAsia" w:ascii="宋体" w:hAnsi="宋体" w:eastAsia="宋体" w:cs="宋体"/>
                <w:b w:val="0"/>
                <w:bCs w:val="0"/>
                <w:i w:val="0"/>
                <w:iCs w:val="0"/>
                <w:color w:val="auto"/>
                <w:sz w:val="21"/>
                <w:szCs w:val="21"/>
                <w:highlight w:val="none"/>
                <w:u w:val="none"/>
              </w:rPr>
            </w:pPr>
          </w:p>
        </w:tc>
        <w:tc>
          <w:tcPr>
            <w:tcW w:w="468" w:type="pct"/>
            <w:shd w:val="clear" w:color="auto" w:fill="auto"/>
            <w:vAlign w:val="center"/>
          </w:tcPr>
          <w:p w14:paraId="7BAAA330">
            <w:pPr>
              <w:jc w:val="center"/>
              <w:rPr>
                <w:rFonts w:hint="eastAsia" w:ascii="宋体" w:hAnsi="宋体" w:eastAsia="宋体" w:cs="宋体"/>
                <w:b w:val="0"/>
                <w:bCs w:val="0"/>
                <w:i w:val="0"/>
                <w:iCs w:val="0"/>
                <w:color w:val="auto"/>
                <w:sz w:val="21"/>
                <w:szCs w:val="21"/>
                <w:highlight w:val="none"/>
                <w:u w:val="none"/>
              </w:rPr>
            </w:pPr>
          </w:p>
        </w:tc>
      </w:tr>
      <w:tr w14:paraId="1B4BC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468" w:type="pct"/>
            <w:vMerge w:val="continue"/>
            <w:shd w:val="clear" w:color="auto" w:fill="auto"/>
            <w:vAlign w:val="center"/>
          </w:tcPr>
          <w:p w14:paraId="5B26E86C">
            <w:pPr>
              <w:jc w:val="center"/>
              <w:rPr>
                <w:rFonts w:hint="eastAsia" w:ascii="宋体" w:hAnsi="宋体" w:eastAsia="宋体" w:cs="宋体"/>
                <w:b w:val="0"/>
                <w:bCs w:val="0"/>
                <w:i w:val="0"/>
                <w:iCs w:val="0"/>
                <w:color w:val="auto"/>
                <w:sz w:val="20"/>
                <w:szCs w:val="20"/>
                <w:highlight w:val="none"/>
                <w:u w:val="none"/>
              </w:rPr>
            </w:pPr>
          </w:p>
        </w:tc>
        <w:tc>
          <w:tcPr>
            <w:tcW w:w="468" w:type="pct"/>
            <w:shd w:val="clear" w:color="auto" w:fill="auto"/>
            <w:vAlign w:val="center"/>
          </w:tcPr>
          <w:p w14:paraId="1AFCF0D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p>
        </w:tc>
        <w:tc>
          <w:tcPr>
            <w:tcW w:w="784" w:type="pct"/>
            <w:shd w:val="clear" w:color="auto" w:fill="auto"/>
            <w:vAlign w:val="center"/>
          </w:tcPr>
          <w:p w14:paraId="66A5B6E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p>
        </w:tc>
        <w:tc>
          <w:tcPr>
            <w:tcW w:w="468" w:type="pct"/>
            <w:shd w:val="clear" w:color="auto" w:fill="auto"/>
            <w:vAlign w:val="center"/>
          </w:tcPr>
          <w:p w14:paraId="3270B2F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p>
        </w:tc>
        <w:tc>
          <w:tcPr>
            <w:tcW w:w="468" w:type="pct"/>
            <w:shd w:val="clear" w:color="auto" w:fill="auto"/>
            <w:vAlign w:val="center"/>
          </w:tcPr>
          <w:p w14:paraId="1A23A72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p>
        </w:tc>
        <w:tc>
          <w:tcPr>
            <w:tcW w:w="468" w:type="pct"/>
            <w:shd w:val="clear" w:color="auto" w:fill="auto"/>
            <w:vAlign w:val="center"/>
          </w:tcPr>
          <w:p w14:paraId="30821508">
            <w:pPr>
              <w:jc w:val="center"/>
              <w:rPr>
                <w:rFonts w:hint="eastAsia" w:ascii="宋体" w:hAnsi="宋体" w:eastAsia="宋体" w:cs="宋体"/>
                <w:b w:val="0"/>
                <w:bCs w:val="0"/>
                <w:i w:val="0"/>
                <w:iCs w:val="0"/>
                <w:color w:val="auto"/>
                <w:sz w:val="21"/>
                <w:szCs w:val="21"/>
                <w:highlight w:val="none"/>
                <w:u w:val="none"/>
              </w:rPr>
            </w:pPr>
          </w:p>
        </w:tc>
        <w:tc>
          <w:tcPr>
            <w:tcW w:w="468" w:type="pct"/>
            <w:shd w:val="clear" w:color="auto" w:fill="auto"/>
            <w:vAlign w:val="top"/>
          </w:tcPr>
          <w:p w14:paraId="346BE70A">
            <w:pPr>
              <w:jc w:val="center"/>
              <w:rPr>
                <w:rFonts w:hint="eastAsia" w:ascii="宋体" w:hAnsi="宋体" w:eastAsia="宋体" w:cs="宋体"/>
                <w:b w:val="0"/>
                <w:bCs w:val="0"/>
                <w:i w:val="0"/>
                <w:iCs w:val="0"/>
                <w:color w:val="auto"/>
                <w:sz w:val="21"/>
                <w:szCs w:val="21"/>
                <w:highlight w:val="none"/>
                <w:u w:val="none"/>
              </w:rPr>
            </w:pPr>
          </w:p>
        </w:tc>
        <w:tc>
          <w:tcPr>
            <w:tcW w:w="468" w:type="pct"/>
            <w:shd w:val="clear" w:color="auto" w:fill="auto"/>
            <w:vAlign w:val="center"/>
          </w:tcPr>
          <w:p w14:paraId="36BB7AA1">
            <w:pPr>
              <w:jc w:val="center"/>
              <w:rPr>
                <w:rFonts w:hint="eastAsia" w:ascii="宋体" w:hAnsi="宋体" w:eastAsia="宋体" w:cs="宋体"/>
                <w:b w:val="0"/>
                <w:bCs w:val="0"/>
                <w:i w:val="0"/>
                <w:iCs w:val="0"/>
                <w:color w:val="auto"/>
                <w:sz w:val="21"/>
                <w:szCs w:val="21"/>
                <w:highlight w:val="none"/>
                <w:u w:val="none"/>
              </w:rPr>
            </w:pPr>
          </w:p>
        </w:tc>
        <w:tc>
          <w:tcPr>
            <w:tcW w:w="468" w:type="pct"/>
            <w:shd w:val="clear" w:color="auto" w:fill="auto"/>
            <w:vAlign w:val="center"/>
          </w:tcPr>
          <w:p w14:paraId="11A6BEA3">
            <w:pPr>
              <w:jc w:val="center"/>
              <w:rPr>
                <w:rFonts w:hint="eastAsia" w:ascii="宋体" w:hAnsi="宋体" w:eastAsia="宋体" w:cs="宋体"/>
                <w:b w:val="0"/>
                <w:bCs w:val="0"/>
                <w:i w:val="0"/>
                <w:iCs w:val="0"/>
                <w:color w:val="auto"/>
                <w:sz w:val="21"/>
                <w:szCs w:val="21"/>
                <w:highlight w:val="none"/>
                <w:u w:val="none"/>
              </w:rPr>
            </w:pPr>
          </w:p>
        </w:tc>
        <w:tc>
          <w:tcPr>
            <w:tcW w:w="468" w:type="pct"/>
            <w:shd w:val="clear" w:color="auto" w:fill="auto"/>
            <w:vAlign w:val="center"/>
          </w:tcPr>
          <w:p w14:paraId="341CEFA7">
            <w:pPr>
              <w:jc w:val="center"/>
              <w:rPr>
                <w:rFonts w:hint="eastAsia" w:ascii="宋体" w:hAnsi="宋体" w:eastAsia="宋体" w:cs="宋体"/>
                <w:b w:val="0"/>
                <w:bCs w:val="0"/>
                <w:i w:val="0"/>
                <w:iCs w:val="0"/>
                <w:color w:val="auto"/>
                <w:sz w:val="21"/>
                <w:szCs w:val="21"/>
                <w:highlight w:val="none"/>
                <w:u w:val="none"/>
              </w:rPr>
            </w:pPr>
          </w:p>
        </w:tc>
      </w:tr>
      <w:tr w14:paraId="6D5C7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468" w:type="pct"/>
            <w:vMerge w:val="continue"/>
            <w:shd w:val="clear" w:color="auto" w:fill="auto"/>
            <w:vAlign w:val="center"/>
          </w:tcPr>
          <w:p w14:paraId="13C36C4C">
            <w:pPr>
              <w:jc w:val="center"/>
              <w:rPr>
                <w:rFonts w:hint="eastAsia" w:ascii="宋体" w:hAnsi="宋体" w:eastAsia="宋体" w:cs="宋体"/>
                <w:b w:val="0"/>
                <w:bCs w:val="0"/>
                <w:i w:val="0"/>
                <w:iCs w:val="0"/>
                <w:color w:val="auto"/>
                <w:sz w:val="20"/>
                <w:szCs w:val="20"/>
                <w:highlight w:val="none"/>
                <w:u w:val="none"/>
              </w:rPr>
            </w:pPr>
          </w:p>
        </w:tc>
        <w:tc>
          <w:tcPr>
            <w:tcW w:w="468" w:type="pct"/>
            <w:shd w:val="clear" w:color="auto" w:fill="auto"/>
            <w:vAlign w:val="center"/>
          </w:tcPr>
          <w:p w14:paraId="766230C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p>
        </w:tc>
        <w:tc>
          <w:tcPr>
            <w:tcW w:w="784" w:type="pct"/>
            <w:shd w:val="clear" w:color="auto" w:fill="auto"/>
            <w:vAlign w:val="center"/>
          </w:tcPr>
          <w:p w14:paraId="34EFA76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p>
        </w:tc>
        <w:tc>
          <w:tcPr>
            <w:tcW w:w="468" w:type="pct"/>
            <w:shd w:val="clear" w:color="auto" w:fill="auto"/>
            <w:vAlign w:val="center"/>
          </w:tcPr>
          <w:p w14:paraId="20A16CA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p>
        </w:tc>
        <w:tc>
          <w:tcPr>
            <w:tcW w:w="468" w:type="pct"/>
            <w:shd w:val="clear" w:color="auto" w:fill="auto"/>
            <w:vAlign w:val="center"/>
          </w:tcPr>
          <w:p w14:paraId="170D6E6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p>
        </w:tc>
        <w:tc>
          <w:tcPr>
            <w:tcW w:w="468" w:type="pct"/>
            <w:shd w:val="clear" w:color="auto" w:fill="auto"/>
            <w:vAlign w:val="center"/>
          </w:tcPr>
          <w:p w14:paraId="7DBAE890">
            <w:pPr>
              <w:jc w:val="center"/>
              <w:rPr>
                <w:rFonts w:hint="eastAsia" w:ascii="宋体" w:hAnsi="宋体" w:eastAsia="宋体" w:cs="宋体"/>
                <w:b w:val="0"/>
                <w:bCs w:val="0"/>
                <w:i w:val="0"/>
                <w:iCs w:val="0"/>
                <w:color w:val="auto"/>
                <w:sz w:val="21"/>
                <w:szCs w:val="21"/>
                <w:highlight w:val="none"/>
                <w:u w:val="none"/>
              </w:rPr>
            </w:pPr>
          </w:p>
        </w:tc>
        <w:tc>
          <w:tcPr>
            <w:tcW w:w="468" w:type="pct"/>
            <w:shd w:val="clear" w:color="auto" w:fill="auto"/>
            <w:vAlign w:val="top"/>
          </w:tcPr>
          <w:p w14:paraId="1C742624">
            <w:pPr>
              <w:jc w:val="center"/>
              <w:rPr>
                <w:rFonts w:hint="eastAsia" w:ascii="宋体" w:hAnsi="宋体" w:eastAsia="宋体" w:cs="宋体"/>
                <w:b w:val="0"/>
                <w:bCs w:val="0"/>
                <w:i w:val="0"/>
                <w:iCs w:val="0"/>
                <w:color w:val="auto"/>
                <w:sz w:val="21"/>
                <w:szCs w:val="21"/>
                <w:highlight w:val="none"/>
                <w:u w:val="none"/>
              </w:rPr>
            </w:pPr>
          </w:p>
        </w:tc>
        <w:tc>
          <w:tcPr>
            <w:tcW w:w="468" w:type="pct"/>
            <w:shd w:val="clear" w:color="auto" w:fill="auto"/>
            <w:vAlign w:val="center"/>
          </w:tcPr>
          <w:p w14:paraId="22D0F37E">
            <w:pPr>
              <w:jc w:val="center"/>
              <w:rPr>
                <w:rFonts w:hint="eastAsia" w:ascii="宋体" w:hAnsi="宋体" w:eastAsia="宋体" w:cs="宋体"/>
                <w:b w:val="0"/>
                <w:bCs w:val="0"/>
                <w:i w:val="0"/>
                <w:iCs w:val="0"/>
                <w:color w:val="auto"/>
                <w:sz w:val="21"/>
                <w:szCs w:val="21"/>
                <w:highlight w:val="none"/>
                <w:u w:val="none"/>
              </w:rPr>
            </w:pPr>
          </w:p>
        </w:tc>
        <w:tc>
          <w:tcPr>
            <w:tcW w:w="468" w:type="pct"/>
            <w:shd w:val="clear" w:color="auto" w:fill="auto"/>
            <w:vAlign w:val="center"/>
          </w:tcPr>
          <w:p w14:paraId="321AA831">
            <w:pPr>
              <w:jc w:val="center"/>
              <w:rPr>
                <w:rFonts w:hint="eastAsia" w:ascii="宋体" w:hAnsi="宋体" w:eastAsia="宋体" w:cs="宋体"/>
                <w:b w:val="0"/>
                <w:bCs w:val="0"/>
                <w:i w:val="0"/>
                <w:iCs w:val="0"/>
                <w:color w:val="auto"/>
                <w:sz w:val="21"/>
                <w:szCs w:val="21"/>
                <w:highlight w:val="none"/>
                <w:u w:val="none"/>
              </w:rPr>
            </w:pPr>
          </w:p>
        </w:tc>
        <w:tc>
          <w:tcPr>
            <w:tcW w:w="468" w:type="pct"/>
            <w:shd w:val="clear" w:color="auto" w:fill="auto"/>
            <w:vAlign w:val="center"/>
          </w:tcPr>
          <w:p w14:paraId="7435D0DD">
            <w:pPr>
              <w:jc w:val="center"/>
              <w:rPr>
                <w:rFonts w:hint="eastAsia" w:ascii="宋体" w:hAnsi="宋体" w:eastAsia="宋体" w:cs="宋体"/>
                <w:b w:val="0"/>
                <w:bCs w:val="0"/>
                <w:i w:val="0"/>
                <w:iCs w:val="0"/>
                <w:color w:val="auto"/>
                <w:sz w:val="21"/>
                <w:szCs w:val="21"/>
                <w:highlight w:val="none"/>
                <w:u w:val="none"/>
              </w:rPr>
            </w:pPr>
          </w:p>
        </w:tc>
      </w:tr>
      <w:tr w14:paraId="0F4C6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8" w:type="pct"/>
            <w:vMerge w:val="continue"/>
            <w:shd w:val="clear" w:color="auto" w:fill="auto"/>
            <w:vAlign w:val="center"/>
          </w:tcPr>
          <w:p w14:paraId="003A3C95">
            <w:pPr>
              <w:jc w:val="center"/>
              <w:rPr>
                <w:rFonts w:hint="eastAsia" w:ascii="宋体" w:hAnsi="宋体" w:eastAsia="宋体" w:cs="宋体"/>
                <w:b w:val="0"/>
                <w:bCs w:val="0"/>
                <w:i w:val="0"/>
                <w:iCs w:val="0"/>
                <w:color w:val="auto"/>
                <w:sz w:val="20"/>
                <w:szCs w:val="20"/>
                <w:highlight w:val="none"/>
                <w:u w:val="none"/>
              </w:rPr>
            </w:pPr>
          </w:p>
        </w:tc>
        <w:tc>
          <w:tcPr>
            <w:tcW w:w="468" w:type="pct"/>
            <w:shd w:val="clear" w:color="auto" w:fill="auto"/>
            <w:vAlign w:val="center"/>
          </w:tcPr>
          <w:p w14:paraId="5CB8E83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p>
        </w:tc>
        <w:tc>
          <w:tcPr>
            <w:tcW w:w="784" w:type="pct"/>
            <w:shd w:val="clear" w:color="auto" w:fill="auto"/>
            <w:vAlign w:val="center"/>
          </w:tcPr>
          <w:p w14:paraId="0A7E72A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p>
        </w:tc>
        <w:tc>
          <w:tcPr>
            <w:tcW w:w="468" w:type="pct"/>
            <w:shd w:val="clear" w:color="auto" w:fill="auto"/>
            <w:vAlign w:val="center"/>
          </w:tcPr>
          <w:p w14:paraId="07DF227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p>
        </w:tc>
        <w:tc>
          <w:tcPr>
            <w:tcW w:w="468" w:type="pct"/>
            <w:shd w:val="clear" w:color="auto" w:fill="auto"/>
            <w:vAlign w:val="center"/>
          </w:tcPr>
          <w:p w14:paraId="2A00D59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p>
        </w:tc>
        <w:tc>
          <w:tcPr>
            <w:tcW w:w="468" w:type="pct"/>
            <w:shd w:val="clear" w:color="auto" w:fill="auto"/>
            <w:vAlign w:val="center"/>
          </w:tcPr>
          <w:p w14:paraId="758C2FA8">
            <w:pPr>
              <w:jc w:val="center"/>
              <w:rPr>
                <w:rFonts w:hint="eastAsia" w:ascii="宋体" w:hAnsi="宋体" w:eastAsia="宋体" w:cs="宋体"/>
                <w:b w:val="0"/>
                <w:bCs w:val="0"/>
                <w:i w:val="0"/>
                <w:iCs w:val="0"/>
                <w:color w:val="auto"/>
                <w:sz w:val="21"/>
                <w:szCs w:val="21"/>
                <w:highlight w:val="none"/>
                <w:u w:val="none"/>
              </w:rPr>
            </w:pPr>
          </w:p>
        </w:tc>
        <w:tc>
          <w:tcPr>
            <w:tcW w:w="468" w:type="pct"/>
            <w:shd w:val="clear" w:color="auto" w:fill="auto"/>
            <w:vAlign w:val="top"/>
          </w:tcPr>
          <w:p w14:paraId="2BBCB4C0">
            <w:pPr>
              <w:jc w:val="center"/>
              <w:rPr>
                <w:rFonts w:hint="eastAsia" w:ascii="宋体" w:hAnsi="宋体" w:eastAsia="宋体" w:cs="宋体"/>
                <w:b w:val="0"/>
                <w:bCs w:val="0"/>
                <w:i w:val="0"/>
                <w:iCs w:val="0"/>
                <w:color w:val="auto"/>
                <w:sz w:val="21"/>
                <w:szCs w:val="21"/>
                <w:highlight w:val="none"/>
                <w:u w:val="none"/>
              </w:rPr>
            </w:pPr>
          </w:p>
        </w:tc>
        <w:tc>
          <w:tcPr>
            <w:tcW w:w="468" w:type="pct"/>
            <w:shd w:val="clear" w:color="auto" w:fill="auto"/>
            <w:vAlign w:val="center"/>
          </w:tcPr>
          <w:p w14:paraId="19F01A2B">
            <w:pPr>
              <w:jc w:val="center"/>
              <w:rPr>
                <w:rFonts w:hint="eastAsia" w:ascii="宋体" w:hAnsi="宋体" w:eastAsia="宋体" w:cs="宋体"/>
                <w:b w:val="0"/>
                <w:bCs w:val="0"/>
                <w:i w:val="0"/>
                <w:iCs w:val="0"/>
                <w:color w:val="auto"/>
                <w:sz w:val="21"/>
                <w:szCs w:val="21"/>
                <w:highlight w:val="none"/>
                <w:u w:val="none"/>
              </w:rPr>
            </w:pPr>
          </w:p>
        </w:tc>
        <w:tc>
          <w:tcPr>
            <w:tcW w:w="468" w:type="pct"/>
            <w:shd w:val="clear" w:color="auto" w:fill="auto"/>
            <w:vAlign w:val="center"/>
          </w:tcPr>
          <w:p w14:paraId="6545486F">
            <w:pPr>
              <w:jc w:val="center"/>
              <w:rPr>
                <w:rFonts w:hint="eastAsia" w:ascii="宋体" w:hAnsi="宋体" w:eastAsia="宋体" w:cs="宋体"/>
                <w:b w:val="0"/>
                <w:bCs w:val="0"/>
                <w:i w:val="0"/>
                <w:iCs w:val="0"/>
                <w:color w:val="auto"/>
                <w:sz w:val="21"/>
                <w:szCs w:val="21"/>
                <w:highlight w:val="none"/>
                <w:u w:val="none"/>
              </w:rPr>
            </w:pPr>
          </w:p>
        </w:tc>
        <w:tc>
          <w:tcPr>
            <w:tcW w:w="468" w:type="pct"/>
            <w:shd w:val="clear" w:color="auto" w:fill="auto"/>
            <w:vAlign w:val="center"/>
          </w:tcPr>
          <w:p w14:paraId="330EA4AF">
            <w:pPr>
              <w:jc w:val="center"/>
              <w:rPr>
                <w:rFonts w:hint="eastAsia" w:ascii="宋体" w:hAnsi="宋体" w:eastAsia="宋体" w:cs="宋体"/>
                <w:b w:val="0"/>
                <w:bCs w:val="0"/>
                <w:i w:val="0"/>
                <w:iCs w:val="0"/>
                <w:color w:val="auto"/>
                <w:sz w:val="21"/>
                <w:szCs w:val="21"/>
                <w:highlight w:val="none"/>
                <w:u w:val="none"/>
              </w:rPr>
            </w:pPr>
          </w:p>
        </w:tc>
      </w:tr>
      <w:tr w14:paraId="08ED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468" w:type="pct"/>
            <w:vMerge w:val="continue"/>
            <w:shd w:val="clear" w:color="auto" w:fill="auto"/>
            <w:vAlign w:val="center"/>
          </w:tcPr>
          <w:p w14:paraId="152BE637">
            <w:pPr>
              <w:jc w:val="center"/>
              <w:rPr>
                <w:rFonts w:hint="eastAsia" w:ascii="宋体" w:hAnsi="宋体" w:eastAsia="宋体" w:cs="宋体"/>
                <w:b w:val="0"/>
                <w:bCs w:val="0"/>
                <w:i w:val="0"/>
                <w:iCs w:val="0"/>
                <w:color w:val="auto"/>
                <w:sz w:val="20"/>
                <w:szCs w:val="20"/>
                <w:highlight w:val="none"/>
                <w:u w:val="none"/>
              </w:rPr>
            </w:pPr>
          </w:p>
        </w:tc>
        <w:tc>
          <w:tcPr>
            <w:tcW w:w="468" w:type="pct"/>
            <w:shd w:val="clear" w:color="auto" w:fill="auto"/>
            <w:vAlign w:val="center"/>
          </w:tcPr>
          <w:p w14:paraId="0058CB9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p>
        </w:tc>
        <w:tc>
          <w:tcPr>
            <w:tcW w:w="784" w:type="pct"/>
            <w:shd w:val="clear" w:color="auto" w:fill="auto"/>
            <w:vAlign w:val="center"/>
          </w:tcPr>
          <w:p w14:paraId="42D509FC">
            <w:pPr>
              <w:keepNext w:val="0"/>
              <w:keepLines w:val="0"/>
              <w:widowControl/>
              <w:suppressLineNumbers w:val="0"/>
              <w:jc w:val="center"/>
              <w:textAlignment w:val="center"/>
              <w:rPr>
                <w:rFonts w:hint="eastAsia" w:ascii="宋体" w:hAnsi="宋体" w:eastAsia="宋体" w:cs="宋体"/>
                <w:b w:val="0"/>
                <w:bCs w:val="0"/>
                <w:i w:val="0"/>
                <w:iCs w:val="0"/>
                <w:color w:val="0000FF"/>
                <w:sz w:val="20"/>
                <w:szCs w:val="20"/>
                <w:highlight w:val="none"/>
                <w:u w:val="none"/>
              </w:rPr>
            </w:pPr>
          </w:p>
        </w:tc>
        <w:tc>
          <w:tcPr>
            <w:tcW w:w="468" w:type="pct"/>
            <w:shd w:val="clear" w:color="auto" w:fill="auto"/>
            <w:vAlign w:val="center"/>
          </w:tcPr>
          <w:p w14:paraId="044AC37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p>
        </w:tc>
        <w:tc>
          <w:tcPr>
            <w:tcW w:w="468" w:type="pct"/>
            <w:shd w:val="clear" w:color="auto" w:fill="auto"/>
            <w:vAlign w:val="center"/>
          </w:tcPr>
          <w:p w14:paraId="4A8BE71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p>
        </w:tc>
        <w:tc>
          <w:tcPr>
            <w:tcW w:w="468" w:type="pct"/>
            <w:shd w:val="clear" w:color="auto" w:fill="auto"/>
            <w:vAlign w:val="center"/>
          </w:tcPr>
          <w:p w14:paraId="0DD2B034">
            <w:pPr>
              <w:jc w:val="center"/>
              <w:rPr>
                <w:rFonts w:hint="eastAsia" w:ascii="宋体" w:hAnsi="宋体" w:eastAsia="宋体" w:cs="宋体"/>
                <w:b w:val="0"/>
                <w:bCs w:val="0"/>
                <w:i w:val="0"/>
                <w:iCs w:val="0"/>
                <w:color w:val="auto"/>
                <w:sz w:val="21"/>
                <w:szCs w:val="21"/>
                <w:highlight w:val="none"/>
                <w:u w:val="none"/>
              </w:rPr>
            </w:pPr>
          </w:p>
        </w:tc>
        <w:tc>
          <w:tcPr>
            <w:tcW w:w="468" w:type="pct"/>
            <w:shd w:val="clear" w:color="auto" w:fill="auto"/>
            <w:vAlign w:val="top"/>
          </w:tcPr>
          <w:p w14:paraId="2EF27F33">
            <w:pPr>
              <w:jc w:val="center"/>
              <w:rPr>
                <w:rFonts w:hint="eastAsia" w:ascii="宋体" w:hAnsi="宋体" w:eastAsia="宋体" w:cs="宋体"/>
                <w:b w:val="0"/>
                <w:bCs w:val="0"/>
                <w:i w:val="0"/>
                <w:iCs w:val="0"/>
                <w:color w:val="auto"/>
                <w:sz w:val="21"/>
                <w:szCs w:val="21"/>
                <w:highlight w:val="none"/>
                <w:u w:val="none"/>
              </w:rPr>
            </w:pPr>
          </w:p>
        </w:tc>
        <w:tc>
          <w:tcPr>
            <w:tcW w:w="468" w:type="pct"/>
            <w:shd w:val="clear" w:color="auto" w:fill="auto"/>
            <w:vAlign w:val="center"/>
          </w:tcPr>
          <w:p w14:paraId="6C8C4FAC">
            <w:pPr>
              <w:jc w:val="center"/>
              <w:rPr>
                <w:rFonts w:hint="eastAsia" w:ascii="宋体" w:hAnsi="宋体" w:eastAsia="宋体" w:cs="宋体"/>
                <w:b w:val="0"/>
                <w:bCs w:val="0"/>
                <w:i w:val="0"/>
                <w:iCs w:val="0"/>
                <w:color w:val="auto"/>
                <w:sz w:val="21"/>
                <w:szCs w:val="21"/>
                <w:highlight w:val="none"/>
                <w:u w:val="none"/>
              </w:rPr>
            </w:pPr>
          </w:p>
        </w:tc>
        <w:tc>
          <w:tcPr>
            <w:tcW w:w="468" w:type="pct"/>
            <w:shd w:val="clear" w:color="auto" w:fill="auto"/>
            <w:vAlign w:val="center"/>
          </w:tcPr>
          <w:p w14:paraId="6066D881">
            <w:pPr>
              <w:jc w:val="center"/>
              <w:rPr>
                <w:rFonts w:hint="eastAsia" w:ascii="宋体" w:hAnsi="宋体" w:eastAsia="宋体" w:cs="宋体"/>
                <w:b w:val="0"/>
                <w:bCs w:val="0"/>
                <w:i w:val="0"/>
                <w:iCs w:val="0"/>
                <w:color w:val="auto"/>
                <w:sz w:val="21"/>
                <w:szCs w:val="21"/>
                <w:highlight w:val="none"/>
                <w:u w:val="none"/>
              </w:rPr>
            </w:pPr>
          </w:p>
        </w:tc>
        <w:tc>
          <w:tcPr>
            <w:tcW w:w="468" w:type="pct"/>
            <w:shd w:val="clear" w:color="auto" w:fill="auto"/>
            <w:vAlign w:val="center"/>
          </w:tcPr>
          <w:p w14:paraId="321FF5C0">
            <w:pPr>
              <w:jc w:val="center"/>
              <w:rPr>
                <w:rFonts w:hint="eastAsia" w:ascii="宋体" w:hAnsi="宋体" w:eastAsia="宋体" w:cs="宋体"/>
                <w:b w:val="0"/>
                <w:bCs w:val="0"/>
                <w:i w:val="0"/>
                <w:iCs w:val="0"/>
                <w:color w:val="auto"/>
                <w:sz w:val="21"/>
                <w:szCs w:val="21"/>
                <w:highlight w:val="none"/>
                <w:u w:val="none"/>
              </w:rPr>
            </w:pPr>
          </w:p>
        </w:tc>
      </w:tr>
      <w:tr w14:paraId="60DBA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68" w:type="pct"/>
            <w:vMerge w:val="continue"/>
            <w:shd w:val="clear" w:color="auto" w:fill="auto"/>
            <w:vAlign w:val="center"/>
          </w:tcPr>
          <w:p w14:paraId="1E41B9B1">
            <w:pPr>
              <w:jc w:val="center"/>
              <w:rPr>
                <w:rFonts w:hint="eastAsia" w:ascii="宋体" w:hAnsi="宋体" w:eastAsia="宋体" w:cs="宋体"/>
                <w:b w:val="0"/>
                <w:bCs w:val="0"/>
                <w:i w:val="0"/>
                <w:iCs w:val="0"/>
                <w:color w:val="auto"/>
                <w:sz w:val="20"/>
                <w:szCs w:val="20"/>
                <w:highlight w:val="none"/>
                <w:u w:val="none"/>
              </w:rPr>
            </w:pPr>
          </w:p>
        </w:tc>
        <w:tc>
          <w:tcPr>
            <w:tcW w:w="468" w:type="pct"/>
            <w:shd w:val="clear" w:color="auto" w:fill="auto"/>
            <w:vAlign w:val="center"/>
          </w:tcPr>
          <w:p w14:paraId="34F2D98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p>
        </w:tc>
        <w:tc>
          <w:tcPr>
            <w:tcW w:w="784" w:type="pct"/>
            <w:shd w:val="clear" w:color="auto" w:fill="auto"/>
            <w:vAlign w:val="center"/>
          </w:tcPr>
          <w:p w14:paraId="109B5BA3">
            <w:pPr>
              <w:keepNext w:val="0"/>
              <w:keepLines w:val="0"/>
              <w:widowControl/>
              <w:suppressLineNumbers w:val="0"/>
              <w:jc w:val="center"/>
              <w:textAlignment w:val="center"/>
              <w:rPr>
                <w:rFonts w:hint="eastAsia" w:ascii="宋体" w:hAnsi="宋体" w:eastAsia="宋体" w:cs="宋体"/>
                <w:b w:val="0"/>
                <w:bCs w:val="0"/>
                <w:i w:val="0"/>
                <w:iCs w:val="0"/>
                <w:color w:val="0000FF"/>
                <w:sz w:val="20"/>
                <w:szCs w:val="20"/>
                <w:highlight w:val="none"/>
                <w:u w:val="none"/>
              </w:rPr>
            </w:pPr>
          </w:p>
        </w:tc>
        <w:tc>
          <w:tcPr>
            <w:tcW w:w="468" w:type="pct"/>
            <w:shd w:val="clear" w:color="auto" w:fill="auto"/>
            <w:vAlign w:val="center"/>
          </w:tcPr>
          <w:p w14:paraId="1D223CF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p>
        </w:tc>
        <w:tc>
          <w:tcPr>
            <w:tcW w:w="468" w:type="pct"/>
            <w:shd w:val="clear" w:color="auto" w:fill="auto"/>
            <w:vAlign w:val="center"/>
          </w:tcPr>
          <w:p w14:paraId="4267199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p>
        </w:tc>
        <w:tc>
          <w:tcPr>
            <w:tcW w:w="468" w:type="pct"/>
            <w:shd w:val="clear" w:color="auto" w:fill="auto"/>
            <w:vAlign w:val="center"/>
          </w:tcPr>
          <w:p w14:paraId="5F927962">
            <w:pPr>
              <w:jc w:val="center"/>
              <w:rPr>
                <w:rFonts w:hint="eastAsia" w:ascii="宋体" w:hAnsi="宋体" w:eastAsia="宋体" w:cs="宋体"/>
                <w:b w:val="0"/>
                <w:bCs w:val="0"/>
                <w:i w:val="0"/>
                <w:iCs w:val="0"/>
                <w:color w:val="auto"/>
                <w:sz w:val="21"/>
                <w:szCs w:val="21"/>
                <w:highlight w:val="none"/>
                <w:u w:val="none"/>
              </w:rPr>
            </w:pPr>
          </w:p>
        </w:tc>
        <w:tc>
          <w:tcPr>
            <w:tcW w:w="468" w:type="pct"/>
            <w:shd w:val="clear" w:color="auto" w:fill="auto"/>
            <w:vAlign w:val="top"/>
          </w:tcPr>
          <w:p w14:paraId="65C2BC4C">
            <w:pPr>
              <w:jc w:val="center"/>
              <w:rPr>
                <w:rFonts w:hint="eastAsia" w:ascii="宋体" w:hAnsi="宋体" w:eastAsia="宋体" w:cs="宋体"/>
                <w:b w:val="0"/>
                <w:bCs w:val="0"/>
                <w:i w:val="0"/>
                <w:iCs w:val="0"/>
                <w:color w:val="auto"/>
                <w:sz w:val="21"/>
                <w:szCs w:val="21"/>
                <w:highlight w:val="none"/>
                <w:u w:val="none"/>
              </w:rPr>
            </w:pPr>
          </w:p>
        </w:tc>
        <w:tc>
          <w:tcPr>
            <w:tcW w:w="468" w:type="pct"/>
            <w:shd w:val="clear" w:color="auto" w:fill="auto"/>
            <w:vAlign w:val="center"/>
          </w:tcPr>
          <w:p w14:paraId="2F53B3AD">
            <w:pPr>
              <w:jc w:val="center"/>
              <w:rPr>
                <w:rFonts w:hint="eastAsia" w:ascii="宋体" w:hAnsi="宋体" w:eastAsia="宋体" w:cs="宋体"/>
                <w:b w:val="0"/>
                <w:bCs w:val="0"/>
                <w:i w:val="0"/>
                <w:iCs w:val="0"/>
                <w:color w:val="auto"/>
                <w:sz w:val="21"/>
                <w:szCs w:val="21"/>
                <w:highlight w:val="none"/>
                <w:u w:val="none"/>
              </w:rPr>
            </w:pPr>
          </w:p>
        </w:tc>
        <w:tc>
          <w:tcPr>
            <w:tcW w:w="468" w:type="pct"/>
            <w:shd w:val="clear" w:color="auto" w:fill="auto"/>
            <w:vAlign w:val="center"/>
          </w:tcPr>
          <w:p w14:paraId="2A6C3451">
            <w:pPr>
              <w:jc w:val="center"/>
              <w:rPr>
                <w:rFonts w:hint="eastAsia" w:ascii="宋体" w:hAnsi="宋体" w:eastAsia="宋体" w:cs="宋体"/>
                <w:b w:val="0"/>
                <w:bCs w:val="0"/>
                <w:i w:val="0"/>
                <w:iCs w:val="0"/>
                <w:color w:val="auto"/>
                <w:sz w:val="21"/>
                <w:szCs w:val="21"/>
                <w:highlight w:val="none"/>
                <w:u w:val="none"/>
              </w:rPr>
            </w:pPr>
          </w:p>
        </w:tc>
        <w:tc>
          <w:tcPr>
            <w:tcW w:w="468" w:type="pct"/>
            <w:shd w:val="clear" w:color="auto" w:fill="auto"/>
            <w:vAlign w:val="center"/>
          </w:tcPr>
          <w:p w14:paraId="4B88D6E3">
            <w:pPr>
              <w:jc w:val="center"/>
              <w:rPr>
                <w:rFonts w:hint="eastAsia" w:ascii="宋体" w:hAnsi="宋体" w:eastAsia="宋体" w:cs="宋体"/>
                <w:b w:val="0"/>
                <w:bCs w:val="0"/>
                <w:i w:val="0"/>
                <w:iCs w:val="0"/>
                <w:color w:val="auto"/>
                <w:sz w:val="21"/>
                <w:szCs w:val="21"/>
                <w:highlight w:val="none"/>
                <w:u w:val="none"/>
              </w:rPr>
            </w:pPr>
          </w:p>
        </w:tc>
      </w:tr>
    </w:tbl>
    <w:p w14:paraId="7DE882D3">
      <w:pPr>
        <w:contextualSpacing/>
        <w:rPr>
          <w:rFonts w:hint="eastAsia" w:ascii="宋体" w:hAnsi="宋体"/>
          <w:b w:val="0"/>
          <w:bCs w:val="0"/>
          <w:szCs w:val="21"/>
          <w:highlight w:val="none"/>
        </w:rPr>
      </w:pPr>
    </w:p>
    <w:p w14:paraId="3D9F4C19">
      <w:pPr>
        <w:contextualSpacing/>
        <w:rPr>
          <w:rFonts w:hint="eastAsia" w:ascii="宋体" w:hAnsi="宋体"/>
          <w:b w:val="0"/>
          <w:bCs w:val="0"/>
          <w:szCs w:val="21"/>
          <w:highlight w:val="none"/>
        </w:rPr>
      </w:pPr>
    </w:p>
    <w:p w14:paraId="648CD903">
      <w:pPr>
        <w:contextualSpacing/>
        <w:rPr>
          <w:rFonts w:hint="eastAsia" w:ascii="宋体" w:hAnsi="宋体"/>
          <w:b w:val="0"/>
          <w:bCs w:val="0"/>
          <w:szCs w:val="21"/>
          <w:highlight w:val="none"/>
        </w:rPr>
      </w:pPr>
      <w:r>
        <w:rPr>
          <w:rFonts w:hint="eastAsia" w:ascii="宋体" w:hAnsi="宋体"/>
          <w:b w:val="0"/>
          <w:bCs w:val="0"/>
          <w:szCs w:val="21"/>
          <w:highlight w:val="none"/>
        </w:rPr>
        <w:t>备注：以上货物配置清单中“货物名称、数量及单位、品牌、规格型号、制造商、原产地、技术参数及性能配置”必须如实填写完整，品牌、规格型号没有则填无，填写有缺漏的，响应文件按无效响应处理。货物名称、数量及单位、品牌必须与“竞标报价表”一致，否则响应文件按无效响应处理。</w:t>
      </w:r>
      <w:r>
        <w:rPr>
          <w:rFonts w:hint="eastAsia" w:ascii="宋体" w:hAnsi="宋体"/>
          <w:b w:val="0"/>
          <w:bCs w:val="0"/>
          <w:szCs w:val="21"/>
          <w:highlight w:val="none"/>
        </w:rPr>
        <w:tab/>
      </w:r>
    </w:p>
    <w:p w14:paraId="24A64991">
      <w:pPr>
        <w:pStyle w:val="5"/>
        <w:rPr>
          <w:rFonts w:hint="eastAsia" w:ascii="宋体" w:hAnsi="宋体" w:cs="宋体"/>
          <w:b w:val="0"/>
          <w:bCs w:val="0"/>
          <w:szCs w:val="21"/>
          <w:highlight w:val="none"/>
        </w:rPr>
      </w:pPr>
    </w:p>
    <w:p w14:paraId="4BFE1AB8">
      <w:pPr>
        <w:ind w:right="-817" w:rightChars="-389"/>
        <w:contextualSpacing/>
        <w:jc w:val="center"/>
        <w:rPr>
          <w:rFonts w:hint="eastAsia" w:ascii="宋体" w:hAnsi="宋体"/>
          <w:b w:val="0"/>
          <w:bCs w:val="0"/>
          <w:szCs w:val="21"/>
          <w:highlight w:val="none"/>
        </w:rPr>
      </w:pPr>
      <w:r>
        <w:rPr>
          <w:rFonts w:hint="eastAsia" w:ascii="宋体" w:hAnsi="宋体"/>
          <w:b w:val="0"/>
          <w:bCs w:val="0"/>
          <w:szCs w:val="21"/>
          <w:highlight w:val="none"/>
        </w:rPr>
        <w:t>法定代表人或者委托代理人（签字）：</w:t>
      </w:r>
    </w:p>
    <w:p w14:paraId="7347544C">
      <w:pPr>
        <w:ind w:right="-817" w:rightChars="-389" w:firstLine="7245" w:firstLineChars="3450"/>
        <w:contextualSpacing/>
        <w:rPr>
          <w:rFonts w:hint="eastAsia" w:ascii="宋体" w:hAnsi="宋体"/>
          <w:b w:val="0"/>
          <w:bCs w:val="0"/>
          <w:szCs w:val="21"/>
          <w:highlight w:val="none"/>
        </w:rPr>
      </w:pPr>
      <w:r>
        <w:rPr>
          <w:rFonts w:hint="eastAsia" w:ascii="宋体" w:hAnsi="宋体"/>
          <w:b w:val="0"/>
          <w:bCs w:val="0"/>
          <w:szCs w:val="21"/>
          <w:highlight w:val="none"/>
        </w:rPr>
        <w:t xml:space="preserve">供应商（盖公章）：      </w:t>
      </w:r>
    </w:p>
    <w:p w14:paraId="4188AEF4">
      <w:pPr>
        <w:ind w:right="-817" w:rightChars="-389" w:firstLine="8190" w:firstLineChars="3900"/>
        <w:contextualSpacing/>
        <w:rPr>
          <w:b w:val="0"/>
          <w:bCs w:val="0"/>
          <w:highlight w:val="none"/>
        </w:rPr>
      </w:pPr>
      <w:r>
        <w:rPr>
          <w:rFonts w:hint="eastAsia" w:ascii="宋体" w:hAnsi="宋体"/>
          <w:b w:val="0"/>
          <w:bCs w:val="0"/>
          <w:szCs w:val="21"/>
          <w:highlight w:val="none"/>
        </w:rPr>
        <w:t>日  期：    年   月   日</w:t>
      </w:r>
    </w:p>
    <w:p w14:paraId="3DA5D3A2">
      <w:pPr>
        <w:rPr>
          <w:b w:val="0"/>
          <w:bCs w:val="0"/>
          <w:highlight w:val="none"/>
        </w:rPr>
      </w:pPr>
    </w:p>
    <w:p w14:paraId="4A70E922">
      <w:pPr>
        <w:rPr>
          <w:rFonts w:hint="eastAsia" w:ascii="宋体" w:hAnsi="宋体" w:cs="宋体"/>
          <w:b w:val="0"/>
          <w:bCs w:val="0"/>
          <w:color w:val="auto"/>
          <w:kern w:val="0"/>
          <w:sz w:val="18"/>
          <w:szCs w:val="18"/>
          <w:highlight w:val="none"/>
          <w:lang w:val="en-US" w:eastAsia="zh-CN" w:bidi="ar"/>
        </w:rPr>
      </w:pPr>
    </w:p>
    <w:sectPr>
      <w:pgSz w:w="16838" w:h="11906" w:orient="landscape"/>
      <w:pgMar w:top="720" w:right="720" w:bottom="720" w:left="72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F8DB90-760E-4552-B84C-CDAE8C70F9F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CE40AD54-3A52-43F4-8FD3-2526A38DE925}"/>
  </w:font>
  <w:font w:name="仿宋_GB2312">
    <w:panose1 w:val="02010609030101010101"/>
    <w:charset w:val="86"/>
    <w:family w:val="modern"/>
    <w:pitch w:val="default"/>
    <w:sig w:usb0="00000001" w:usb1="080E0000" w:usb2="00000000" w:usb3="00000000" w:csb0="00040000" w:csb1="00000000"/>
    <w:embedRegular r:id="rId3" w:fontKey="{7FE250B0-AB61-4622-9726-F879D7DD7932}"/>
  </w:font>
  <w:font w:name="方正小标宋简体">
    <w:panose1 w:val="03000509000000000000"/>
    <w:charset w:val="86"/>
    <w:family w:val="script"/>
    <w:pitch w:val="default"/>
    <w:sig w:usb0="00000001" w:usb1="080E0000" w:usb2="00000000" w:usb3="00000000" w:csb0="00040000" w:csb1="00000000"/>
    <w:embedRegular r:id="rId4" w:fontKey="{380B7E16-27F3-483E-A5CF-71B29721073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5NTAxOGNiNWY5YjZiYjRiZTBiMDc3NTc1OWE2YTUifQ=="/>
  </w:docVars>
  <w:rsids>
    <w:rsidRoot w:val="46492AE9"/>
    <w:rsid w:val="00333C76"/>
    <w:rsid w:val="005C2A9D"/>
    <w:rsid w:val="0083050D"/>
    <w:rsid w:val="01C544F5"/>
    <w:rsid w:val="01E6539A"/>
    <w:rsid w:val="02092C94"/>
    <w:rsid w:val="02264514"/>
    <w:rsid w:val="024822CD"/>
    <w:rsid w:val="02BB60B1"/>
    <w:rsid w:val="034F46D6"/>
    <w:rsid w:val="039B3DC0"/>
    <w:rsid w:val="03CE5A7E"/>
    <w:rsid w:val="03FB7492"/>
    <w:rsid w:val="04381A26"/>
    <w:rsid w:val="044C330C"/>
    <w:rsid w:val="047C3FFD"/>
    <w:rsid w:val="05340028"/>
    <w:rsid w:val="05825674"/>
    <w:rsid w:val="059917D1"/>
    <w:rsid w:val="05B039ED"/>
    <w:rsid w:val="05E435F1"/>
    <w:rsid w:val="06071298"/>
    <w:rsid w:val="062C2B56"/>
    <w:rsid w:val="072858CC"/>
    <w:rsid w:val="074E7D0A"/>
    <w:rsid w:val="07680680"/>
    <w:rsid w:val="07C2391D"/>
    <w:rsid w:val="07F43A9E"/>
    <w:rsid w:val="081E3E24"/>
    <w:rsid w:val="08FD1FCF"/>
    <w:rsid w:val="09A51675"/>
    <w:rsid w:val="09C556F2"/>
    <w:rsid w:val="09E162A4"/>
    <w:rsid w:val="0A3F5991"/>
    <w:rsid w:val="0A544CC8"/>
    <w:rsid w:val="0C3866EC"/>
    <w:rsid w:val="0D5D414A"/>
    <w:rsid w:val="0D6276FC"/>
    <w:rsid w:val="0D8B27AF"/>
    <w:rsid w:val="0DD17ACF"/>
    <w:rsid w:val="0EAB2494"/>
    <w:rsid w:val="0FDA30C2"/>
    <w:rsid w:val="0FFE195E"/>
    <w:rsid w:val="10317B99"/>
    <w:rsid w:val="10934408"/>
    <w:rsid w:val="10CE61E7"/>
    <w:rsid w:val="12624550"/>
    <w:rsid w:val="12FB3585"/>
    <w:rsid w:val="12FC7CAB"/>
    <w:rsid w:val="13430321"/>
    <w:rsid w:val="13996399"/>
    <w:rsid w:val="14C13E30"/>
    <w:rsid w:val="15145780"/>
    <w:rsid w:val="15632BBE"/>
    <w:rsid w:val="15D1541F"/>
    <w:rsid w:val="1735576C"/>
    <w:rsid w:val="17423864"/>
    <w:rsid w:val="174C46E4"/>
    <w:rsid w:val="176E1B89"/>
    <w:rsid w:val="18245CDA"/>
    <w:rsid w:val="182E4DAB"/>
    <w:rsid w:val="18D86AC4"/>
    <w:rsid w:val="19381F1E"/>
    <w:rsid w:val="19461ABB"/>
    <w:rsid w:val="194D74B2"/>
    <w:rsid w:val="1A7F4983"/>
    <w:rsid w:val="1AD35795"/>
    <w:rsid w:val="1AFA0F74"/>
    <w:rsid w:val="1B057CF1"/>
    <w:rsid w:val="1BEF11E3"/>
    <w:rsid w:val="1C583E1F"/>
    <w:rsid w:val="1CCF4430"/>
    <w:rsid w:val="1CEA2D34"/>
    <w:rsid w:val="1E472722"/>
    <w:rsid w:val="1EB66ED2"/>
    <w:rsid w:val="1F291E28"/>
    <w:rsid w:val="1F33315C"/>
    <w:rsid w:val="1F853E76"/>
    <w:rsid w:val="1FB719A5"/>
    <w:rsid w:val="20033557"/>
    <w:rsid w:val="20080E5C"/>
    <w:rsid w:val="20091C16"/>
    <w:rsid w:val="21290155"/>
    <w:rsid w:val="21661111"/>
    <w:rsid w:val="218164F0"/>
    <w:rsid w:val="21C916A0"/>
    <w:rsid w:val="21CA7F3E"/>
    <w:rsid w:val="21CE6CB6"/>
    <w:rsid w:val="22206AE2"/>
    <w:rsid w:val="222B7EDF"/>
    <w:rsid w:val="227B6E3E"/>
    <w:rsid w:val="22896782"/>
    <w:rsid w:val="22906A74"/>
    <w:rsid w:val="22BD058C"/>
    <w:rsid w:val="23005B4C"/>
    <w:rsid w:val="23491FB8"/>
    <w:rsid w:val="23BB0017"/>
    <w:rsid w:val="23E26A49"/>
    <w:rsid w:val="24A05A4C"/>
    <w:rsid w:val="24C10BC5"/>
    <w:rsid w:val="24CD14A7"/>
    <w:rsid w:val="24E47F82"/>
    <w:rsid w:val="24FC2C7E"/>
    <w:rsid w:val="251C12E0"/>
    <w:rsid w:val="25B24942"/>
    <w:rsid w:val="25C2598D"/>
    <w:rsid w:val="25DE256E"/>
    <w:rsid w:val="261A473F"/>
    <w:rsid w:val="264B0C32"/>
    <w:rsid w:val="26A748A6"/>
    <w:rsid w:val="26AF70B6"/>
    <w:rsid w:val="26FC418C"/>
    <w:rsid w:val="2751016E"/>
    <w:rsid w:val="27736336"/>
    <w:rsid w:val="278A3680"/>
    <w:rsid w:val="27E078FA"/>
    <w:rsid w:val="282633A8"/>
    <w:rsid w:val="286A05DF"/>
    <w:rsid w:val="28E141FE"/>
    <w:rsid w:val="28FB2A87"/>
    <w:rsid w:val="293D309F"/>
    <w:rsid w:val="29514455"/>
    <w:rsid w:val="29562532"/>
    <w:rsid w:val="29604FB9"/>
    <w:rsid w:val="29B019A3"/>
    <w:rsid w:val="29F179E6"/>
    <w:rsid w:val="2A4C4A62"/>
    <w:rsid w:val="2AE83430"/>
    <w:rsid w:val="2BD57780"/>
    <w:rsid w:val="2C31056E"/>
    <w:rsid w:val="2C892158"/>
    <w:rsid w:val="2C980571"/>
    <w:rsid w:val="2D0839C4"/>
    <w:rsid w:val="2D412A2F"/>
    <w:rsid w:val="2D460049"/>
    <w:rsid w:val="2D4D6201"/>
    <w:rsid w:val="2D555A65"/>
    <w:rsid w:val="2DD018D3"/>
    <w:rsid w:val="2DD361D2"/>
    <w:rsid w:val="2E1819E5"/>
    <w:rsid w:val="2E40595A"/>
    <w:rsid w:val="2E4C4BE3"/>
    <w:rsid w:val="2F6446E6"/>
    <w:rsid w:val="2FCB7E5A"/>
    <w:rsid w:val="2FD66FEA"/>
    <w:rsid w:val="31E247E4"/>
    <w:rsid w:val="31E909A5"/>
    <w:rsid w:val="320512B5"/>
    <w:rsid w:val="330662B0"/>
    <w:rsid w:val="34675474"/>
    <w:rsid w:val="350A469D"/>
    <w:rsid w:val="353D2F3A"/>
    <w:rsid w:val="356B7865"/>
    <w:rsid w:val="357868A7"/>
    <w:rsid w:val="35A10297"/>
    <w:rsid w:val="3613599B"/>
    <w:rsid w:val="366559E4"/>
    <w:rsid w:val="36F227F3"/>
    <w:rsid w:val="38C22C79"/>
    <w:rsid w:val="38DA4FA2"/>
    <w:rsid w:val="398E34A3"/>
    <w:rsid w:val="399B3F89"/>
    <w:rsid w:val="399E5E40"/>
    <w:rsid w:val="39CF48CB"/>
    <w:rsid w:val="39F767A7"/>
    <w:rsid w:val="3A033549"/>
    <w:rsid w:val="3A791A5E"/>
    <w:rsid w:val="3A8A78D6"/>
    <w:rsid w:val="3ACD3B57"/>
    <w:rsid w:val="3C1F4887"/>
    <w:rsid w:val="3C231166"/>
    <w:rsid w:val="3C3B4CB8"/>
    <w:rsid w:val="3C67348A"/>
    <w:rsid w:val="3C8658DE"/>
    <w:rsid w:val="3D3037BD"/>
    <w:rsid w:val="3D355CEE"/>
    <w:rsid w:val="3D6970B7"/>
    <w:rsid w:val="3D6C58AA"/>
    <w:rsid w:val="3DC254CA"/>
    <w:rsid w:val="3E4929BF"/>
    <w:rsid w:val="3E5F4AE1"/>
    <w:rsid w:val="3ECC2AA4"/>
    <w:rsid w:val="3EE80F60"/>
    <w:rsid w:val="3F1606FD"/>
    <w:rsid w:val="3F424B14"/>
    <w:rsid w:val="3FB33303"/>
    <w:rsid w:val="3FD1152F"/>
    <w:rsid w:val="3FE61943"/>
    <w:rsid w:val="401638B0"/>
    <w:rsid w:val="40330901"/>
    <w:rsid w:val="40442133"/>
    <w:rsid w:val="414046BD"/>
    <w:rsid w:val="41C41316"/>
    <w:rsid w:val="41D30A5F"/>
    <w:rsid w:val="41DF121F"/>
    <w:rsid w:val="423B7FDB"/>
    <w:rsid w:val="42614D21"/>
    <w:rsid w:val="42725B89"/>
    <w:rsid w:val="428F54EA"/>
    <w:rsid w:val="43090E34"/>
    <w:rsid w:val="436037BB"/>
    <w:rsid w:val="43953BCE"/>
    <w:rsid w:val="441E71D2"/>
    <w:rsid w:val="4459131E"/>
    <w:rsid w:val="44A27E03"/>
    <w:rsid w:val="44B4705C"/>
    <w:rsid w:val="44C22D1D"/>
    <w:rsid w:val="44C304A5"/>
    <w:rsid w:val="45B31B87"/>
    <w:rsid w:val="45DB64CD"/>
    <w:rsid w:val="46492AE9"/>
    <w:rsid w:val="47543636"/>
    <w:rsid w:val="477A0BC3"/>
    <w:rsid w:val="47D33885"/>
    <w:rsid w:val="483A3A27"/>
    <w:rsid w:val="49A34401"/>
    <w:rsid w:val="4A3C7E3F"/>
    <w:rsid w:val="4A622219"/>
    <w:rsid w:val="4A913ECA"/>
    <w:rsid w:val="4AA76173"/>
    <w:rsid w:val="4ABF498D"/>
    <w:rsid w:val="4AC37A7F"/>
    <w:rsid w:val="4B0770BF"/>
    <w:rsid w:val="4B11183E"/>
    <w:rsid w:val="4B547A53"/>
    <w:rsid w:val="4B624A4D"/>
    <w:rsid w:val="4DD94895"/>
    <w:rsid w:val="4DE611AD"/>
    <w:rsid w:val="4E4D4E0A"/>
    <w:rsid w:val="4EC45545"/>
    <w:rsid w:val="4ECC264C"/>
    <w:rsid w:val="4F6358EF"/>
    <w:rsid w:val="4F870321"/>
    <w:rsid w:val="50394E2D"/>
    <w:rsid w:val="507263F6"/>
    <w:rsid w:val="509E5922"/>
    <w:rsid w:val="510C4F82"/>
    <w:rsid w:val="51907961"/>
    <w:rsid w:val="51B43ED4"/>
    <w:rsid w:val="51BD267C"/>
    <w:rsid w:val="521775E3"/>
    <w:rsid w:val="53512A94"/>
    <w:rsid w:val="53A554FE"/>
    <w:rsid w:val="53E35D94"/>
    <w:rsid w:val="53F26182"/>
    <w:rsid w:val="5499644A"/>
    <w:rsid w:val="549D32C7"/>
    <w:rsid w:val="556915A4"/>
    <w:rsid w:val="55AB6CF5"/>
    <w:rsid w:val="55D50038"/>
    <w:rsid w:val="55FD61F8"/>
    <w:rsid w:val="567C0098"/>
    <w:rsid w:val="569C0B56"/>
    <w:rsid w:val="56AE26CA"/>
    <w:rsid w:val="56DE5E59"/>
    <w:rsid w:val="56FF2982"/>
    <w:rsid w:val="5753390A"/>
    <w:rsid w:val="5795302F"/>
    <w:rsid w:val="58705DF6"/>
    <w:rsid w:val="594D4389"/>
    <w:rsid w:val="594F0EDF"/>
    <w:rsid w:val="5A670A9F"/>
    <w:rsid w:val="5B344A4C"/>
    <w:rsid w:val="5B4672E2"/>
    <w:rsid w:val="5B741B08"/>
    <w:rsid w:val="5C1A0C76"/>
    <w:rsid w:val="5C7E0671"/>
    <w:rsid w:val="5C910A22"/>
    <w:rsid w:val="5CBF734C"/>
    <w:rsid w:val="5D303DA6"/>
    <w:rsid w:val="5D493CE1"/>
    <w:rsid w:val="5D656145"/>
    <w:rsid w:val="5D923490"/>
    <w:rsid w:val="5E800D5D"/>
    <w:rsid w:val="5E966CFA"/>
    <w:rsid w:val="5E987E55"/>
    <w:rsid w:val="5EE272E6"/>
    <w:rsid w:val="5EE96902"/>
    <w:rsid w:val="5F577B32"/>
    <w:rsid w:val="5F5A7218"/>
    <w:rsid w:val="5F846FCB"/>
    <w:rsid w:val="5FCB28A8"/>
    <w:rsid w:val="6071479F"/>
    <w:rsid w:val="60CD54B1"/>
    <w:rsid w:val="6109328C"/>
    <w:rsid w:val="613A0A90"/>
    <w:rsid w:val="61B96A60"/>
    <w:rsid w:val="61DC2DC0"/>
    <w:rsid w:val="61ED6709"/>
    <w:rsid w:val="61F7137E"/>
    <w:rsid w:val="627209BD"/>
    <w:rsid w:val="62D56A83"/>
    <w:rsid w:val="62F63236"/>
    <w:rsid w:val="631A3502"/>
    <w:rsid w:val="64364DEF"/>
    <w:rsid w:val="65042C26"/>
    <w:rsid w:val="65153583"/>
    <w:rsid w:val="675A757F"/>
    <w:rsid w:val="67921CCC"/>
    <w:rsid w:val="67955879"/>
    <w:rsid w:val="679C300B"/>
    <w:rsid w:val="67C277C8"/>
    <w:rsid w:val="67C768DC"/>
    <w:rsid w:val="68F95994"/>
    <w:rsid w:val="6922138F"/>
    <w:rsid w:val="69450BD9"/>
    <w:rsid w:val="6A9736B6"/>
    <w:rsid w:val="6AE54D7A"/>
    <w:rsid w:val="6B09315E"/>
    <w:rsid w:val="6C573720"/>
    <w:rsid w:val="6CA834AF"/>
    <w:rsid w:val="6D003795"/>
    <w:rsid w:val="6D68415E"/>
    <w:rsid w:val="6E26547D"/>
    <w:rsid w:val="6E3851B0"/>
    <w:rsid w:val="6E46167B"/>
    <w:rsid w:val="6EB653E3"/>
    <w:rsid w:val="6EF235B1"/>
    <w:rsid w:val="6F0841CC"/>
    <w:rsid w:val="6F3239AE"/>
    <w:rsid w:val="6F3B7985"/>
    <w:rsid w:val="702634C5"/>
    <w:rsid w:val="70C7570B"/>
    <w:rsid w:val="717670E7"/>
    <w:rsid w:val="71C31235"/>
    <w:rsid w:val="71F96A05"/>
    <w:rsid w:val="71FD2F6B"/>
    <w:rsid w:val="72050BEC"/>
    <w:rsid w:val="725B76BF"/>
    <w:rsid w:val="735E1215"/>
    <w:rsid w:val="7365314D"/>
    <w:rsid w:val="740E2B14"/>
    <w:rsid w:val="747A41E0"/>
    <w:rsid w:val="749D5D6D"/>
    <w:rsid w:val="74D250AB"/>
    <w:rsid w:val="754A5706"/>
    <w:rsid w:val="75F4180E"/>
    <w:rsid w:val="75FE0BB1"/>
    <w:rsid w:val="7662101C"/>
    <w:rsid w:val="767D7101"/>
    <w:rsid w:val="77991BD9"/>
    <w:rsid w:val="77FB0FEB"/>
    <w:rsid w:val="783F037E"/>
    <w:rsid w:val="78607FB5"/>
    <w:rsid w:val="78AF42C1"/>
    <w:rsid w:val="78CC09CF"/>
    <w:rsid w:val="78E77772"/>
    <w:rsid w:val="791B780E"/>
    <w:rsid w:val="794F33AE"/>
    <w:rsid w:val="79AD67E2"/>
    <w:rsid w:val="7A41642C"/>
    <w:rsid w:val="7A736803"/>
    <w:rsid w:val="7A794B87"/>
    <w:rsid w:val="7A9C0BDF"/>
    <w:rsid w:val="7ADE1F03"/>
    <w:rsid w:val="7B013B64"/>
    <w:rsid w:val="7B167964"/>
    <w:rsid w:val="7BB57A83"/>
    <w:rsid w:val="7BBB4D2B"/>
    <w:rsid w:val="7BD6412D"/>
    <w:rsid w:val="7BF344C5"/>
    <w:rsid w:val="7C82216F"/>
    <w:rsid w:val="7CC24F7F"/>
    <w:rsid w:val="7CCA7C28"/>
    <w:rsid w:val="7CE24C65"/>
    <w:rsid w:val="7CE62F77"/>
    <w:rsid w:val="7CEB1414"/>
    <w:rsid w:val="7D55752F"/>
    <w:rsid w:val="7DA7785B"/>
    <w:rsid w:val="7DB87DA9"/>
    <w:rsid w:val="7DBC3708"/>
    <w:rsid w:val="7DFA10D0"/>
    <w:rsid w:val="7E122065"/>
    <w:rsid w:val="7E603BAA"/>
    <w:rsid w:val="7EEE1FE7"/>
    <w:rsid w:val="7F29292E"/>
    <w:rsid w:val="7F3948E4"/>
    <w:rsid w:val="7F7E49ED"/>
    <w:rsid w:val="7F815536"/>
    <w:rsid w:val="7F9D30C5"/>
    <w:rsid w:val="7FAC4C43"/>
    <w:rsid w:val="7FE53FBB"/>
    <w:rsid w:val="7FF35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Body Text Indent"/>
    <w:basedOn w:val="1"/>
    <w:qFormat/>
    <w:uiPriority w:val="0"/>
    <w:pPr>
      <w:ind w:firstLine="830" w:firstLineChars="352"/>
    </w:pPr>
    <w:rPr>
      <w:rFonts w:ascii="仿宋_GB2312" w:eastAsia="仿宋_GB2312" w:cs="仿宋_GB2312"/>
      <w:sz w:val="32"/>
      <w:szCs w:val="32"/>
    </w:rPr>
  </w:style>
  <w:style w:type="paragraph" w:styleId="4">
    <w:name w:val="index 1"/>
    <w:basedOn w:val="1"/>
    <w:next w:val="1"/>
    <w:qFormat/>
    <w:uiPriority w:val="0"/>
    <w:pPr>
      <w:spacing w:line="400" w:lineRule="exact"/>
      <w:ind w:firstLine="420" w:firstLineChars="200"/>
    </w:pPr>
    <w:rPr>
      <w:rFonts w:ascii="宋体" w:hAnsi="Courier New"/>
      <w:b/>
      <w:szCs w:val="20"/>
    </w:rPr>
  </w:style>
  <w:style w:type="paragraph" w:styleId="5">
    <w:name w:val="Body Text First Indent 2"/>
    <w:basedOn w:val="3"/>
    <w:next w:val="2"/>
    <w:qFormat/>
    <w:uiPriority w:val="0"/>
    <w:pPr>
      <w:spacing w:after="120"/>
      <w:ind w:left="420" w:leftChars="200" w:firstLine="420" w:firstLineChars="200"/>
    </w:pPr>
    <w:rPr>
      <w:rFonts w:ascii="Times New Roman" w:eastAsia="宋体"/>
      <w:sz w:val="21"/>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qFormat/>
    <w:uiPriority w:val="0"/>
    <w:rPr>
      <w:sz w:val="21"/>
      <w:szCs w:val="21"/>
    </w:rPr>
  </w:style>
  <w:style w:type="paragraph" w:customStyle="1" w:styleId="10">
    <w:name w:val="表格文字"/>
    <w:basedOn w:val="1"/>
    <w:qFormat/>
    <w:uiPriority w:val="0"/>
    <w:pPr>
      <w:spacing w:before="25" w:after="25"/>
      <w:jc w:val="left"/>
    </w:pPr>
    <w:rPr>
      <w:bCs/>
      <w:spacing w:val="10"/>
      <w:kern w:val="0"/>
      <w:sz w:val="24"/>
    </w:rPr>
  </w:style>
  <w:style w:type="character" w:customStyle="1" w:styleId="11">
    <w:name w:val="NormalCharacter"/>
    <w:semiHidden/>
    <w:qFormat/>
    <w:uiPriority w:val="0"/>
    <w:rPr>
      <w:rFonts w:ascii="Calibri" w:hAnsi="Calibri"/>
      <w:kern w:val="2"/>
      <w:sz w:val="21"/>
      <w:szCs w:val="24"/>
      <w:lang w:val="en-US" w:eastAsia="zh-CN" w:bidi="ar-SA"/>
    </w:rPr>
  </w:style>
  <w:style w:type="paragraph" w:customStyle="1" w:styleId="12">
    <w:name w:val="Table Text"/>
    <w:basedOn w:val="1"/>
    <w:semiHidden/>
    <w:qFormat/>
    <w:uiPriority w:val="0"/>
    <w:rPr>
      <w:rFonts w:ascii="宋体" w:hAnsi="宋体" w:eastAsia="宋体" w:cs="宋体"/>
      <w:sz w:val="20"/>
      <w:szCs w:val="20"/>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 w:type="character" w:customStyle="1" w:styleId="14">
    <w:name w:val="font31"/>
    <w:basedOn w:val="8"/>
    <w:qFormat/>
    <w:uiPriority w:val="0"/>
    <w:rPr>
      <w:rFonts w:hint="eastAsia" w:ascii="宋体" w:hAnsi="宋体" w:eastAsia="宋体" w:cs="宋体"/>
      <w:color w:val="000000"/>
      <w:sz w:val="20"/>
      <w:szCs w:val="20"/>
      <w:u w:val="none"/>
    </w:rPr>
  </w:style>
  <w:style w:type="character" w:customStyle="1" w:styleId="15">
    <w:name w:val="font11"/>
    <w:basedOn w:val="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9541</Words>
  <Characters>10687</Characters>
  <Lines>0</Lines>
  <Paragraphs>0</Paragraphs>
  <TotalTime>14</TotalTime>
  <ScaleCrop>false</ScaleCrop>
  <LinksUpToDate>false</LinksUpToDate>
  <CharactersWithSpaces>10792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2023-06-06T09:36:00Z</dcterms:created>
  <dc:creator>刘新月</dc:creator>
  <cp:lastModifiedBy>刘阳</cp:lastModifiedBy>
  <cp:lastPrinted>2025-11-28T02:42:00Z</cp:lastPrinted>
  <dcterms:modified xsi:type="dcterms:W3CDTF">2026-06-03T02:07:27Z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52CAA73246874D989836AEEA27BEF9E7_13</vt:lpwstr>
  </property>
  <property fmtid="{D5CDD505-2E9C-101B-9397-08002B2CF9AE}" pid="4" name="KSOTemplateDocerSaveRecord">
    <vt:lpwstr>eyJoZGlkIjoiYTUzZDY3MzQ3M2UzMjY1NjBmYTJmNmI0N2ZjODk1Y2QiLCJ1c2VySWQiOiIxNzAwOTg5NDA4In0=</vt:lpwstr>
  </property>
</Properties>
</file>