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5C2F3">
      <w:pPr>
        <w:widowControl/>
        <w:spacing w:line="288" w:lineRule="auto"/>
        <w:jc w:val="center"/>
        <w:rPr>
          <w:rFonts w:ascii="宋体" w:hAnsi="宋体" w:cs="宋体"/>
          <w:b/>
          <w:bCs/>
          <w:sz w:val="40"/>
          <w:szCs w:val="40"/>
        </w:rPr>
      </w:pPr>
      <w:r>
        <w:rPr>
          <w:rFonts w:hint="eastAsia" w:ascii="宋体" w:hAnsi="宋体" w:cs="宋体"/>
          <w:b/>
          <w:bCs/>
          <w:sz w:val="40"/>
          <w:szCs w:val="40"/>
        </w:rPr>
        <w:t>机电工程学院2026年人工智能大模型研训实训室等专用设备购置清单</w:t>
      </w:r>
    </w:p>
    <w:tbl>
      <w:tblPr>
        <w:tblStyle w:val="11"/>
        <w:tblW w:w="47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792"/>
        <w:gridCol w:w="857"/>
        <w:gridCol w:w="9098"/>
        <w:gridCol w:w="418"/>
        <w:gridCol w:w="418"/>
        <w:gridCol w:w="1242"/>
        <w:gridCol w:w="1446"/>
      </w:tblGrid>
      <w:tr w14:paraId="4122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3" w:type="pct"/>
            <w:vAlign w:val="center"/>
          </w:tcPr>
          <w:p w14:paraId="1E0C355E">
            <w:pPr>
              <w:spacing w:line="288" w:lineRule="auto"/>
              <w:jc w:val="center"/>
              <w:rPr>
                <w:rFonts w:ascii="宋体" w:hAnsi="宋体" w:cs="宋体"/>
                <w:b/>
                <w:bCs/>
                <w:color w:val="auto"/>
                <w:sz w:val="20"/>
                <w:szCs w:val="20"/>
              </w:rPr>
            </w:pPr>
            <w:r>
              <w:rPr>
                <w:rFonts w:hint="eastAsia" w:ascii="宋体" w:hAnsi="宋体" w:cs="宋体"/>
                <w:b/>
                <w:bCs/>
                <w:color w:val="auto"/>
                <w:sz w:val="20"/>
                <w:szCs w:val="20"/>
              </w:rPr>
              <w:t>序号</w:t>
            </w:r>
          </w:p>
        </w:tc>
        <w:tc>
          <w:tcPr>
            <w:tcW w:w="269" w:type="pct"/>
            <w:vAlign w:val="center"/>
          </w:tcPr>
          <w:p w14:paraId="56087BE6">
            <w:pPr>
              <w:spacing w:line="288" w:lineRule="auto"/>
              <w:jc w:val="center"/>
              <w:rPr>
                <w:rFonts w:ascii="宋体" w:hAnsi="宋体" w:cs="宋体"/>
                <w:b/>
                <w:bCs/>
                <w:color w:val="auto"/>
                <w:sz w:val="20"/>
                <w:szCs w:val="20"/>
              </w:rPr>
            </w:pPr>
            <w:r>
              <w:rPr>
                <w:rFonts w:hint="eastAsia" w:ascii="宋体" w:hAnsi="宋体" w:cs="宋体"/>
                <w:b/>
                <w:bCs/>
                <w:color w:val="auto"/>
                <w:sz w:val="20"/>
                <w:szCs w:val="20"/>
              </w:rPr>
              <w:t>名称</w:t>
            </w:r>
          </w:p>
        </w:tc>
        <w:tc>
          <w:tcPr>
            <w:tcW w:w="291" w:type="pct"/>
            <w:vAlign w:val="center"/>
          </w:tcPr>
          <w:p w14:paraId="6B86783E">
            <w:pPr>
              <w:spacing w:line="288" w:lineRule="auto"/>
              <w:jc w:val="center"/>
              <w:rPr>
                <w:rFonts w:ascii="宋体" w:hAnsi="宋体" w:cs="宋体"/>
                <w:b/>
                <w:bCs/>
                <w:color w:val="auto"/>
                <w:sz w:val="20"/>
                <w:szCs w:val="20"/>
              </w:rPr>
            </w:pPr>
            <w:r>
              <w:rPr>
                <w:rFonts w:hint="eastAsia" w:ascii="宋体" w:hAnsi="宋体" w:cs="宋体"/>
                <w:b/>
                <w:bCs/>
                <w:color w:val="auto"/>
                <w:sz w:val="20"/>
                <w:szCs w:val="20"/>
              </w:rPr>
              <w:t>参考品牌</w:t>
            </w:r>
          </w:p>
        </w:tc>
        <w:tc>
          <w:tcPr>
            <w:tcW w:w="3090" w:type="pct"/>
            <w:vAlign w:val="center"/>
          </w:tcPr>
          <w:p w14:paraId="3B1A78E4">
            <w:pPr>
              <w:spacing w:line="288" w:lineRule="auto"/>
              <w:jc w:val="center"/>
              <w:rPr>
                <w:rFonts w:ascii="宋体" w:hAnsi="宋体" w:cs="宋体"/>
                <w:b/>
                <w:bCs/>
                <w:color w:val="auto"/>
                <w:sz w:val="20"/>
                <w:szCs w:val="20"/>
              </w:rPr>
            </w:pPr>
            <w:r>
              <w:rPr>
                <w:rFonts w:hint="eastAsia" w:ascii="宋体" w:hAnsi="宋体" w:cs="宋体"/>
                <w:b/>
                <w:bCs/>
                <w:color w:val="auto"/>
                <w:sz w:val="20"/>
                <w:szCs w:val="20"/>
              </w:rPr>
              <w:t>规格参数</w:t>
            </w:r>
          </w:p>
        </w:tc>
        <w:tc>
          <w:tcPr>
            <w:tcW w:w="142" w:type="pct"/>
            <w:vAlign w:val="center"/>
          </w:tcPr>
          <w:p w14:paraId="18C1E4F7">
            <w:pPr>
              <w:spacing w:line="288" w:lineRule="auto"/>
              <w:rPr>
                <w:rFonts w:ascii="宋体" w:hAnsi="宋体" w:cs="宋体"/>
                <w:b/>
                <w:bCs/>
                <w:color w:val="auto"/>
                <w:sz w:val="20"/>
                <w:szCs w:val="20"/>
              </w:rPr>
            </w:pPr>
            <w:r>
              <w:rPr>
                <w:rFonts w:hint="eastAsia" w:ascii="宋体" w:hAnsi="宋体" w:cs="宋体"/>
                <w:b/>
                <w:bCs/>
                <w:color w:val="auto"/>
                <w:sz w:val="20"/>
                <w:szCs w:val="20"/>
              </w:rPr>
              <w:t>单位</w:t>
            </w:r>
          </w:p>
        </w:tc>
        <w:tc>
          <w:tcPr>
            <w:tcW w:w="142" w:type="pct"/>
            <w:vAlign w:val="center"/>
          </w:tcPr>
          <w:p w14:paraId="3E5BA8A4">
            <w:pPr>
              <w:spacing w:line="288" w:lineRule="auto"/>
              <w:rPr>
                <w:rFonts w:ascii="宋体" w:hAnsi="宋体" w:cs="宋体"/>
                <w:b/>
                <w:bCs/>
                <w:color w:val="auto"/>
                <w:sz w:val="20"/>
                <w:szCs w:val="20"/>
              </w:rPr>
            </w:pPr>
            <w:r>
              <w:rPr>
                <w:rFonts w:hint="eastAsia" w:ascii="宋体" w:hAnsi="宋体" w:cs="宋体"/>
                <w:b/>
                <w:bCs/>
                <w:color w:val="auto"/>
                <w:sz w:val="20"/>
                <w:szCs w:val="20"/>
              </w:rPr>
              <w:t>数量</w:t>
            </w:r>
          </w:p>
        </w:tc>
        <w:tc>
          <w:tcPr>
            <w:tcW w:w="422" w:type="pct"/>
            <w:vAlign w:val="center"/>
          </w:tcPr>
          <w:p w14:paraId="7D8C69DD">
            <w:pPr>
              <w:spacing w:line="288" w:lineRule="auto"/>
              <w:rPr>
                <w:rFonts w:ascii="宋体" w:hAnsi="宋体" w:cs="宋体"/>
                <w:b/>
                <w:bCs/>
                <w:color w:val="auto"/>
                <w:sz w:val="20"/>
                <w:szCs w:val="20"/>
              </w:rPr>
            </w:pPr>
            <w:r>
              <w:rPr>
                <w:rFonts w:hint="eastAsia" w:ascii="宋体" w:hAnsi="宋体" w:cs="宋体"/>
                <w:b/>
                <w:bCs/>
                <w:color w:val="auto"/>
                <w:sz w:val="20"/>
                <w:szCs w:val="20"/>
              </w:rPr>
              <w:t>单价（元）</w:t>
            </w:r>
          </w:p>
        </w:tc>
        <w:tc>
          <w:tcPr>
            <w:tcW w:w="491" w:type="pct"/>
            <w:vAlign w:val="center"/>
          </w:tcPr>
          <w:p w14:paraId="72BA77E4">
            <w:pPr>
              <w:spacing w:line="288" w:lineRule="auto"/>
              <w:rPr>
                <w:rFonts w:ascii="宋体" w:hAnsi="宋体" w:cs="宋体"/>
                <w:b/>
                <w:bCs/>
                <w:color w:val="auto"/>
                <w:sz w:val="20"/>
                <w:szCs w:val="20"/>
              </w:rPr>
            </w:pPr>
            <w:r>
              <w:rPr>
                <w:rFonts w:hint="eastAsia" w:ascii="宋体" w:hAnsi="宋体" w:cs="宋体"/>
                <w:b/>
                <w:bCs/>
                <w:color w:val="auto"/>
                <w:sz w:val="20"/>
                <w:szCs w:val="20"/>
              </w:rPr>
              <w:t>总价（元）</w:t>
            </w:r>
          </w:p>
        </w:tc>
      </w:tr>
      <w:tr w14:paraId="18D4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3" w:type="pct"/>
            <w:vAlign w:val="center"/>
          </w:tcPr>
          <w:p w14:paraId="26B9C956">
            <w:pPr>
              <w:spacing w:line="288" w:lineRule="auto"/>
              <w:jc w:val="center"/>
              <w:rPr>
                <w:rFonts w:ascii="宋体" w:hAnsi="宋体" w:cs="宋体"/>
                <w:color w:val="auto"/>
                <w:sz w:val="20"/>
                <w:szCs w:val="20"/>
              </w:rPr>
            </w:pPr>
            <w:r>
              <w:rPr>
                <w:rFonts w:hint="eastAsia" w:ascii="宋体" w:hAnsi="宋体" w:cs="宋体"/>
                <w:color w:val="auto"/>
                <w:sz w:val="20"/>
                <w:szCs w:val="20"/>
              </w:rPr>
              <w:t>1</w:t>
            </w:r>
          </w:p>
        </w:tc>
        <w:tc>
          <w:tcPr>
            <w:tcW w:w="269" w:type="pct"/>
            <w:vAlign w:val="center"/>
          </w:tcPr>
          <w:p w14:paraId="721B26DC">
            <w:pPr>
              <w:spacing w:line="288" w:lineRule="auto"/>
              <w:jc w:val="center"/>
              <w:rPr>
                <w:rFonts w:ascii="宋体" w:hAnsi="宋体" w:cs="宋体"/>
                <w:color w:val="auto"/>
                <w:sz w:val="20"/>
                <w:szCs w:val="20"/>
              </w:rPr>
            </w:pPr>
            <w:r>
              <w:rPr>
                <w:rFonts w:hint="eastAsia" w:ascii="宋体" w:hAnsi="宋体" w:cs="宋体"/>
                <w:color w:val="auto"/>
                <w:sz w:val="20"/>
                <w:szCs w:val="20"/>
              </w:rPr>
              <w:t>多媒体教学</w:t>
            </w:r>
            <w:r>
              <w:rPr>
                <w:rFonts w:hint="eastAsia" w:ascii="宋体" w:hAnsi="宋体" w:cs="宋体"/>
                <w:color w:val="auto"/>
                <w:sz w:val="20"/>
                <w:szCs w:val="20"/>
                <w:lang w:val="en-US" w:eastAsia="zh-CN"/>
              </w:rPr>
              <w:t>LED</w:t>
            </w:r>
            <w:bookmarkStart w:id="0" w:name="_GoBack"/>
            <w:bookmarkEnd w:id="0"/>
            <w:r>
              <w:rPr>
                <w:rFonts w:hint="eastAsia" w:ascii="宋体" w:hAnsi="宋体" w:cs="宋体"/>
                <w:color w:val="auto"/>
                <w:sz w:val="20"/>
                <w:szCs w:val="20"/>
              </w:rPr>
              <w:t>设备1</w:t>
            </w:r>
          </w:p>
        </w:tc>
        <w:tc>
          <w:tcPr>
            <w:tcW w:w="291" w:type="pct"/>
            <w:vAlign w:val="center"/>
          </w:tcPr>
          <w:p w14:paraId="4A991A4C">
            <w:pPr>
              <w:spacing w:line="288" w:lineRule="auto"/>
              <w:rPr>
                <w:rFonts w:ascii="宋体" w:hAnsi="宋体" w:cs="宋体"/>
                <w:color w:val="auto"/>
                <w:sz w:val="20"/>
                <w:szCs w:val="20"/>
              </w:rPr>
            </w:pPr>
          </w:p>
          <w:p w14:paraId="62B34A82">
            <w:pPr>
              <w:spacing w:line="288" w:lineRule="auto"/>
              <w:rPr>
                <w:rFonts w:ascii="宋体" w:hAnsi="宋体" w:cs="宋体"/>
                <w:color w:val="auto"/>
                <w:sz w:val="20"/>
                <w:szCs w:val="20"/>
              </w:rPr>
            </w:pPr>
          </w:p>
          <w:p w14:paraId="058309DB">
            <w:pPr>
              <w:spacing w:line="288" w:lineRule="auto"/>
              <w:rPr>
                <w:rFonts w:ascii="宋体" w:hAnsi="宋体" w:cs="宋体"/>
                <w:color w:val="auto"/>
                <w:sz w:val="20"/>
                <w:szCs w:val="20"/>
              </w:rPr>
            </w:pPr>
          </w:p>
          <w:p w14:paraId="37D95BA7">
            <w:pPr>
              <w:spacing w:line="288" w:lineRule="auto"/>
              <w:rPr>
                <w:rFonts w:ascii="宋体" w:hAnsi="宋体" w:cs="宋体"/>
                <w:color w:val="auto"/>
                <w:sz w:val="20"/>
                <w:szCs w:val="20"/>
              </w:rPr>
            </w:pPr>
          </w:p>
          <w:p w14:paraId="5EB97EDA">
            <w:pPr>
              <w:spacing w:line="288" w:lineRule="auto"/>
              <w:rPr>
                <w:rFonts w:ascii="宋体" w:hAnsi="宋体" w:cs="宋体"/>
                <w:color w:val="auto"/>
                <w:sz w:val="20"/>
                <w:szCs w:val="20"/>
              </w:rPr>
            </w:pPr>
          </w:p>
          <w:p w14:paraId="3048B2D8">
            <w:pPr>
              <w:spacing w:line="288" w:lineRule="auto"/>
              <w:rPr>
                <w:rFonts w:ascii="宋体" w:hAnsi="宋体" w:cs="宋体"/>
                <w:color w:val="auto"/>
                <w:sz w:val="20"/>
                <w:szCs w:val="20"/>
              </w:rPr>
            </w:pPr>
          </w:p>
          <w:p w14:paraId="2827FDE1">
            <w:pPr>
              <w:spacing w:line="288" w:lineRule="auto"/>
              <w:rPr>
                <w:rFonts w:ascii="宋体" w:hAnsi="宋体" w:cs="宋体"/>
                <w:color w:val="auto"/>
                <w:sz w:val="20"/>
                <w:szCs w:val="20"/>
              </w:rPr>
            </w:pPr>
          </w:p>
          <w:p w14:paraId="3C9C69E4">
            <w:pPr>
              <w:spacing w:line="288" w:lineRule="auto"/>
              <w:rPr>
                <w:rFonts w:ascii="宋体" w:hAnsi="宋体" w:cs="宋体"/>
                <w:color w:val="auto"/>
                <w:sz w:val="20"/>
                <w:szCs w:val="20"/>
              </w:rPr>
            </w:pPr>
          </w:p>
          <w:p w14:paraId="5573C31D">
            <w:pPr>
              <w:spacing w:line="460" w:lineRule="exact"/>
              <w:jc w:val="left"/>
              <w:rPr>
                <w:rFonts w:ascii="宋体" w:hAnsi="宋体" w:cs="宋体"/>
                <w:color w:val="auto"/>
                <w:kern w:val="0"/>
                <w:sz w:val="20"/>
                <w:szCs w:val="20"/>
              </w:rPr>
            </w:pPr>
          </w:p>
          <w:p w14:paraId="6A0ED930">
            <w:pPr>
              <w:spacing w:line="288" w:lineRule="auto"/>
              <w:rPr>
                <w:rFonts w:ascii="宋体" w:hAnsi="宋体" w:cs="宋体"/>
                <w:color w:val="auto"/>
                <w:sz w:val="20"/>
                <w:szCs w:val="20"/>
              </w:rPr>
            </w:pPr>
          </w:p>
          <w:p w14:paraId="6C00CCA1">
            <w:pPr>
              <w:spacing w:line="288" w:lineRule="auto"/>
              <w:rPr>
                <w:rFonts w:ascii="宋体" w:hAnsi="宋体" w:cs="宋体"/>
                <w:color w:val="auto"/>
                <w:sz w:val="20"/>
                <w:szCs w:val="20"/>
              </w:rPr>
            </w:pPr>
            <w:r>
              <w:rPr>
                <w:rFonts w:hint="eastAsia" w:ascii="宋体" w:hAnsi="宋体" w:cs="宋体"/>
                <w:color w:val="auto"/>
                <w:sz w:val="20"/>
                <w:szCs w:val="20"/>
              </w:rPr>
              <w:t>高科、金立翔、利亚德（或同档次品牌以上）</w:t>
            </w:r>
          </w:p>
          <w:p w14:paraId="6A7EAE14">
            <w:pPr>
              <w:spacing w:line="288" w:lineRule="auto"/>
              <w:rPr>
                <w:rFonts w:ascii="宋体" w:hAnsi="宋体" w:cs="宋体"/>
                <w:color w:val="auto"/>
                <w:sz w:val="20"/>
                <w:szCs w:val="20"/>
              </w:rPr>
            </w:pPr>
          </w:p>
          <w:p w14:paraId="42CF23DA">
            <w:pPr>
              <w:spacing w:line="288" w:lineRule="auto"/>
              <w:rPr>
                <w:rFonts w:ascii="宋体" w:hAnsi="宋体" w:cs="宋体"/>
                <w:color w:val="auto"/>
                <w:sz w:val="20"/>
                <w:szCs w:val="20"/>
              </w:rPr>
            </w:pPr>
          </w:p>
          <w:p w14:paraId="444D12F3">
            <w:pPr>
              <w:spacing w:line="288" w:lineRule="auto"/>
              <w:rPr>
                <w:rFonts w:ascii="宋体" w:hAnsi="宋体" w:cs="宋体"/>
                <w:color w:val="auto"/>
                <w:sz w:val="20"/>
                <w:szCs w:val="20"/>
              </w:rPr>
            </w:pPr>
          </w:p>
          <w:p w14:paraId="54D6DE89">
            <w:pPr>
              <w:spacing w:line="288" w:lineRule="auto"/>
              <w:rPr>
                <w:rFonts w:ascii="宋体" w:hAnsi="宋体" w:cs="宋体"/>
                <w:color w:val="auto"/>
                <w:sz w:val="20"/>
                <w:szCs w:val="20"/>
              </w:rPr>
            </w:pPr>
          </w:p>
          <w:p w14:paraId="54A83C48">
            <w:pPr>
              <w:spacing w:line="288" w:lineRule="auto"/>
              <w:rPr>
                <w:rFonts w:ascii="宋体" w:hAnsi="宋体" w:cs="宋体"/>
                <w:color w:val="auto"/>
                <w:sz w:val="20"/>
                <w:szCs w:val="20"/>
              </w:rPr>
            </w:pPr>
          </w:p>
          <w:p w14:paraId="6455A5A2">
            <w:pPr>
              <w:spacing w:line="288" w:lineRule="auto"/>
              <w:rPr>
                <w:rFonts w:ascii="宋体" w:hAnsi="宋体" w:cs="宋体"/>
                <w:color w:val="auto"/>
                <w:sz w:val="20"/>
                <w:szCs w:val="20"/>
              </w:rPr>
            </w:pPr>
          </w:p>
          <w:p w14:paraId="30673489">
            <w:pPr>
              <w:spacing w:line="288" w:lineRule="auto"/>
              <w:rPr>
                <w:rFonts w:ascii="宋体" w:hAnsi="宋体" w:cs="宋体"/>
                <w:color w:val="auto"/>
                <w:sz w:val="20"/>
                <w:szCs w:val="20"/>
              </w:rPr>
            </w:pPr>
          </w:p>
          <w:p w14:paraId="0C74503C">
            <w:pPr>
              <w:spacing w:line="288" w:lineRule="auto"/>
              <w:rPr>
                <w:rFonts w:ascii="宋体" w:hAnsi="宋体" w:cs="宋体"/>
                <w:color w:val="auto"/>
                <w:sz w:val="20"/>
                <w:szCs w:val="20"/>
              </w:rPr>
            </w:pPr>
          </w:p>
          <w:p w14:paraId="4C5AE27E">
            <w:pPr>
              <w:spacing w:line="288" w:lineRule="auto"/>
              <w:rPr>
                <w:rFonts w:ascii="宋体" w:hAnsi="宋体" w:cs="宋体"/>
                <w:color w:val="auto"/>
                <w:sz w:val="20"/>
                <w:szCs w:val="20"/>
              </w:rPr>
            </w:pPr>
          </w:p>
          <w:p w14:paraId="59382D6C">
            <w:pPr>
              <w:spacing w:line="288" w:lineRule="auto"/>
              <w:rPr>
                <w:rFonts w:ascii="宋体" w:hAnsi="宋体" w:cs="宋体"/>
                <w:color w:val="auto"/>
                <w:sz w:val="20"/>
                <w:szCs w:val="20"/>
              </w:rPr>
            </w:pPr>
          </w:p>
          <w:p w14:paraId="4790E355">
            <w:pPr>
              <w:spacing w:line="288" w:lineRule="auto"/>
              <w:rPr>
                <w:rFonts w:ascii="宋体" w:hAnsi="宋体" w:cs="宋体"/>
                <w:color w:val="auto"/>
                <w:sz w:val="20"/>
                <w:szCs w:val="20"/>
              </w:rPr>
            </w:pPr>
          </w:p>
          <w:p w14:paraId="71ECD0E5">
            <w:pPr>
              <w:spacing w:line="288" w:lineRule="auto"/>
              <w:rPr>
                <w:rFonts w:ascii="宋体" w:hAnsi="宋体" w:cs="宋体"/>
                <w:color w:val="auto"/>
                <w:sz w:val="20"/>
                <w:szCs w:val="20"/>
              </w:rPr>
            </w:pPr>
          </w:p>
          <w:p w14:paraId="21AD3E7E">
            <w:pPr>
              <w:spacing w:line="288" w:lineRule="auto"/>
              <w:rPr>
                <w:rFonts w:ascii="宋体" w:hAnsi="宋体" w:cs="宋体"/>
                <w:color w:val="auto"/>
                <w:sz w:val="20"/>
                <w:szCs w:val="20"/>
              </w:rPr>
            </w:pPr>
          </w:p>
        </w:tc>
        <w:tc>
          <w:tcPr>
            <w:tcW w:w="3090" w:type="pct"/>
          </w:tcPr>
          <w:p w14:paraId="5E0AE72A">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一、</w:t>
            </w:r>
            <w:r>
              <w:rPr>
                <w:rFonts w:hint="eastAsia" w:ascii="宋体" w:hAnsi="宋体" w:cs="宋体"/>
                <w:color w:val="auto"/>
                <w:kern w:val="0"/>
                <w:sz w:val="20"/>
                <w:szCs w:val="20"/>
              </w:rPr>
              <w:t>显示屏</w:t>
            </w:r>
            <w:r>
              <w:rPr>
                <w:rFonts w:ascii="宋体" w:hAnsi="宋体" w:cs="宋体"/>
                <w:color w:val="auto"/>
                <w:kern w:val="0"/>
                <w:sz w:val="20"/>
                <w:szCs w:val="20"/>
              </w:rPr>
              <w:t>：</w:t>
            </w:r>
          </w:p>
          <w:p w14:paraId="7A574850">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净显示尺寸为：宽≥3200mm，高≥1600mm，显示面积≥5.12㎡；</w:t>
            </w:r>
          </w:p>
          <w:p w14:paraId="65689634">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2</w:t>
            </w:r>
            <w:r>
              <w:rPr>
                <w:rFonts w:ascii="宋体" w:hAnsi="宋体" w:cs="宋体"/>
                <w:color w:val="auto"/>
                <w:kern w:val="0"/>
                <w:sz w:val="20"/>
                <w:szCs w:val="20"/>
              </w:rPr>
              <w:t>、点间距：≤1.86mm</w:t>
            </w:r>
          </w:p>
          <w:p w14:paraId="49CB8437">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3</w:t>
            </w:r>
            <w:r>
              <w:rPr>
                <w:rFonts w:ascii="宋体" w:hAnsi="宋体" w:cs="宋体"/>
                <w:color w:val="auto"/>
                <w:kern w:val="0"/>
                <w:sz w:val="20"/>
                <w:szCs w:val="20"/>
              </w:rPr>
              <w:t>、对比度≧8000：1</w:t>
            </w:r>
          </w:p>
          <w:p w14:paraId="0BDB608A">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4</w:t>
            </w:r>
            <w:r>
              <w:rPr>
                <w:rFonts w:ascii="宋体" w:hAnsi="宋体" w:cs="宋体"/>
                <w:color w:val="auto"/>
                <w:kern w:val="0"/>
                <w:sz w:val="20"/>
                <w:szCs w:val="20"/>
              </w:rPr>
              <w:t>、刷新率为≧3840Hz，换帧频率：50&amp;60Hz；垂直≧173度，水平≧174度；</w:t>
            </w:r>
          </w:p>
          <w:p w14:paraId="70E23AAE">
            <w:pPr>
              <w:jc w:val="left"/>
              <w:rPr>
                <w:rFonts w:ascii="宋体" w:hAnsi="宋体" w:cs="宋体"/>
                <w:color w:val="auto"/>
                <w:kern w:val="0"/>
                <w:sz w:val="20"/>
                <w:szCs w:val="20"/>
              </w:rPr>
            </w:pPr>
            <w:r>
              <w:rPr>
                <w:rFonts w:hint="eastAsia" w:ascii="宋体" w:hAnsi="宋体" w:cs="宋体"/>
                <w:color w:val="auto"/>
                <w:kern w:val="0"/>
                <w:sz w:val="20"/>
                <w:szCs w:val="20"/>
              </w:rPr>
              <w:t>5</w:t>
            </w:r>
            <w:r>
              <w:rPr>
                <w:rFonts w:ascii="宋体" w:hAnsi="宋体" w:cs="宋体"/>
                <w:color w:val="auto"/>
                <w:kern w:val="0"/>
                <w:sz w:val="20"/>
                <w:szCs w:val="20"/>
              </w:rPr>
              <w:t>、LED像素失控率≤1/1000000；</w:t>
            </w:r>
          </w:p>
          <w:p w14:paraId="5EEE3A0C">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6</w:t>
            </w:r>
            <w:r>
              <w:rPr>
                <w:rFonts w:ascii="宋体" w:hAnsi="宋体" w:cs="宋体"/>
                <w:color w:val="auto"/>
                <w:kern w:val="0"/>
                <w:sz w:val="20"/>
                <w:szCs w:val="20"/>
              </w:rPr>
              <w:t xml:space="preserve">、亮度均匀性≥99.5%；                                                                                                                                                                                           </w:t>
            </w:r>
            <w:r>
              <w:rPr>
                <w:rFonts w:hint="eastAsia" w:ascii="宋体" w:hAnsi="宋体" w:cs="宋体"/>
                <w:color w:val="auto"/>
                <w:kern w:val="0"/>
                <w:sz w:val="20"/>
                <w:szCs w:val="20"/>
              </w:rPr>
              <w:t>7</w:t>
            </w:r>
            <w:r>
              <w:rPr>
                <w:rFonts w:ascii="宋体" w:hAnsi="宋体" w:cs="宋体"/>
                <w:color w:val="auto"/>
                <w:kern w:val="0"/>
                <w:sz w:val="20"/>
                <w:szCs w:val="20"/>
              </w:rPr>
              <w:t xml:space="preserve">、功耗：≤492W/㎡，平均功耗：≤246W/㎡，最大电流：5.0A                                                                                                                                                                   </w:t>
            </w:r>
            <w:r>
              <w:rPr>
                <w:rFonts w:hint="eastAsia" w:ascii="宋体" w:hAnsi="宋体" w:cs="宋体"/>
                <w:color w:val="auto"/>
                <w:sz w:val="20"/>
                <w:szCs w:val="20"/>
              </w:rPr>
              <w:t>▲</w:t>
            </w:r>
            <w:r>
              <w:rPr>
                <w:rFonts w:hint="eastAsia" w:ascii="宋体" w:hAnsi="宋体" w:cs="宋体"/>
                <w:color w:val="auto"/>
                <w:kern w:val="0"/>
                <w:sz w:val="20"/>
                <w:szCs w:val="20"/>
              </w:rPr>
              <w:t>8</w:t>
            </w:r>
            <w:r>
              <w:rPr>
                <w:rFonts w:ascii="宋体" w:hAnsi="宋体" w:cs="宋体"/>
                <w:color w:val="auto"/>
                <w:kern w:val="0"/>
                <w:sz w:val="20"/>
                <w:szCs w:val="20"/>
              </w:rPr>
              <w:t xml:space="preserve">、抗拉力≥5000N/㎡，抗压力≥60000N/㎡，灯珠抗拉机械强度≥1.3kg                              </w:t>
            </w:r>
          </w:p>
          <w:p w14:paraId="7946CA7E">
            <w:pPr>
              <w:jc w:val="left"/>
              <w:rPr>
                <w:rFonts w:ascii="宋体" w:hAnsi="宋体" w:cs="宋体"/>
                <w:color w:val="auto"/>
                <w:kern w:val="0"/>
                <w:sz w:val="20"/>
                <w:szCs w:val="20"/>
              </w:rPr>
            </w:pPr>
            <w:r>
              <w:rPr>
                <w:rFonts w:hint="eastAsia" w:ascii="宋体" w:hAnsi="宋体" w:cs="宋体"/>
                <w:color w:val="auto"/>
                <w:kern w:val="0"/>
                <w:sz w:val="20"/>
                <w:szCs w:val="20"/>
              </w:rPr>
              <w:t>9</w:t>
            </w:r>
            <w:r>
              <w:rPr>
                <w:rFonts w:ascii="宋体" w:hAnsi="宋体" w:cs="宋体"/>
                <w:color w:val="auto"/>
                <w:kern w:val="0"/>
                <w:sz w:val="20"/>
                <w:szCs w:val="20"/>
              </w:rPr>
              <w:t xml:space="preserve">、灯珠抗静电(ESD)测试：HBM模式：ESD&gt;2000V                                                </w:t>
            </w:r>
          </w:p>
          <w:p w14:paraId="4AC1E0F7">
            <w:pPr>
              <w:jc w:val="left"/>
              <w:rPr>
                <w:rFonts w:ascii="宋体" w:hAnsi="宋体" w:cs="宋体"/>
                <w:color w:val="auto"/>
                <w:kern w:val="0"/>
                <w:sz w:val="20"/>
                <w:szCs w:val="20"/>
              </w:rPr>
            </w:pPr>
            <w:r>
              <w:rPr>
                <w:rFonts w:hint="eastAsia" w:ascii="宋体" w:hAnsi="宋体" w:cs="宋体"/>
                <w:color w:val="auto"/>
                <w:kern w:val="0"/>
                <w:sz w:val="20"/>
                <w:szCs w:val="20"/>
              </w:rPr>
              <w:t>10</w:t>
            </w:r>
            <w:r>
              <w:rPr>
                <w:rFonts w:ascii="宋体" w:hAnsi="宋体" w:cs="宋体"/>
                <w:color w:val="auto"/>
                <w:kern w:val="0"/>
                <w:sz w:val="20"/>
                <w:szCs w:val="20"/>
              </w:rPr>
              <w:t xml:space="preserve">、燃烧测试：灼热丝温度550℃,测试时间30s内，未起明火                               </w:t>
            </w:r>
          </w:p>
          <w:p w14:paraId="71A75ABA">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1</w:t>
            </w:r>
            <w:r>
              <w:rPr>
                <w:rFonts w:ascii="宋体" w:hAnsi="宋体" w:cs="宋体"/>
                <w:color w:val="auto"/>
                <w:kern w:val="0"/>
                <w:sz w:val="20"/>
                <w:szCs w:val="20"/>
              </w:rPr>
              <w:t>、可见光投射比：≥89.89%，因磨耗引起的雾度：≤1.30%</w:t>
            </w:r>
          </w:p>
          <w:p w14:paraId="57D16B96">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12</w:t>
            </w:r>
            <w:r>
              <w:rPr>
                <w:rFonts w:ascii="宋体" w:hAnsi="宋体" w:cs="宋体"/>
                <w:color w:val="auto"/>
                <w:kern w:val="0"/>
                <w:sz w:val="20"/>
                <w:szCs w:val="20"/>
              </w:rPr>
              <w:t>、防霉测试：具备0级防霉特性</w:t>
            </w:r>
          </w:p>
          <w:p w14:paraId="0769E9DA">
            <w:pPr>
              <w:jc w:val="left"/>
              <w:rPr>
                <w:rFonts w:ascii="宋体" w:hAnsi="宋体" w:cs="宋体"/>
                <w:color w:val="auto"/>
                <w:kern w:val="0"/>
                <w:sz w:val="20"/>
                <w:szCs w:val="20"/>
              </w:rPr>
            </w:pPr>
            <w:r>
              <w:rPr>
                <w:rFonts w:hint="eastAsia" w:ascii="宋体" w:hAnsi="宋体" w:cs="宋体"/>
                <w:color w:val="auto"/>
                <w:kern w:val="0"/>
                <w:sz w:val="20"/>
                <w:szCs w:val="20"/>
              </w:rPr>
              <w:t>13</w:t>
            </w:r>
            <w:r>
              <w:rPr>
                <w:rFonts w:ascii="宋体" w:hAnsi="宋体" w:cs="宋体"/>
                <w:color w:val="auto"/>
                <w:kern w:val="0"/>
                <w:sz w:val="20"/>
                <w:szCs w:val="20"/>
              </w:rPr>
              <w:t>、灯珠冷热冲击：-50℃~130℃各15min 200次</w:t>
            </w:r>
          </w:p>
          <w:p w14:paraId="115E9574">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14</w:t>
            </w:r>
            <w:r>
              <w:rPr>
                <w:rFonts w:ascii="宋体" w:hAnsi="宋体" w:cs="宋体"/>
                <w:color w:val="auto"/>
                <w:kern w:val="0"/>
                <w:sz w:val="20"/>
                <w:szCs w:val="20"/>
              </w:rPr>
              <w:t xml:space="preserve">、灯珠高温贮存：Ta=100℃ 贮存500H   </w:t>
            </w:r>
          </w:p>
          <w:p w14:paraId="329F1760">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15</w:t>
            </w:r>
            <w:r>
              <w:rPr>
                <w:rFonts w:ascii="宋体" w:hAnsi="宋体" w:cs="宋体"/>
                <w:color w:val="auto"/>
                <w:kern w:val="0"/>
                <w:sz w:val="20"/>
                <w:szCs w:val="20"/>
              </w:rPr>
              <w:t>、LED模组干扰光符合GB/T 36101-2018标准要求，LED显示屏应具备可随环境照明变化自动调节亮度的功能；LED显示屏应在熄灯时段内控制亮度、色度和画面切换速度</w:t>
            </w:r>
            <w:r>
              <w:rPr>
                <w:rFonts w:hint="eastAsia" w:ascii="宋体" w:hAnsi="宋体" w:cs="宋体"/>
                <w:color w:val="auto"/>
                <w:kern w:val="0"/>
                <w:sz w:val="20"/>
                <w:szCs w:val="20"/>
              </w:rPr>
              <w:t>（竞标时提供国家认可的第三方检测机构出具的检测报告复印件并加盖供应商公章)；</w:t>
            </w:r>
            <w:r>
              <w:rPr>
                <w:rFonts w:ascii="宋体" w:hAnsi="宋体" w:cs="宋体"/>
                <w:color w:val="auto"/>
                <w:kern w:val="0"/>
                <w:sz w:val="20"/>
                <w:szCs w:val="20"/>
              </w:rPr>
              <w:t xml:space="preserve">                                                     </w:t>
            </w:r>
            <w:r>
              <w:rPr>
                <w:rFonts w:hint="eastAsia" w:ascii="宋体" w:hAnsi="宋体" w:cs="宋体"/>
                <w:color w:val="auto"/>
                <w:kern w:val="0"/>
                <w:sz w:val="20"/>
                <w:szCs w:val="20"/>
              </w:rPr>
              <w:t>16</w:t>
            </w:r>
            <w:r>
              <w:rPr>
                <w:rFonts w:ascii="宋体" w:hAnsi="宋体" w:cs="宋体"/>
                <w:color w:val="auto"/>
                <w:kern w:val="0"/>
                <w:sz w:val="20"/>
                <w:szCs w:val="20"/>
              </w:rPr>
              <w:t xml:space="preserve">、显示屏黑屏不点亮时，功耗≤150W/㎡                                                  </w:t>
            </w:r>
          </w:p>
          <w:p w14:paraId="54BEF419">
            <w:pPr>
              <w:jc w:val="left"/>
              <w:rPr>
                <w:rFonts w:ascii="宋体" w:hAnsi="宋体" w:cs="宋体"/>
                <w:color w:val="auto"/>
                <w:kern w:val="0"/>
                <w:sz w:val="20"/>
                <w:szCs w:val="20"/>
              </w:rPr>
            </w:pPr>
            <w:r>
              <w:rPr>
                <w:rFonts w:hint="eastAsia" w:ascii="宋体" w:hAnsi="宋体" w:cs="宋体"/>
                <w:color w:val="auto"/>
                <w:kern w:val="0"/>
                <w:sz w:val="20"/>
                <w:szCs w:val="20"/>
              </w:rPr>
              <w:t>17</w:t>
            </w:r>
            <w:r>
              <w:rPr>
                <w:rFonts w:ascii="宋体" w:hAnsi="宋体" w:cs="宋体"/>
                <w:color w:val="auto"/>
                <w:kern w:val="0"/>
                <w:sz w:val="20"/>
                <w:szCs w:val="20"/>
              </w:rPr>
              <w:t>、毒性指数R值：≤1,符合BS6853要求</w:t>
            </w:r>
          </w:p>
          <w:p w14:paraId="6E676E48">
            <w:pPr>
              <w:jc w:val="left"/>
              <w:rPr>
                <w:rFonts w:ascii="宋体" w:hAnsi="宋体" w:cs="宋体"/>
                <w:color w:val="auto"/>
                <w:kern w:val="0"/>
                <w:sz w:val="20"/>
                <w:szCs w:val="20"/>
              </w:rPr>
            </w:pPr>
            <w:r>
              <w:rPr>
                <w:rFonts w:hint="eastAsia" w:ascii="宋体" w:hAnsi="宋体" w:cs="宋体"/>
                <w:color w:val="auto"/>
                <w:kern w:val="0"/>
                <w:sz w:val="20"/>
                <w:szCs w:val="20"/>
              </w:rPr>
              <w:t>18</w:t>
            </w:r>
            <w:r>
              <w:rPr>
                <w:rFonts w:ascii="宋体" w:hAnsi="宋体" w:cs="宋体"/>
                <w:color w:val="auto"/>
                <w:kern w:val="0"/>
                <w:sz w:val="20"/>
                <w:szCs w:val="20"/>
              </w:rPr>
              <w:t>、产品符合TIRT-GK-JS-55-2020视觉健康认证</w:t>
            </w:r>
          </w:p>
          <w:p w14:paraId="799206ED">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19</w:t>
            </w:r>
            <w:r>
              <w:rPr>
                <w:rFonts w:ascii="宋体" w:hAnsi="宋体" w:cs="宋体"/>
                <w:color w:val="auto"/>
                <w:kern w:val="0"/>
                <w:sz w:val="20"/>
                <w:szCs w:val="20"/>
              </w:rPr>
              <w:t>、谐波电流应能符合GB 17625.1-2022中A类设备的限值要求</w:t>
            </w:r>
            <w:r>
              <w:rPr>
                <w:rFonts w:hint="eastAsia" w:ascii="宋体" w:hAnsi="宋体" w:cs="宋体"/>
                <w:color w:val="auto"/>
                <w:kern w:val="0"/>
                <w:sz w:val="20"/>
                <w:szCs w:val="20"/>
              </w:rPr>
              <w:t>（竞标时提供国家认可的第三方检测机构出具的检测报告复印件并加盖供应商公章)；</w:t>
            </w:r>
          </w:p>
          <w:p w14:paraId="28ABDD9F">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二、</w:t>
            </w:r>
            <w:r>
              <w:rPr>
                <w:rFonts w:ascii="宋体" w:hAnsi="宋体" w:cs="宋体"/>
                <w:color w:val="auto"/>
                <w:kern w:val="0"/>
                <w:sz w:val="20"/>
                <w:szCs w:val="20"/>
              </w:rPr>
              <w:t>视频处理器：</w:t>
            </w:r>
          </w:p>
          <w:p w14:paraId="35A02E98">
            <w:pPr>
              <w:jc w:val="left"/>
              <w:rPr>
                <w:rFonts w:ascii="宋体" w:hAnsi="宋体" w:cs="宋体"/>
                <w:color w:val="auto"/>
                <w:kern w:val="0"/>
                <w:sz w:val="20"/>
                <w:szCs w:val="20"/>
              </w:rPr>
            </w:pPr>
            <w:r>
              <w:rPr>
                <w:rFonts w:ascii="宋体" w:hAnsi="宋体" w:cs="宋体"/>
                <w:color w:val="auto"/>
                <w:kern w:val="0"/>
                <w:sz w:val="20"/>
                <w:szCs w:val="20"/>
              </w:rPr>
              <w:t>1、外壳防护等级符合GB/T4208-2017中IP20的要求；采用纯硬件 FPGA 架构设计、运行稳定、可靠、高效。</w:t>
            </w:r>
          </w:p>
          <w:p w14:paraId="12CF62BE">
            <w:pPr>
              <w:jc w:val="left"/>
              <w:rPr>
                <w:rFonts w:ascii="宋体" w:hAnsi="宋体" w:cs="宋体"/>
                <w:color w:val="auto"/>
                <w:kern w:val="0"/>
                <w:sz w:val="20"/>
                <w:szCs w:val="20"/>
              </w:rPr>
            </w:pPr>
            <w:r>
              <w:rPr>
                <w:rFonts w:ascii="宋体" w:hAnsi="宋体" w:cs="宋体"/>
                <w:color w:val="auto"/>
                <w:kern w:val="0"/>
                <w:sz w:val="20"/>
                <w:szCs w:val="20"/>
              </w:rPr>
              <w:t>2、样机正常工作时，噪声不大于35dB(A)(距离样机1m处)。</w:t>
            </w:r>
          </w:p>
          <w:p w14:paraId="56DA8DD9">
            <w:pPr>
              <w:jc w:val="left"/>
              <w:rPr>
                <w:rFonts w:ascii="宋体" w:hAnsi="宋体" w:cs="宋体"/>
                <w:color w:val="auto"/>
                <w:kern w:val="0"/>
                <w:sz w:val="20"/>
                <w:szCs w:val="20"/>
              </w:rPr>
            </w:pPr>
            <w:r>
              <w:rPr>
                <w:rFonts w:ascii="宋体" w:hAnsi="宋体" w:cs="宋体"/>
                <w:color w:val="auto"/>
                <w:kern w:val="0"/>
                <w:sz w:val="20"/>
                <w:szCs w:val="20"/>
              </w:rPr>
              <w:t>3、输入包括1路HDMI2.0+LOOP,2路HDMI1.3,1路USB3.0,支持选配1路3G-SDI(IN+LOOP)</w:t>
            </w:r>
          </w:p>
          <w:p w14:paraId="186661EA">
            <w:pPr>
              <w:jc w:val="left"/>
              <w:rPr>
                <w:rFonts w:ascii="宋体" w:hAnsi="宋体" w:cs="宋体"/>
                <w:color w:val="auto"/>
                <w:kern w:val="0"/>
                <w:sz w:val="20"/>
                <w:szCs w:val="20"/>
              </w:rPr>
            </w:pPr>
            <w:r>
              <w:rPr>
                <w:rFonts w:ascii="宋体" w:hAnsi="宋体" w:cs="宋体"/>
                <w:color w:val="auto"/>
                <w:kern w:val="0"/>
                <w:sz w:val="20"/>
                <w:szCs w:val="20"/>
              </w:rPr>
              <w:t>4、HDMI,DP接口支持输入分辨率自定义调节，最大可支持4096*2160@60信号输入，并向下兼容。</w:t>
            </w:r>
          </w:p>
          <w:p w14:paraId="2582BAF3">
            <w:pPr>
              <w:jc w:val="left"/>
              <w:rPr>
                <w:rFonts w:ascii="宋体" w:hAnsi="宋体" w:cs="宋体"/>
                <w:color w:val="auto"/>
                <w:kern w:val="0"/>
                <w:sz w:val="20"/>
                <w:szCs w:val="20"/>
              </w:rPr>
            </w:pPr>
            <w:r>
              <w:rPr>
                <w:rFonts w:ascii="宋体" w:hAnsi="宋体" w:cs="宋体"/>
                <w:color w:val="auto"/>
                <w:kern w:val="0"/>
                <w:sz w:val="20"/>
                <w:szCs w:val="20"/>
              </w:rPr>
              <w:t>5、视频输出支持6个千兆网口输出，1路10G-OPT光口，最大带载高达390万像素，最宽支持10240,最高8192。</w:t>
            </w:r>
          </w:p>
          <w:p w14:paraId="02A0E16B">
            <w:pPr>
              <w:jc w:val="left"/>
              <w:rPr>
                <w:rFonts w:ascii="宋体" w:hAnsi="宋体" w:cs="宋体"/>
                <w:color w:val="auto"/>
                <w:kern w:val="0"/>
                <w:sz w:val="20"/>
                <w:szCs w:val="20"/>
              </w:rPr>
            </w:pPr>
            <w:r>
              <w:rPr>
                <w:rFonts w:ascii="宋体" w:hAnsi="宋体" w:cs="宋体"/>
                <w:color w:val="auto"/>
                <w:kern w:val="0"/>
                <w:sz w:val="20"/>
                <w:szCs w:val="20"/>
              </w:rPr>
              <w:t>6、支持三种画面缩放模式，包括点对点模式、全屏缩放、自定义缩放，搭载SuperView Ⅲ画质处理技术，支持输出画面无级缩放。</w:t>
            </w:r>
          </w:p>
          <w:p w14:paraId="1AD55EF6">
            <w:pPr>
              <w:jc w:val="left"/>
              <w:rPr>
                <w:rFonts w:ascii="宋体" w:hAnsi="宋体" w:cs="宋体"/>
                <w:color w:val="auto"/>
                <w:kern w:val="0"/>
                <w:sz w:val="20"/>
                <w:szCs w:val="20"/>
              </w:rPr>
            </w:pPr>
            <w:r>
              <w:rPr>
                <w:rFonts w:ascii="宋体" w:hAnsi="宋体" w:cs="宋体"/>
                <w:color w:val="auto"/>
                <w:kern w:val="0"/>
                <w:sz w:val="20"/>
                <w:szCs w:val="20"/>
              </w:rPr>
              <w:t>7、支持输入源自定义截取，可对任意输入源进行自定义截取，有效消除因源比例不匹配出现的过渡拉伸和黑边现象</w:t>
            </w:r>
          </w:p>
          <w:p w14:paraId="1FE8031F">
            <w:pPr>
              <w:jc w:val="left"/>
              <w:rPr>
                <w:rFonts w:ascii="宋体" w:hAnsi="宋体" w:cs="宋体"/>
                <w:color w:val="auto"/>
                <w:kern w:val="0"/>
                <w:sz w:val="20"/>
                <w:szCs w:val="20"/>
              </w:rPr>
            </w:pPr>
            <w:r>
              <w:rPr>
                <w:rFonts w:ascii="宋体" w:hAnsi="宋体" w:cs="宋体"/>
                <w:color w:val="auto"/>
                <w:kern w:val="0"/>
                <w:sz w:val="20"/>
                <w:szCs w:val="20"/>
              </w:rPr>
              <w:t>8、最大支持144HZ高帧率输入输出，输出支持插帧、抽帧、倍频(2倍频、3倍频、4倍频)功能，可将30HZ信号，倍频至120HZ输出</w:t>
            </w:r>
          </w:p>
          <w:p w14:paraId="6526FCAF">
            <w:pPr>
              <w:jc w:val="left"/>
              <w:rPr>
                <w:rFonts w:ascii="宋体" w:hAnsi="宋体" w:cs="宋体"/>
                <w:color w:val="auto"/>
                <w:kern w:val="0"/>
                <w:sz w:val="20"/>
                <w:szCs w:val="20"/>
              </w:rPr>
            </w:pPr>
            <w:r>
              <w:rPr>
                <w:rFonts w:ascii="宋体" w:hAnsi="宋体" w:cs="宋体"/>
                <w:color w:val="auto"/>
                <w:kern w:val="0"/>
                <w:sz w:val="20"/>
                <w:szCs w:val="20"/>
              </w:rPr>
              <w:t>9、最大可支持6个2K图层或1个4K图层+2个2K图层，全部图层大小和位置可单独调节。4K接口输入2K图层，按2K图层计算图层资源</w:t>
            </w:r>
          </w:p>
          <w:p w14:paraId="54FA5CB6">
            <w:pPr>
              <w:jc w:val="left"/>
              <w:rPr>
                <w:rFonts w:ascii="宋体" w:hAnsi="宋体" w:cs="宋体"/>
                <w:color w:val="auto"/>
                <w:kern w:val="0"/>
                <w:sz w:val="20"/>
                <w:szCs w:val="20"/>
              </w:rPr>
            </w:pPr>
            <w:r>
              <w:rPr>
                <w:rFonts w:ascii="宋体" w:hAnsi="宋体" w:cs="宋体"/>
                <w:color w:val="auto"/>
                <w:kern w:val="0"/>
                <w:sz w:val="20"/>
                <w:szCs w:val="20"/>
              </w:rPr>
              <w:t>10、开机后自动检测客户端未使用时长，智能匹配相应时间的除湿模式，让显示屏亮度逐步提升，无需人工定期手动维护，除湿功能开启后可手动关闭。</w:t>
            </w:r>
          </w:p>
          <w:p w14:paraId="7E9DDD23">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11、支持智能遥控，可通过蓝牙遥控器对控制器进行快捷控制，遥控距离不小于10米</w:t>
            </w:r>
          </w:p>
          <w:p w14:paraId="27DB641D">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12、支持微信小程序快捷控制，包括亮度调节、输出画质调节、待机模式、画面冻结、场景切换、U盘播放等功能</w:t>
            </w:r>
          </w:p>
          <w:p w14:paraId="754584CA">
            <w:pPr>
              <w:jc w:val="left"/>
              <w:rPr>
                <w:rFonts w:ascii="宋体" w:hAnsi="宋体" w:cs="宋体"/>
                <w:color w:val="auto"/>
                <w:kern w:val="0"/>
                <w:sz w:val="20"/>
                <w:szCs w:val="20"/>
              </w:rPr>
            </w:pPr>
            <w:r>
              <w:rPr>
                <w:rFonts w:ascii="宋体" w:hAnsi="宋体" w:cs="宋体"/>
                <w:color w:val="auto"/>
                <w:kern w:val="0"/>
                <w:sz w:val="20"/>
                <w:szCs w:val="20"/>
              </w:rPr>
              <w:t>13、支持设备运行日志，操作日志实时记录，日志可通过软件导出，方便异常定位</w:t>
            </w:r>
          </w:p>
          <w:p w14:paraId="25A1B05F">
            <w:pPr>
              <w:jc w:val="left"/>
              <w:rPr>
                <w:rFonts w:ascii="宋体" w:hAnsi="宋体" w:cs="宋体"/>
                <w:color w:val="auto"/>
                <w:kern w:val="0"/>
                <w:sz w:val="20"/>
                <w:szCs w:val="20"/>
              </w:rPr>
            </w:pPr>
            <w:r>
              <w:rPr>
                <w:rFonts w:ascii="宋体" w:hAnsi="宋体" w:cs="宋体"/>
                <w:color w:val="auto"/>
                <w:kern w:val="0"/>
                <w:sz w:val="20"/>
                <w:szCs w:val="20"/>
              </w:rPr>
              <w:t>14、单网线极限带载不受限于矩形带载，支持任意走线，带载根据实际带载点数计算，最大化提高网口利用率。</w:t>
            </w:r>
          </w:p>
          <w:p w14:paraId="499A37AB">
            <w:pPr>
              <w:jc w:val="left"/>
              <w:rPr>
                <w:rFonts w:ascii="宋体" w:hAnsi="宋体" w:cs="宋体"/>
                <w:color w:val="auto"/>
                <w:kern w:val="0"/>
                <w:sz w:val="20"/>
                <w:szCs w:val="20"/>
              </w:rPr>
            </w:pPr>
            <w:r>
              <w:rPr>
                <w:rFonts w:ascii="宋体" w:hAnsi="宋体" w:cs="宋体"/>
                <w:color w:val="auto"/>
                <w:kern w:val="0"/>
                <w:sz w:val="20"/>
                <w:szCs w:val="20"/>
              </w:rPr>
              <w:t>15、支持低功耗模式，设备自动断开输出，有效减少大屏整体功耗</w:t>
            </w:r>
          </w:p>
          <w:p w14:paraId="5FDA0FBF">
            <w:pPr>
              <w:jc w:val="left"/>
              <w:rPr>
                <w:rFonts w:ascii="宋体" w:hAnsi="宋体" w:cs="宋体"/>
                <w:color w:val="auto"/>
                <w:sz w:val="20"/>
                <w:szCs w:val="20"/>
              </w:rPr>
            </w:pPr>
            <w:r>
              <w:rPr>
                <w:rFonts w:hint="eastAsia" w:ascii="宋体" w:hAnsi="宋体" w:cs="宋体"/>
                <w:color w:val="auto"/>
                <w:sz w:val="20"/>
                <w:szCs w:val="20"/>
              </w:rPr>
              <w:t>▲</w:t>
            </w:r>
            <w:r>
              <w:rPr>
                <w:rFonts w:ascii="宋体" w:hAnsi="宋体" w:cs="宋体"/>
                <w:color w:val="auto"/>
                <w:kern w:val="0"/>
                <w:sz w:val="20"/>
                <w:szCs w:val="20"/>
              </w:rPr>
              <w:t>16、MTBF≥150000小时，MTTR平均修复小于10分钟可用度大于99%，整机寿命不小于150000小时。产品稳定性高、性能卓越、纯硬件结构，上电即可正常工作，无需做任何其它设置。</w:t>
            </w:r>
            <w:r>
              <w:rPr>
                <w:rFonts w:hint="eastAsia" w:ascii="宋体" w:hAnsi="宋体" w:cs="宋体"/>
                <w:color w:val="auto"/>
                <w:kern w:val="0"/>
                <w:sz w:val="20"/>
                <w:szCs w:val="20"/>
              </w:rPr>
              <w:t>（竞标时提供国家认可的第三方检测机构出具的检测报告复印件并加盖供应商公章)；</w:t>
            </w:r>
          </w:p>
          <w:p w14:paraId="35822C1E">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17、支持控制设备白名单，可通过MAC地址限制控制设备，非白名单内设备无法控制设备，不允许对设备进行操作</w:t>
            </w:r>
            <w:r>
              <w:rPr>
                <w:rFonts w:hint="eastAsia" w:ascii="宋体" w:hAnsi="宋体" w:cs="宋体"/>
                <w:color w:val="auto"/>
                <w:kern w:val="0"/>
                <w:sz w:val="20"/>
                <w:szCs w:val="20"/>
              </w:rPr>
              <w:t>（竞标时提供国家认可的第三方检测机构出具的检测报告复印件并加盖供应商公章)；</w:t>
            </w:r>
          </w:p>
          <w:p w14:paraId="0F37FBC1">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18、为保证系统稳定性，视频处理器控制系统可以冗余热备份</w:t>
            </w:r>
          </w:p>
          <w:p w14:paraId="4CF71C5F">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19、设备支持逐点亮色度校正技术，校正过程快速高效</w:t>
            </w:r>
          </w:p>
        </w:tc>
        <w:tc>
          <w:tcPr>
            <w:tcW w:w="142" w:type="pct"/>
            <w:vAlign w:val="center"/>
          </w:tcPr>
          <w:p w14:paraId="77CE5EE9">
            <w:pPr>
              <w:widowControl/>
              <w:spacing w:line="288" w:lineRule="auto"/>
              <w:jc w:val="center"/>
              <w:rPr>
                <w:rFonts w:ascii="宋体" w:hAnsi="宋体" w:cs="宋体"/>
                <w:color w:val="auto"/>
                <w:sz w:val="20"/>
                <w:szCs w:val="20"/>
              </w:rPr>
            </w:pPr>
            <w:r>
              <w:rPr>
                <w:rFonts w:hint="eastAsia" w:ascii="宋体" w:hAnsi="宋体" w:cs="宋体"/>
                <w:color w:val="auto"/>
                <w:sz w:val="20"/>
                <w:szCs w:val="20"/>
              </w:rPr>
              <w:t>套</w:t>
            </w:r>
          </w:p>
        </w:tc>
        <w:tc>
          <w:tcPr>
            <w:tcW w:w="142" w:type="pct"/>
            <w:vAlign w:val="center"/>
          </w:tcPr>
          <w:p w14:paraId="5E569713">
            <w:pPr>
              <w:widowControl/>
              <w:spacing w:line="288" w:lineRule="auto"/>
              <w:jc w:val="center"/>
              <w:rPr>
                <w:rFonts w:ascii="宋体" w:hAnsi="宋体" w:cs="宋体"/>
                <w:color w:val="auto"/>
                <w:sz w:val="20"/>
                <w:szCs w:val="20"/>
              </w:rPr>
            </w:pPr>
            <w:r>
              <w:rPr>
                <w:rFonts w:hint="eastAsia" w:ascii="宋体" w:hAnsi="宋体" w:cs="宋体"/>
                <w:color w:val="auto"/>
                <w:sz w:val="20"/>
                <w:szCs w:val="20"/>
              </w:rPr>
              <w:t>1</w:t>
            </w:r>
          </w:p>
        </w:tc>
        <w:tc>
          <w:tcPr>
            <w:tcW w:w="422" w:type="pct"/>
            <w:vAlign w:val="center"/>
          </w:tcPr>
          <w:p w14:paraId="34B2809F">
            <w:pPr>
              <w:widowControl/>
              <w:spacing w:line="288" w:lineRule="auto"/>
              <w:jc w:val="center"/>
              <w:rPr>
                <w:rFonts w:ascii="宋体" w:hAnsi="宋体" w:cs="宋体"/>
                <w:color w:val="auto"/>
                <w:sz w:val="20"/>
                <w:szCs w:val="20"/>
              </w:rPr>
            </w:pPr>
            <w:r>
              <w:rPr>
                <w:rFonts w:hint="eastAsia" w:ascii="宋体" w:hAnsi="宋体" w:cs="宋体"/>
                <w:color w:val="auto"/>
                <w:sz w:val="20"/>
                <w:szCs w:val="20"/>
              </w:rPr>
              <w:t>74000</w:t>
            </w:r>
          </w:p>
        </w:tc>
        <w:tc>
          <w:tcPr>
            <w:tcW w:w="491" w:type="pct"/>
            <w:vAlign w:val="center"/>
          </w:tcPr>
          <w:p w14:paraId="277CC656">
            <w:pPr>
              <w:widowControl/>
              <w:spacing w:line="288" w:lineRule="auto"/>
              <w:jc w:val="center"/>
              <w:rPr>
                <w:rFonts w:ascii="宋体" w:hAnsi="宋体" w:cs="宋体"/>
                <w:color w:val="auto"/>
                <w:sz w:val="20"/>
                <w:szCs w:val="20"/>
              </w:rPr>
            </w:pPr>
            <w:r>
              <w:rPr>
                <w:rFonts w:hint="eastAsia" w:ascii="宋体" w:hAnsi="宋体" w:cs="宋体"/>
                <w:color w:val="auto"/>
                <w:sz w:val="20"/>
                <w:szCs w:val="20"/>
              </w:rPr>
              <w:t>74000</w:t>
            </w:r>
          </w:p>
        </w:tc>
      </w:tr>
      <w:tr w14:paraId="787D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3" w:type="pct"/>
            <w:vAlign w:val="center"/>
          </w:tcPr>
          <w:p w14:paraId="7361A476">
            <w:pPr>
              <w:spacing w:line="288" w:lineRule="auto"/>
              <w:jc w:val="center"/>
              <w:rPr>
                <w:rFonts w:ascii="宋体" w:hAnsi="宋体" w:cs="宋体"/>
                <w:color w:val="auto"/>
                <w:sz w:val="20"/>
                <w:szCs w:val="20"/>
              </w:rPr>
            </w:pPr>
            <w:r>
              <w:rPr>
                <w:rFonts w:hint="eastAsia" w:ascii="宋体" w:hAnsi="宋体" w:cs="宋体"/>
                <w:color w:val="auto"/>
                <w:sz w:val="20"/>
                <w:szCs w:val="20"/>
              </w:rPr>
              <w:t>2</w:t>
            </w:r>
          </w:p>
        </w:tc>
        <w:tc>
          <w:tcPr>
            <w:tcW w:w="269" w:type="pct"/>
            <w:vAlign w:val="center"/>
          </w:tcPr>
          <w:p w14:paraId="4ECCED91">
            <w:pPr>
              <w:spacing w:line="288" w:lineRule="auto"/>
              <w:jc w:val="center"/>
              <w:rPr>
                <w:rFonts w:ascii="宋体" w:hAnsi="宋体" w:cs="宋体"/>
                <w:color w:val="auto"/>
                <w:sz w:val="20"/>
                <w:szCs w:val="20"/>
              </w:rPr>
            </w:pPr>
            <w:r>
              <w:rPr>
                <w:rFonts w:hint="eastAsia" w:ascii="宋体" w:hAnsi="宋体" w:cs="宋体"/>
                <w:color w:val="auto"/>
                <w:sz w:val="20"/>
                <w:szCs w:val="20"/>
              </w:rPr>
              <w:t>多媒体教学</w:t>
            </w:r>
            <w:r>
              <w:rPr>
                <w:rFonts w:hint="eastAsia" w:ascii="宋体" w:hAnsi="宋体" w:cs="宋体"/>
                <w:color w:val="auto"/>
                <w:sz w:val="20"/>
                <w:szCs w:val="20"/>
                <w:lang w:val="en-US" w:eastAsia="zh-CN"/>
              </w:rPr>
              <w:t>LED</w:t>
            </w:r>
            <w:r>
              <w:rPr>
                <w:rFonts w:hint="eastAsia" w:ascii="宋体" w:hAnsi="宋体" w:cs="宋体"/>
                <w:color w:val="auto"/>
                <w:sz w:val="20"/>
                <w:szCs w:val="20"/>
              </w:rPr>
              <w:t>设备2</w:t>
            </w:r>
          </w:p>
        </w:tc>
        <w:tc>
          <w:tcPr>
            <w:tcW w:w="291" w:type="pct"/>
            <w:vAlign w:val="center"/>
          </w:tcPr>
          <w:p w14:paraId="4E699D7E">
            <w:pPr>
              <w:spacing w:line="288" w:lineRule="auto"/>
              <w:rPr>
                <w:rFonts w:ascii="宋体" w:hAnsi="宋体" w:cs="宋体"/>
                <w:color w:val="auto"/>
                <w:sz w:val="20"/>
                <w:szCs w:val="20"/>
              </w:rPr>
            </w:pPr>
            <w:r>
              <w:rPr>
                <w:rFonts w:hint="eastAsia" w:ascii="宋体" w:hAnsi="宋体" w:cs="宋体"/>
                <w:color w:val="auto"/>
                <w:sz w:val="20"/>
                <w:szCs w:val="20"/>
              </w:rPr>
              <w:t>高科、金立翔、利亚德（或同档次品牌以上）</w:t>
            </w:r>
          </w:p>
          <w:p w14:paraId="52AB2CC2">
            <w:pPr>
              <w:spacing w:line="288" w:lineRule="auto"/>
              <w:rPr>
                <w:rFonts w:ascii="宋体" w:hAnsi="宋体" w:cs="宋体"/>
                <w:color w:val="auto"/>
                <w:sz w:val="20"/>
                <w:szCs w:val="20"/>
              </w:rPr>
            </w:pPr>
          </w:p>
          <w:p w14:paraId="377DF008">
            <w:pPr>
              <w:spacing w:line="288" w:lineRule="auto"/>
              <w:rPr>
                <w:rFonts w:ascii="宋体" w:hAnsi="宋体" w:cs="宋体"/>
                <w:color w:val="auto"/>
                <w:sz w:val="20"/>
                <w:szCs w:val="20"/>
              </w:rPr>
            </w:pPr>
          </w:p>
        </w:tc>
        <w:tc>
          <w:tcPr>
            <w:tcW w:w="3090" w:type="pct"/>
            <w:shd w:val="clear" w:color="auto" w:fill="auto"/>
            <w:vAlign w:val="center"/>
          </w:tcPr>
          <w:p w14:paraId="5B22796E">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一、</w:t>
            </w:r>
            <w:r>
              <w:rPr>
                <w:rFonts w:hint="eastAsia" w:ascii="宋体" w:hAnsi="宋体" w:cs="宋体"/>
                <w:color w:val="auto"/>
                <w:kern w:val="0"/>
                <w:sz w:val="20"/>
                <w:szCs w:val="20"/>
              </w:rPr>
              <w:t>显示屏</w:t>
            </w:r>
            <w:r>
              <w:rPr>
                <w:rFonts w:ascii="宋体" w:hAnsi="宋体" w:cs="宋体"/>
                <w:color w:val="auto"/>
                <w:kern w:val="0"/>
                <w:sz w:val="20"/>
                <w:szCs w:val="20"/>
              </w:rPr>
              <w:t>：</w:t>
            </w:r>
          </w:p>
          <w:p w14:paraId="1DA273BD">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净显示尺寸为：宽≥3200mm，高≥1600mm，显示面积≥5.12㎡；</w:t>
            </w:r>
          </w:p>
          <w:p w14:paraId="5B530E9D">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2</w:t>
            </w:r>
            <w:r>
              <w:rPr>
                <w:rFonts w:ascii="宋体" w:hAnsi="宋体" w:cs="宋体"/>
                <w:color w:val="auto"/>
                <w:kern w:val="0"/>
                <w:sz w:val="20"/>
                <w:szCs w:val="20"/>
              </w:rPr>
              <w:t>、点间距：≤1.86mm</w:t>
            </w:r>
          </w:p>
          <w:p w14:paraId="428F4064">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3</w:t>
            </w:r>
            <w:r>
              <w:rPr>
                <w:rFonts w:ascii="宋体" w:hAnsi="宋体" w:cs="宋体"/>
                <w:color w:val="auto"/>
                <w:kern w:val="0"/>
                <w:sz w:val="20"/>
                <w:szCs w:val="20"/>
              </w:rPr>
              <w:t>、对比度≧8000：1</w:t>
            </w:r>
          </w:p>
          <w:p w14:paraId="55597D11">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4</w:t>
            </w:r>
            <w:r>
              <w:rPr>
                <w:rFonts w:ascii="宋体" w:hAnsi="宋体" w:cs="宋体"/>
                <w:color w:val="auto"/>
                <w:kern w:val="0"/>
                <w:sz w:val="20"/>
                <w:szCs w:val="20"/>
              </w:rPr>
              <w:t>、刷新率为≧3840Hz，换帧频率：50&amp;60Hz；垂直≧173度，水平≧174度；</w:t>
            </w:r>
          </w:p>
          <w:p w14:paraId="6C249513">
            <w:pPr>
              <w:jc w:val="left"/>
              <w:rPr>
                <w:rFonts w:ascii="宋体" w:hAnsi="宋体" w:cs="宋体"/>
                <w:color w:val="auto"/>
                <w:kern w:val="0"/>
                <w:sz w:val="20"/>
                <w:szCs w:val="20"/>
              </w:rPr>
            </w:pPr>
            <w:r>
              <w:rPr>
                <w:rFonts w:hint="eastAsia" w:ascii="宋体" w:hAnsi="宋体" w:cs="宋体"/>
                <w:color w:val="auto"/>
                <w:kern w:val="0"/>
                <w:sz w:val="20"/>
                <w:szCs w:val="20"/>
              </w:rPr>
              <w:t>5</w:t>
            </w:r>
            <w:r>
              <w:rPr>
                <w:rFonts w:ascii="宋体" w:hAnsi="宋体" w:cs="宋体"/>
                <w:color w:val="auto"/>
                <w:kern w:val="0"/>
                <w:sz w:val="20"/>
                <w:szCs w:val="20"/>
              </w:rPr>
              <w:t>、LED像素失控率≤1/1000000；</w:t>
            </w:r>
          </w:p>
          <w:p w14:paraId="6DC08E4F">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6</w:t>
            </w:r>
            <w:r>
              <w:rPr>
                <w:rFonts w:ascii="宋体" w:hAnsi="宋体" w:cs="宋体"/>
                <w:color w:val="auto"/>
                <w:kern w:val="0"/>
                <w:sz w:val="20"/>
                <w:szCs w:val="20"/>
              </w:rPr>
              <w:t xml:space="preserve">、亮度均匀性≥99.5%；                                                                                                                                                                                           </w:t>
            </w:r>
            <w:r>
              <w:rPr>
                <w:rFonts w:hint="eastAsia" w:ascii="宋体" w:hAnsi="宋体" w:cs="宋体"/>
                <w:color w:val="auto"/>
                <w:kern w:val="0"/>
                <w:sz w:val="20"/>
                <w:szCs w:val="20"/>
              </w:rPr>
              <w:t>7</w:t>
            </w:r>
            <w:r>
              <w:rPr>
                <w:rFonts w:ascii="宋体" w:hAnsi="宋体" w:cs="宋体"/>
                <w:color w:val="auto"/>
                <w:kern w:val="0"/>
                <w:sz w:val="20"/>
                <w:szCs w:val="20"/>
              </w:rPr>
              <w:t xml:space="preserve">、功耗：≤492W/㎡，平均功耗：≤246W/㎡，最大电流：5.0A                                                                                                                                                                   </w:t>
            </w:r>
            <w:r>
              <w:rPr>
                <w:rFonts w:hint="eastAsia" w:ascii="宋体" w:hAnsi="宋体" w:cs="宋体"/>
                <w:color w:val="auto"/>
                <w:sz w:val="20"/>
                <w:szCs w:val="20"/>
              </w:rPr>
              <w:t>▲</w:t>
            </w:r>
            <w:r>
              <w:rPr>
                <w:rFonts w:hint="eastAsia" w:ascii="宋体" w:hAnsi="宋体" w:cs="宋体"/>
                <w:color w:val="auto"/>
                <w:kern w:val="0"/>
                <w:sz w:val="20"/>
                <w:szCs w:val="20"/>
              </w:rPr>
              <w:t>8</w:t>
            </w:r>
            <w:r>
              <w:rPr>
                <w:rFonts w:ascii="宋体" w:hAnsi="宋体" w:cs="宋体"/>
                <w:color w:val="auto"/>
                <w:kern w:val="0"/>
                <w:sz w:val="20"/>
                <w:szCs w:val="20"/>
              </w:rPr>
              <w:t xml:space="preserve">、抗拉力≥5000N/㎡，抗压力≥60000N/㎡，灯珠抗拉机械强度≥1.3kg                              </w:t>
            </w:r>
          </w:p>
          <w:p w14:paraId="6DA40D1E">
            <w:pPr>
              <w:jc w:val="left"/>
              <w:rPr>
                <w:rFonts w:ascii="宋体" w:hAnsi="宋体" w:cs="宋体"/>
                <w:color w:val="auto"/>
                <w:kern w:val="0"/>
                <w:sz w:val="20"/>
                <w:szCs w:val="20"/>
              </w:rPr>
            </w:pPr>
            <w:r>
              <w:rPr>
                <w:rFonts w:hint="eastAsia" w:ascii="宋体" w:hAnsi="宋体" w:cs="宋体"/>
                <w:color w:val="auto"/>
                <w:kern w:val="0"/>
                <w:sz w:val="20"/>
                <w:szCs w:val="20"/>
              </w:rPr>
              <w:t>9</w:t>
            </w:r>
            <w:r>
              <w:rPr>
                <w:rFonts w:ascii="宋体" w:hAnsi="宋体" w:cs="宋体"/>
                <w:color w:val="auto"/>
                <w:kern w:val="0"/>
                <w:sz w:val="20"/>
                <w:szCs w:val="20"/>
              </w:rPr>
              <w:t xml:space="preserve">、灯珠抗静电(ESD)测试：HBM模式：ESD&gt;2000V                                                </w:t>
            </w:r>
          </w:p>
          <w:p w14:paraId="79A61439">
            <w:pPr>
              <w:jc w:val="left"/>
              <w:rPr>
                <w:rFonts w:ascii="宋体" w:hAnsi="宋体" w:cs="宋体"/>
                <w:color w:val="auto"/>
                <w:kern w:val="0"/>
                <w:sz w:val="20"/>
                <w:szCs w:val="20"/>
              </w:rPr>
            </w:pPr>
            <w:r>
              <w:rPr>
                <w:rFonts w:hint="eastAsia" w:ascii="宋体" w:hAnsi="宋体" w:cs="宋体"/>
                <w:color w:val="auto"/>
                <w:kern w:val="0"/>
                <w:sz w:val="20"/>
                <w:szCs w:val="20"/>
              </w:rPr>
              <w:t>10</w:t>
            </w:r>
            <w:r>
              <w:rPr>
                <w:rFonts w:ascii="宋体" w:hAnsi="宋体" w:cs="宋体"/>
                <w:color w:val="auto"/>
                <w:kern w:val="0"/>
                <w:sz w:val="20"/>
                <w:szCs w:val="20"/>
              </w:rPr>
              <w:t xml:space="preserve">、燃烧测试：灼热丝温度550℃,测试时间30s内，未起明火                               </w:t>
            </w:r>
          </w:p>
          <w:p w14:paraId="14C3293E">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1</w:t>
            </w:r>
            <w:r>
              <w:rPr>
                <w:rFonts w:ascii="宋体" w:hAnsi="宋体" w:cs="宋体"/>
                <w:color w:val="auto"/>
                <w:kern w:val="0"/>
                <w:sz w:val="20"/>
                <w:szCs w:val="20"/>
              </w:rPr>
              <w:t>、可见光投射比：≥89.89%，因磨耗引起的雾度：≤1.30%</w:t>
            </w:r>
          </w:p>
          <w:p w14:paraId="7B939AB4">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12</w:t>
            </w:r>
            <w:r>
              <w:rPr>
                <w:rFonts w:ascii="宋体" w:hAnsi="宋体" w:cs="宋体"/>
                <w:color w:val="auto"/>
                <w:kern w:val="0"/>
                <w:sz w:val="20"/>
                <w:szCs w:val="20"/>
              </w:rPr>
              <w:t>、防霉测试：具备0级防霉特性</w:t>
            </w:r>
          </w:p>
          <w:p w14:paraId="7A03B4C1">
            <w:pPr>
              <w:jc w:val="left"/>
              <w:rPr>
                <w:rFonts w:ascii="宋体" w:hAnsi="宋体" w:cs="宋体"/>
                <w:color w:val="auto"/>
                <w:kern w:val="0"/>
                <w:sz w:val="20"/>
                <w:szCs w:val="20"/>
              </w:rPr>
            </w:pPr>
            <w:r>
              <w:rPr>
                <w:rFonts w:hint="eastAsia" w:ascii="宋体" w:hAnsi="宋体" w:cs="宋体"/>
                <w:color w:val="auto"/>
                <w:kern w:val="0"/>
                <w:sz w:val="20"/>
                <w:szCs w:val="20"/>
              </w:rPr>
              <w:t>13</w:t>
            </w:r>
            <w:r>
              <w:rPr>
                <w:rFonts w:ascii="宋体" w:hAnsi="宋体" w:cs="宋体"/>
                <w:color w:val="auto"/>
                <w:kern w:val="0"/>
                <w:sz w:val="20"/>
                <w:szCs w:val="20"/>
              </w:rPr>
              <w:t>、灯珠冷热冲击：-50℃~130℃各15min 200次</w:t>
            </w:r>
          </w:p>
          <w:p w14:paraId="3DDA4616">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14</w:t>
            </w:r>
            <w:r>
              <w:rPr>
                <w:rFonts w:ascii="宋体" w:hAnsi="宋体" w:cs="宋体"/>
                <w:color w:val="auto"/>
                <w:kern w:val="0"/>
                <w:sz w:val="20"/>
                <w:szCs w:val="20"/>
              </w:rPr>
              <w:t xml:space="preserve">、灯珠高温贮存：Ta=100℃ 贮存500H   </w:t>
            </w:r>
          </w:p>
          <w:p w14:paraId="63A7579E">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15</w:t>
            </w:r>
            <w:r>
              <w:rPr>
                <w:rFonts w:ascii="宋体" w:hAnsi="宋体" w:cs="宋体"/>
                <w:color w:val="auto"/>
                <w:kern w:val="0"/>
                <w:sz w:val="20"/>
                <w:szCs w:val="20"/>
              </w:rPr>
              <w:t>、LED模组干扰光符合GB/T 36101-2018标准要求，LED显示屏应具备可随环境照明变化自动调节亮度的功能；LED显示屏应在熄灯时段内控制亮度、色度和画面切换速度</w:t>
            </w:r>
            <w:r>
              <w:rPr>
                <w:rFonts w:hint="eastAsia" w:ascii="宋体" w:hAnsi="宋体" w:cs="宋体"/>
                <w:color w:val="auto"/>
                <w:kern w:val="0"/>
                <w:sz w:val="20"/>
                <w:szCs w:val="20"/>
              </w:rPr>
              <w:t>（竞标时提供国家认可的第三方检测机构出具的检测报告复印件并加盖供应商公章)；</w:t>
            </w:r>
            <w:r>
              <w:rPr>
                <w:rFonts w:ascii="宋体" w:hAnsi="宋体" w:cs="宋体"/>
                <w:color w:val="auto"/>
                <w:kern w:val="0"/>
                <w:sz w:val="20"/>
                <w:szCs w:val="20"/>
              </w:rPr>
              <w:t xml:space="preserve">                                                     </w:t>
            </w:r>
            <w:r>
              <w:rPr>
                <w:rFonts w:hint="eastAsia" w:ascii="宋体" w:hAnsi="宋体" w:cs="宋体"/>
                <w:color w:val="auto"/>
                <w:kern w:val="0"/>
                <w:sz w:val="20"/>
                <w:szCs w:val="20"/>
              </w:rPr>
              <w:t>16</w:t>
            </w:r>
            <w:r>
              <w:rPr>
                <w:rFonts w:ascii="宋体" w:hAnsi="宋体" w:cs="宋体"/>
                <w:color w:val="auto"/>
                <w:kern w:val="0"/>
                <w:sz w:val="20"/>
                <w:szCs w:val="20"/>
              </w:rPr>
              <w:t xml:space="preserve">、显示屏黑屏不点亮时，功耗≤150W/㎡                                                  </w:t>
            </w:r>
          </w:p>
          <w:p w14:paraId="2AE8B632">
            <w:pPr>
              <w:jc w:val="left"/>
              <w:rPr>
                <w:rFonts w:ascii="宋体" w:hAnsi="宋体" w:cs="宋体"/>
                <w:color w:val="auto"/>
                <w:kern w:val="0"/>
                <w:sz w:val="20"/>
                <w:szCs w:val="20"/>
              </w:rPr>
            </w:pPr>
            <w:r>
              <w:rPr>
                <w:rFonts w:hint="eastAsia" w:ascii="宋体" w:hAnsi="宋体" w:cs="宋体"/>
                <w:color w:val="auto"/>
                <w:kern w:val="0"/>
                <w:sz w:val="20"/>
                <w:szCs w:val="20"/>
              </w:rPr>
              <w:t>17</w:t>
            </w:r>
            <w:r>
              <w:rPr>
                <w:rFonts w:ascii="宋体" w:hAnsi="宋体" w:cs="宋体"/>
                <w:color w:val="auto"/>
                <w:kern w:val="0"/>
                <w:sz w:val="20"/>
                <w:szCs w:val="20"/>
              </w:rPr>
              <w:t>、毒性指数R值：≤1,符合BS6853要求</w:t>
            </w:r>
          </w:p>
          <w:p w14:paraId="7CEA48EE">
            <w:pPr>
              <w:jc w:val="left"/>
              <w:rPr>
                <w:rFonts w:ascii="宋体" w:hAnsi="宋体" w:cs="宋体"/>
                <w:color w:val="auto"/>
                <w:kern w:val="0"/>
                <w:sz w:val="20"/>
                <w:szCs w:val="20"/>
              </w:rPr>
            </w:pPr>
            <w:r>
              <w:rPr>
                <w:rFonts w:hint="eastAsia" w:ascii="宋体" w:hAnsi="宋体" w:cs="宋体"/>
                <w:color w:val="auto"/>
                <w:kern w:val="0"/>
                <w:sz w:val="20"/>
                <w:szCs w:val="20"/>
              </w:rPr>
              <w:t>18</w:t>
            </w:r>
            <w:r>
              <w:rPr>
                <w:rFonts w:ascii="宋体" w:hAnsi="宋体" w:cs="宋体"/>
                <w:color w:val="auto"/>
                <w:kern w:val="0"/>
                <w:sz w:val="20"/>
                <w:szCs w:val="20"/>
              </w:rPr>
              <w:t>、产品符合TIRT-GK-JS-55-2020视觉健康认证</w:t>
            </w:r>
          </w:p>
          <w:p w14:paraId="652BD2D0">
            <w:pPr>
              <w:jc w:val="left"/>
              <w:rPr>
                <w:rFonts w:ascii="宋体" w:hAnsi="宋体" w:cs="宋体"/>
                <w:color w:val="auto"/>
                <w:kern w:val="0"/>
                <w:sz w:val="20"/>
                <w:szCs w:val="20"/>
              </w:rPr>
            </w:pPr>
            <w:r>
              <w:rPr>
                <w:rFonts w:hint="eastAsia" w:ascii="宋体" w:hAnsi="宋体" w:cs="宋体"/>
                <w:color w:val="auto"/>
                <w:sz w:val="20"/>
                <w:szCs w:val="20"/>
              </w:rPr>
              <w:t>▲</w:t>
            </w:r>
            <w:r>
              <w:rPr>
                <w:rFonts w:hint="eastAsia" w:ascii="宋体" w:hAnsi="宋体" w:cs="宋体"/>
                <w:color w:val="auto"/>
                <w:kern w:val="0"/>
                <w:sz w:val="20"/>
                <w:szCs w:val="20"/>
              </w:rPr>
              <w:t>19</w:t>
            </w:r>
            <w:r>
              <w:rPr>
                <w:rFonts w:ascii="宋体" w:hAnsi="宋体" w:cs="宋体"/>
                <w:color w:val="auto"/>
                <w:kern w:val="0"/>
                <w:sz w:val="20"/>
                <w:szCs w:val="20"/>
              </w:rPr>
              <w:t>、谐波电流应能符合GB 17625.1-2022中A类设备的限值要求</w:t>
            </w:r>
            <w:r>
              <w:rPr>
                <w:rFonts w:hint="eastAsia" w:ascii="宋体" w:hAnsi="宋体" w:cs="宋体"/>
                <w:color w:val="auto"/>
                <w:kern w:val="0"/>
                <w:sz w:val="20"/>
                <w:szCs w:val="20"/>
              </w:rPr>
              <w:t>（竞标时提供国家认可的第三方检测机构出具的检测报告复印件并加盖供应商公章)；</w:t>
            </w:r>
          </w:p>
          <w:p w14:paraId="6F4D3F17">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二、</w:t>
            </w:r>
            <w:r>
              <w:rPr>
                <w:rFonts w:ascii="宋体" w:hAnsi="宋体" w:cs="宋体"/>
                <w:color w:val="auto"/>
                <w:kern w:val="0"/>
                <w:sz w:val="20"/>
                <w:szCs w:val="20"/>
              </w:rPr>
              <w:t>视频处理器：</w:t>
            </w:r>
          </w:p>
          <w:p w14:paraId="1F89238E">
            <w:pPr>
              <w:jc w:val="left"/>
              <w:rPr>
                <w:rFonts w:ascii="宋体" w:hAnsi="宋体" w:cs="宋体"/>
                <w:color w:val="auto"/>
                <w:kern w:val="0"/>
                <w:sz w:val="20"/>
                <w:szCs w:val="20"/>
              </w:rPr>
            </w:pPr>
            <w:r>
              <w:rPr>
                <w:rFonts w:ascii="宋体" w:hAnsi="宋体" w:cs="宋体"/>
                <w:color w:val="auto"/>
                <w:kern w:val="0"/>
                <w:sz w:val="20"/>
                <w:szCs w:val="20"/>
              </w:rPr>
              <w:t>1、外壳防护等级符合GB/T4208-2017中IP20的要求；采用纯硬件 FPGA 架构设计、运行稳定、可靠、高效。</w:t>
            </w:r>
          </w:p>
          <w:p w14:paraId="164BB954">
            <w:pPr>
              <w:jc w:val="left"/>
              <w:rPr>
                <w:rFonts w:ascii="宋体" w:hAnsi="宋体" w:cs="宋体"/>
                <w:color w:val="auto"/>
                <w:kern w:val="0"/>
                <w:sz w:val="20"/>
                <w:szCs w:val="20"/>
              </w:rPr>
            </w:pPr>
            <w:r>
              <w:rPr>
                <w:rFonts w:ascii="宋体" w:hAnsi="宋体" w:cs="宋体"/>
                <w:color w:val="auto"/>
                <w:kern w:val="0"/>
                <w:sz w:val="20"/>
                <w:szCs w:val="20"/>
              </w:rPr>
              <w:t>2、样机正常工作时，噪声不大于35dB(A)(距离样机1m处)。</w:t>
            </w:r>
          </w:p>
          <w:p w14:paraId="2705E709">
            <w:pPr>
              <w:jc w:val="left"/>
              <w:rPr>
                <w:rFonts w:ascii="宋体" w:hAnsi="宋体" w:cs="宋体"/>
                <w:color w:val="auto"/>
                <w:kern w:val="0"/>
                <w:sz w:val="20"/>
                <w:szCs w:val="20"/>
              </w:rPr>
            </w:pPr>
            <w:r>
              <w:rPr>
                <w:rFonts w:ascii="宋体" w:hAnsi="宋体" w:cs="宋体"/>
                <w:color w:val="auto"/>
                <w:kern w:val="0"/>
                <w:sz w:val="20"/>
                <w:szCs w:val="20"/>
              </w:rPr>
              <w:t>3、输入包括1路HDMI2.0+LOOP,2路HDMI1.3,1路USB3.0,支持选配1路3G-SDI(IN+LOOP)</w:t>
            </w:r>
          </w:p>
          <w:p w14:paraId="6E0D32C4">
            <w:pPr>
              <w:jc w:val="left"/>
              <w:rPr>
                <w:rFonts w:ascii="宋体" w:hAnsi="宋体" w:cs="宋体"/>
                <w:color w:val="auto"/>
                <w:kern w:val="0"/>
                <w:sz w:val="20"/>
                <w:szCs w:val="20"/>
              </w:rPr>
            </w:pPr>
            <w:r>
              <w:rPr>
                <w:rFonts w:ascii="宋体" w:hAnsi="宋体" w:cs="宋体"/>
                <w:color w:val="auto"/>
                <w:kern w:val="0"/>
                <w:sz w:val="20"/>
                <w:szCs w:val="20"/>
              </w:rPr>
              <w:t>4、HDMI,DP接口支持输入分辨率自定义调节，最大可支持4096*2160@60信号输入，并向下兼容。</w:t>
            </w:r>
          </w:p>
          <w:p w14:paraId="23E43DFD">
            <w:pPr>
              <w:jc w:val="left"/>
              <w:rPr>
                <w:rFonts w:ascii="宋体" w:hAnsi="宋体" w:cs="宋体"/>
                <w:color w:val="auto"/>
                <w:kern w:val="0"/>
                <w:sz w:val="20"/>
                <w:szCs w:val="20"/>
              </w:rPr>
            </w:pPr>
            <w:r>
              <w:rPr>
                <w:rFonts w:ascii="宋体" w:hAnsi="宋体" w:cs="宋体"/>
                <w:color w:val="auto"/>
                <w:kern w:val="0"/>
                <w:sz w:val="20"/>
                <w:szCs w:val="20"/>
              </w:rPr>
              <w:t>5、视频输出支持6个千兆网口输出，1路10G-OPT光口，最大带载高达390万像素，最宽支持10240,最高8192。</w:t>
            </w:r>
          </w:p>
          <w:p w14:paraId="14FACBF4">
            <w:pPr>
              <w:jc w:val="left"/>
              <w:rPr>
                <w:rFonts w:ascii="宋体" w:hAnsi="宋体" w:cs="宋体"/>
                <w:color w:val="auto"/>
                <w:kern w:val="0"/>
                <w:sz w:val="20"/>
                <w:szCs w:val="20"/>
              </w:rPr>
            </w:pPr>
            <w:r>
              <w:rPr>
                <w:rFonts w:ascii="宋体" w:hAnsi="宋体" w:cs="宋体"/>
                <w:color w:val="auto"/>
                <w:kern w:val="0"/>
                <w:sz w:val="20"/>
                <w:szCs w:val="20"/>
              </w:rPr>
              <w:t>6、支持三种画面缩放模式，包括点对点模式、全屏缩放、自定义缩放，搭载SuperView Ⅲ画质处理技术，支持输出画面无级缩放。</w:t>
            </w:r>
          </w:p>
          <w:p w14:paraId="3F6F4589">
            <w:pPr>
              <w:jc w:val="left"/>
              <w:rPr>
                <w:rFonts w:ascii="宋体" w:hAnsi="宋体" w:cs="宋体"/>
                <w:color w:val="auto"/>
                <w:kern w:val="0"/>
                <w:sz w:val="20"/>
                <w:szCs w:val="20"/>
              </w:rPr>
            </w:pPr>
            <w:r>
              <w:rPr>
                <w:rFonts w:ascii="宋体" w:hAnsi="宋体" w:cs="宋体"/>
                <w:color w:val="auto"/>
                <w:kern w:val="0"/>
                <w:sz w:val="20"/>
                <w:szCs w:val="20"/>
              </w:rPr>
              <w:t>7、支持输入源自定义截取，可对任意输入源进行自定义截取，有效消除因源比例不匹配出现的过渡拉伸和黑边现象</w:t>
            </w:r>
          </w:p>
          <w:p w14:paraId="3CAA3735">
            <w:pPr>
              <w:jc w:val="left"/>
              <w:rPr>
                <w:rFonts w:ascii="宋体" w:hAnsi="宋体" w:cs="宋体"/>
                <w:color w:val="auto"/>
                <w:kern w:val="0"/>
                <w:sz w:val="20"/>
                <w:szCs w:val="20"/>
              </w:rPr>
            </w:pPr>
            <w:r>
              <w:rPr>
                <w:rFonts w:ascii="宋体" w:hAnsi="宋体" w:cs="宋体"/>
                <w:color w:val="auto"/>
                <w:kern w:val="0"/>
                <w:sz w:val="20"/>
                <w:szCs w:val="20"/>
              </w:rPr>
              <w:t>8、最大支持144HZ高帧率输入输出，输出支持插帧、抽帧、倍频(2倍频、3倍频、4倍频)功能，可将30HZ信号，倍频至120HZ输出</w:t>
            </w:r>
          </w:p>
          <w:p w14:paraId="26BCEEF8">
            <w:pPr>
              <w:jc w:val="left"/>
              <w:rPr>
                <w:rFonts w:ascii="宋体" w:hAnsi="宋体" w:cs="宋体"/>
                <w:color w:val="auto"/>
                <w:kern w:val="0"/>
                <w:sz w:val="20"/>
                <w:szCs w:val="20"/>
              </w:rPr>
            </w:pPr>
            <w:r>
              <w:rPr>
                <w:rFonts w:ascii="宋体" w:hAnsi="宋体" w:cs="宋体"/>
                <w:color w:val="auto"/>
                <w:kern w:val="0"/>
                <w:sz w:val="20"/>
                <w:szCs w:val="20"/>
              </w:rPr>
              <w:t>9、最大可支持6个2K图层或1个4K图层+2个2K图层，全部图层大小和位置可单独调节。4K接口输入2K图层，按2K图层计算图层资源</w:t>
            </w:r>
          </w:p>
          <w:p w14:paraId="31D706D4">
            <w:pPr>
              <w:jc w:val="left"/>
              <w:rPr>
                <w:rFonts w:ascii="宋体" w:hAnsi="宋体" w:cs="宋体"/>
                <w:color w:val="auto"/>
                <w:kern w:val="0"/>
                <w:sz w:val="20"/>
                <w:szCs w:val="20"/>
              </w:rPr>
            </w:pPr>
            <w:r>
              <w:rPr>
                <w:rFonts w:ascii="宋体" w:hAnsi="宋体" w:cs="宋体"/>
                <w:color w:val="auto"/>
                <w:kern w:val="0"/>
                <w:sz w:val="20"/>
                <w:szCs w:val="20"/>
              </w:rPr>
              <w:t>10、开机后自动检测客户端未使用时长，智能匹配相应时间的除湿模式，让显示屏亮度逐步提升，无需人工定期手动维护，除湿功能开启后可手动关闭。</w:t>
            </w:r>
          </w:p>
          <w:p w14:paraId="41E5D7FA">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11、支持智能遥控，可通过蓝牙遥控器对控制器进行快捷控制，遥控距离不小于10米</w:t>
            </w:r>
          </w:p>
          <w:p w14:paraId="6ADAE41D">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12、支持微信小程序快捷控制，包括亮度调节、输出画质调节、待机模式、画面冻结、场景切换、U盘播放等功能</w:t>
            </w:r>
          </w:p>
          <w:p w14:paraId="0F933484">
            <w:pPr>
              <w:jc w:val="left"/>
              <w:rPr>
                <w:rFonts w:ascii="宋体" w:hAnsi="宋体" w:cs="宋体"/>
                <w:color w:val="auto"/>
                <w:kern w:val="0"/>
                <w:sz w:val="20"/>
                <w:szCs w:val="20"/>
              </w:rPr>
            </w:pPr>
            <w:r>
              <w:rPr>
                <w:rFonts w:ascii="宋体" w:hAnsi="宋体" w:cs="宋体"/>
                <w:color w:val="auto"/>
                <w:kern w:val="0"/>
                <w:sz w:val="20"/>
                <w:szCs w:val="20"/>
              </w:rPr>
              <w:t>13、支持设备运行日志，操作日志实时记录，日志可通过软件导出，方便异常定位</w:t>
            </w:r>
          </w:p>
          <w:p w14:paraId="69DFF2D0">
            <w:pPr>
              <w:jc w:val="left"/>
              <w:rPr>
                <w:rFonts w:ascii="宋体" w:hAnsi="宋体" w:cs="宋体"/>
                <w:color w:val="auto"/>
                <w:kern w:val="0"/>
                <w:sz w:val="20"/>
                <w:szCs w:val="20"/>
              </w:rPr>
            </w:pPr>
            <w:r>
              <w:rPr>
                <w:rFonts w:ascii="宋体" w:hAnsi="宋体" w:cs="宋体"/>
                <w:color w:val="auto"/>
                <w:kern w:val="0"/>
                <w:sz w:val="20"/>
                <w:szCs w:val="20"/>
              </w:rPr>
              <w:t>14、单网线极限带载不受限于矩形带载，支持任意走线，带载根据实际带载点数计算，最大化提高网口利用率。</w:t>
            </w:r>
          </w:p>
          <w:p w14:paraId="56071B19">
            <w:pPr>
              <w:jc w:val="left"/>
              <w:rPr>
                <w:rFonts w:ascii="宋体" w:hAnsi="宋体" w:cs="宋体"/>
                <w:color w:val="auto"/>
                <w:kern w:val="0"/>
                <w:sz w:val="20"/>
                <w:szCs w:val="20"/>
              </w:rPr>
            </w:pPr>
            <w:r>
              <w:rPr>
                <w:rFonts w:ascii="宋体" w:hAnsi="宋体" w:cs="宋体"/>
                <w:color w:val="auto"/>
                <w:kern w:val="0"/>
                <w:sz w:val="20"/>
                <w:szCs w:val="20"/>
              </w:rPr>
              <w:t>15、支持低功耗模式，设备自动断开输出，有效减少大屏整体功耗</w:t>
            </w:r>
          </w:p>
          <w:p w14:paraId="663B7A8A">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16、MTBF≥150000小时，MTTR平均修复小于10分钟可用度大于99%，整机寿命不小于150000小时。产品稳定性高、性能卓越、纯硬件结构，上电即可正常工作，无需做任何其它设置。</w:t>
            </w:r>
            <w:r>
              <w:rPr>
                <w:rFonts w:hint="eastAsia" w:ascii="宋体" w:hAnsi="宋体" w:cs="宋体"/>
                <w:color w:val="auto"/>
                <w:kern w:val="0"/>
                <w:sz w:val="20"/>
                <w:szCs w:val="20"/>
              </w:rPr>
              <w:t>（竞标时提供国家认可的第三方检测机构出具的检测报告复印件并加盖供应商公章)；</w:t>
            </w:r>
          </w:p>
          <w:p w14:paraId="050A6087">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17、支持控制设备白名单，可通过MAC地址限制控制设备，非白名单内设备无法控制设备，不允许对设备进行操作</w:t>
            </w:r>
            <w:r>
              <w:rPr>
                <w:rFonts w:hint="eastAsia" w:ascii="宋体" w:hAnsi="宋体" w:cs="宋体"/>
                <w:color w:val="auto"/>
                <w:kern w:val="0"/>
                <w:sz w:val="20"/>
                <w:szCs w:val="20"/>
              </w:rPr>
              <w:t>（竞标时提供国家认可的第三方检测机构出具的检测报告复印件并加盖供应商公章)；</w:t>
            </w:r>
          </w:p>
          <w:p w14:paraId="4FAB0D39">
            <w:pPr>
              <w:jc w:val="left"/>
              <w:rPr>
                <w:rFonts w:ascii="宋体" w:hAnsi="宋体" w:cs="宋体"/>
                <w:strike/>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18、为保证系统稳定性，视频处理器控制系统可以冗余热备份</w:t>
            </w:r>
          </w:p>
          <w:p w14:paraId="51FB76F2">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19、设备支持逐点亮色度校正技术，校正过程快速高效</w:t>
            </w:r>
          </w:p>
          <w:p w14:paraId="624D2EDF">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三、</w:t>
            </w:r>
            <w:r>
              <w:rPr>
                <w:rFonts w:hint="eastAsia" w:ascii="宋体" w:hAnsi="宋体" w:cs="宋体"/>
                <w:color w:val="auto"/>
                <w:kern w:val="0"/>
                <w:sz w:val="20"/>
                <w:szCs w:val="20"/>
              </w:rPr>
              <w:t>智能安全控电柜</w:t>
            </w:r>
          </w:p>
          <w:p w14:paraId="350F3912">
            <w:pPr>
              <w:jc w:val="left"/>
              <w:rPr>
                <w:rFonts w:ascii="宋体" w:hAnsi="宋体" w:cs="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w:t>
            </w:r>
            <w:r>
              <w:rPr>
                <w:rFonts w:ascii="宋体" w:hAnsi="宋体" w:cs="宋体"/>
                <w:color w:val="auto"/>
                <w:kern w:val="0"/>
                <w:sz w:val="20"/>
                <w:szCs w:val="20"/>
              </w:rPr>
              <w:t>设备功率：≥16KW。</w:t>
            </w:r>
          </w:p>
          <w:p w14:paraId="310F2ABE">
            <w:pPr>
              <w:jc w:val="left"/>
              <w:rPr>
                <w:rFonts w:ascii="宋体" w:hAnsi="宋体" w:cs="宋体"/>
                <w:color w:val="auto"/>
                <w:kern w:val="0"/>
                <w:sz w:val="20"/>
                <w:szCs w:val="20"/>
              </w:rPr>
            </w:pPr>
            <w:r>
              <w:rPr>
                <w:rFonts w:ascii="宋体" w:hAnsi="宋体" w:cs="宋体"/>
                <w:color w:val="auto"/>
                <w:kern w:val="0"/>
                <w:sz w:val="20"/>
                <w:szCs w:val="20"/>
              </w:rPr>
              <w:t>2</w:t>
            </w:r>
            <w:r>
              <w:rPr>
                <w:rFonts w:hint="eastAsia" w:ascii="宋体" w:hAnsi="宋体" w:cs="宋体"/>
                <w:color w:val="auto"/>
                <w:kern w:val="0"/>
                <w:sz w:val="20"/>
                <w:szCs w:val="20"/>
              </w:rPr>
              <w:t>、</w:t>
            </w:r>
            <w:r>
              <w:rPr>
                <w:rFonts w:ascii="宋体" w:hAnsi="宋体" w:cs="宋体"/>
                <w:color w:val="auto"/>
                <w:kern w:val="0"/>
                <w:sz w:val="20"/>
                <w:szCs w:val="20"/>
              </w:rPr>
              <w:t>设备具有丰富的接口，USB*1、LAN*1、WANT*1、4ANT*1、S-12V*1、SD：1、TH*1 、CAN*1、TPD*1、HL-M*1、HL-S*1、DL-S*1、SB-RST*1、485*1、输入12V*1、CDI*1。</w:t>
            </w:r>
          </w:p>
          <w:p w14:paraId="5A3C0B8C">
            <w:pPr>
              <w:jc w:val="left"/>
              <w:rPr>
                <w:rFonts w:ascii="宋体" w:hAnsi="宋体" w:cs="宋体"/>
                <w:color w:val="auto"/>
                <w:kern w:val="0"/>
                <w:sz w:val="20"/>
                <w:szCs w:val="20"/>
              </w:rPr>
            </w:pPr>
            <w:r>
              <w:rPr>
                <w:rFonts w:ascii="宋体" w:hAnsi="宋体" w:cs="宋体"/>
                <w:color w:val="auto"/>
                <w:kern w:val="0"/>
                <w:sz w:val="20"/>
                <w:szCs w:val="20"/>
              </w:rPr>
              <w:t>3</w:t>
            </w:r>
            <w:r>
              <w:rPr>
                <w:rFonts w:hint="eastAsia" w:ascii="宋体" w:hAnsi="宋体" w:cs="宋体"/>
                <w:color w:val="auto"/>
                <w:kern w:val="0"/>
                <w:sz w:val="20"/>
                <w:szCs w:val="20"/>
              </w:rPr>
              <w:t>、</w:t>
            </w:r>
            <w:r>
              <w:rPr>
                <w:rFonts w:ascii="宋体" w:hAnsi="宋体" w:cs="宋体"/>
                <w:color w:val="auto"/>
                <w:kern w:val="0"/>
                <w:sz w:val="20"/>
                <w:szCs w:val="20"/>
              </w:rPr>
              <w:t>设备面板自带触控液晶显示屏可查看设备电压﹑电流﹑使用电量﹑设备号﹑IP地址﹑WLAN账号﹑温度﹑湿度、运行情况等，显示屏还可显示使用单位名称及财产编号/项目编号。</w:t>
            </w:r>
          </w:p>
          <w:p w14:paraId="1B70560F">
            <w:pPr>
              <w:jc w:val="left"/>
              <w:rPr>
                <w:rFonts w:ascii="宋体" w:hAnsi="宋体" w:cs="宋体"/>
                <w:color w:val="auto"/>
                <w:kern w:val="0"/>
                <w:sz w:val="20"/>
                <w:szCs w:val="20"/>
              </w:rPr>
            </w:pPr>
            <w:r>
              <w:rPr>
                <w:rFonts w:ascii="宋体" w:hAnsi="宋体" w:cs="宋体"/>
                <w:color w:val="auto"/>
                <w:kern w:val="0"/>
                <w:sz w:val="20"/>
                <w:szCs w:val="20"/>
              </w:rPr>
              <w:t>4</w:t>
            </w:r>
            <w:r>
              <w:rPr>
                <w:rFonts w:hint="eastAsia" w:ascii="宋体" w:hAnsi="宋体" w:cs="宋体"/>
                <w:color w:val="auto"/>
                <w:kern w:val="0"/>
                <w:sz w:val="20"/>
                <w:szCs w:val="20"/>
              </w:rPr>
              <w:t>、</w:t>
            </w:r>
            <w:r>
              <w:rPr>
                <w:rFonts w:ascii="宋体" w:hAnsi="宋体" w:cs="宋体"/>
                <w:color w:val="auto"/>
                <w:kern w:val="0"/>
                <w:sz w:val="20"/>
                <w:szCs w:val="20"/>
              </w:rPr>
              <w:t>支持局域网电脑控制（RJ45）、中控iPad控制（485）、无线遥控（2.4GHz）、WLAN移动端软件控制、86盒触控面板控制、4G无线控制可选。</w:t>
            </w:r>
          </w:p>
          <w:p w14:paraId="4EF4BC9B">
            <w:pPr>
              <w:jc w:val="left"/>
              <w:rPr>
                <w:rFonts w:ascii="宋体" w:hAnsi="宋体" w:cs="宋体"/>
                <w:color w:val="auto"/>
                <w:kern w:val="0"/>
                <w:sz w:val="20"/>
                <w:szCs w:val="20"/>
              </w:rPr>
            </w:pPr>
            <w:r>
              <w:rPr>
                <w:rFonts w:ascii="宋体" w:hAnsi="宋体" w:cs="宋体"/>
                <w:color w:val="auto"/>
                <w:kern w:val="0"/>
                <w:sz w:val="20"/>
                <w:szCs w:val="20"/>
              </w:rPr>
              <w:t>5</w:t>
            </w:r>
            <w:r>
              <w:rPr>
                <w:rFonts w:hint="eastAsia" w:ascii="宋体" w:hAnsi="宋体" w:cs="宋体"/>
                <w:color w:val="auto"/>
                <w:kern w:val="0"/>
                <w:sz w:val="20"/>
                <w:szCs w:val="20"/>
              </w:rPr>
              <w:t>、</w:t>
            </w:r>
            <w:r>
              <w:rPr>
                <w:rFonts w:ascii="宋体" w:hAnsi="宋体" w:cs="宋体"/>
                <w:color w:val="auto"/>
                <w:kern w:val="0"/>
                <w:sz w:val="20"/>
                <w:szCs w:val="20"/>
              </w:rPr>
              <w:t>支持PC端局域网远程设置时间，可设置500个以上启动时间及关闭时间；支持手机小程序或APP端远程进行时间设置，可设置启动时间及关闭时间，在时间启动范围内，温度启动将可设置如0℃-60℃启动第1路-8路可选，可设置多个温度启动。</w:t>
            </w:r>
          </w:p>
          <w:p w14:paraId="3682F5E4">
            <w:pPr>
              <w:jc w:val="left"/>
              <w:rPr>
                <w:rFonts w:ascii="宋体" w:hAnsi="宋体" w:cs="宋体"/>
                <w:color w:val="auto"/>
                <w:kern w:val="0"/>
                <w:sz w:val="20"/>
                <w:szCs w:val="20"/>
              </w:rPr>
            </w:pPr>
            <w:r>
              <w:rPr>
                <w:rFonts w:ascii="宋体" w:hAnsi="宋体" w:cs="宋体"/>
                <w:color w:val="auto"/>
                <w:kern w:val="0"/>
                <w:sz w:val="20"/>
                <w:szCs w:val="20"/>
              </w:rPr>
              <w:t>6</w:t>
            </w:r>
            <w:r>
              <w:rPr>
                <w:rFonts w:hint="eastAsia" w:ascii="宋体" w:hAnsi="宋体" w:cs="宋体"/>
                <w:color w:val="auto"/>
                <w:kern w:val="0"/>
                <w:sz w:val="20"/>
                <w:szCs w:val="20"/>
              </w:rPr>
              <w:t>、</w:t>
            </w:r>
            <w:r>
              <w:rPr>
                <w:rFonts w:ascii="宋体" w:hAnsi="宋体" w:cs="宋体"/>
                <w:color w:val="auto"/>
                <w:kern w:val="0"/>
                <w:sz w:val="20"/>
                <w:szCs w:val="20"/>
              </w:rPr>
              <w:t>遥控器配备实时动态显示设备开关状态、操作指令执行结果。按键支持视觉提示（如按开启时遥控器指示灯亮起、无效指令则无反应），无需频繁往返现场或查看终端设备，操作状态通过指示灯实时可视化反馈，显著提升人机交互效率与可靠性。</w:t>
            </w:r>
          </w:p>
          <w:p w14:paraId="02D99AC6">
            <w:pPr>
              <w:jc w:val="left"/>
              <w:rPr>
                <w:rFonts w:ascii="宋体" w:hAnsi="宋体" w:cs="宋体"/>
                <w:color w:val="auto"/>
                <w:kern w:val="0"/>
                <w:sz w:val="20"/>
                <w:szCs w:val="20"/>
              </w:rPr>
            </w:pPr>
            <w:r>
              <w:rPr>
                <w:rFonts w:ascii="宋体" w:hAnsi="宋体" w:cs="宋体"/>
                <w:color w:val="auto"/>
                <w:kern w:val="0"/>
                <w:sz w:val="20"/>
                <w:szCs w:val="20"/>
              </w:rPr>
              <w:t>7</w:t>
            </w:r>
            <w:r>
              <w:rPr>
                <w:rFonts w:hint="eastAsia" w:ascii="宋体" w:hAnsi="宋体" w:cs="宋体"/>
                <w:color w:val="auto"/>
                <w:kern w:val="0"/>
                <w:sz w:val="20"/>
                <w:szCs w:val="20"/>
              </w:rPr>
              <w:t>、</w:t>
            </w:r>
            <w:r>
              <w:rPr>
                <w:rFonts w:ascii="宋体" w:hAnsi="宋体" w:cs="宋体"/>
                <w:color w:val="auto"/>
                <w:kern w:val="0"/>
                <w:sz w:val="20"/>
                <w:szCs w:val="20"/>
              </w:rPr>
              <w:t>按一下强制启动、按一下强制关闭、长按3秒启用智能模式。</w:t>
            </w:r>
          </w:p>
          <w:p w14:paraId="21813D59">
            <w:pPr>
              <w:jc w:val="left"/>
              <w:rPr>
                <w:rFonts w:hint="eastAsia" w:ascii="宋体" w:hAnsi="宋体" w:eastAsia="宋体" w:cs="宋体"/>
                <w:color w:val="auto"/>
                <w:kern w:val="0"/>
                <w:sz w:val="20"/>
                <w:szCs w:val="20"/>
                <w:lang w:eastAsia="zh-CN"/>
              </w:rPr>
            </w:pPr>
            <w:r>
              <w:rPr>
                <w:rFonts w:hint="eastAsia" w:ascii="宋体" w:hAnsi="宋体" w:cs="宋体"/>
                <w:color w:val="auto"/>
                <w:sz w:val="20"/>
                <w:szCs w:val="20"/>
              </w:rPr>
              <w:t>▲</w:t>
            </w:r>
            <w:r>
              <w:rPr>
                <w:rFonts w:ascii="宋体" w:hAnsi="宋体" w:cs="宋体"/>
                <w:color w:val="auto"/>
                <w:kern w:val="0"/>
                <w:sz w:val="20"/>
                <w:szCs w:val="20"/>
              </w:rPr>
              <w:t>8</w:t>
            </w:r>
            <w:r>
              <w:rPr>
                <w:rFonts w:hint="eastAsia" w:ascii="宋体" w:hAnsi="宋体" w:cs="宋体"/>
                <w:color w:val="auto"/>
                <w:kern w:val="0"/>
                <w:sz w:val="20"/>
                <w:szCs w:val="20"/>
              </w:rPr>
              <w:t>、</w:t>
            </w:r>
            <w:r>
              <w:rPr>
                <w:rFonts w:ascii="宋体" w:hAnsi="宋体" w:cs="宋体"/>
                <w:color w:val="auto"/>
                <w:kern w:val="0"/>
                <w:sz w:val="20"/>
                <w:szCs w:val="20"/>
              </w:rPr>
              <w:t>气溶胶灭火装置采用热启动设计，其内置的感温元件在接触明火或环境温度升至阈值时，会通过熔断或直接引燃的方式启动触发机制，进而引发装置内部的化学反应，迅速释放灭火气溶胶以扑灭火源。</w:t>
            </w:r>
            <w:r>
              <w:rPr>
                <w:rFonts w:hint="eastAsia" w:ascii="宋体" w:hAnsi="宋体" w:cs="宋体"/>
                <w:color w:val="auto"/>
                <w:kern w:val="0"/>
                <w:sz w:val="20"/>
                <w:szCs w:val="20"/>
                <w:lang w:eastAsia="zh-CN"/>
              </w:rPr>
              <w:t>（竞标时提供国家认可的第三方检测机构出具的检测报告复印件并加盖供应商公章)；</w:t>
            </w:r>
          </w:p>
          <w:p w14:paraId="42245C1F">
            <w:pPr>
              <w:jc w:val="left"/>
              <w:rPr>
                <w:rFonts w:hint="eastAsia" w:ascii="宋体" w:hAnsi="宋体" w:eastAsia="宋体" w:cs="宋体"/>
                <w:color w:val="auto"/>
                <w:kern w:val="0"/>
                <w:sz w:val="20"/>
                <w:szCs w:val="20"/>
                <w:lang w:eastAsia="zh-CN"/>
              </w:rPr>
            </w:pPr>
            <w:r>
              <w:rPr>
                <w:rFonts w:hint="eastAsia" w:ascii="宋体" w:hAnsi="宋体" w:cs="宋体"/>
                <w:color w:val="auto"/>
                <w:sz w:val="20"/>
                <w:szCs w:val="20"/>
              </w:rPr>
              <w:t>▲</w:t>
            </w:r>
            <w:r>
              <w:rPr>
                <w:rFonts w:ascii="宋体" w:hAnsi="宋体" w:cs="宋体"/>
                <w:color w:val="auto"/>
                <w:kern w:val="0"/>
                <w:sz w:val="20"/>
                <w:szCs w:val="20"/>
              </w:rPr>
              <w:t>9</w:t>
            </w:r>
            <w:r>
              <w:rPr>
                <w:rFonts w:hint="eastAsia" w:ascii="宋体" w:hAnsi="宋体" w:cs="宋体"/>
                <w:color w:val="auto"/>
                <w:kern w:val="0"/>
                <w:sz w:val="20"/>
                <w:szCs w:val="20"/>
              </w:rPr>
              <w:t>、</w:t>
            </w:r>
            <w:r>
              <w:rPr>
                <w:rFonts w:ascii="宋体" w:hAnsi="宋体" w:cs="宋体"/>
                <w:color w:val="auto"/>
                <w:kern w:val="0"/>
                <w:sz w:val="20"/>
                <w:szCs w:val="20"/>
              </w:rPr>
              <w:t>设备具有无电密码锁，无电密码锁采用无源设计，无需外接电源或内置电池，避免了因电池电量耗尽而导致无法开锁的情况，同时也减少了电池维护成本和环境污染。开锁时由外部设备（如电子钥匙）反向供电，供电电压为3.7V-4.2VDC，开锁电流≤50mA。操作记录反馈：可向配套的电子钥匙反馈操作记录，记录包括开锁时间、开锁方式等信息，方便管理人员对电箱的开启情况进行追溯和管理，及时掌握电箱的使用动态。每把锁具拥有64位编码锁ID标识，具有唯一性，便于管理和识别。同时，配备16位通讯密码区别不同片区锁，有效防止串开现象，提高锁具的安全性。</w:t>
            </w:r>
            <w:r>
              <w:rPr>
                <w:rFonts w:hint="eastAsia" w:ascii="宋体" w:hAnsi="宋体" w:cs="宋体"/>
                <w:color w:val="auto"/>
                <w:kern w:val="0"/>
                <w:sz w:val="20"/>
                <w:szCs w:val="20"/>
                <w:lang w:eastAsia="zh-CN"/>
              </w:rPr>
              <w:t>（竞标时提供国家认可的第三方检测机构出具的检测报告复印件并加盖供应商公章)；</w:t>
            </w:r>
          </w:p>
          <w:p w14:paraId="6F3185A6">
            <w:pPr>
              <w:jc w:val="left"/>
              <w:rPr>
                <w:rFonts w:hint="eastAsia" w:ascii="宋体" w:hAnsi="宋体" w:eastAsia="宋体" w:cs="宋体"/>
                <w:color w:val="auto"/>
                <w:kern w:val="0"/>
                <w:sz w:val="20"/>
                <w:szCs w:val="20"/>
                <w:lang w:eastAsia="zh-CN"/>
              </w:rPr>
            </w:pPr>
            <w:r>
              <w:rPr>
                <w:rFonts w:hint="eastAsia" w:ascii="宋体" w:hAnsi="宋体" w:cs="宋体"/>
                <w:color w:val="auto"/>
                <w:sz w:val="20"/>
                <w:szCs w:val="20"/>
              </w:rPr>
              <w:t>▲</w:t>
            </w:r>
            <w:r>
              <w:rPr>
                <w:rFonts w:ascii="宋体" w:hAnsi="宋体" w:cs="宋体"/>
                <w:color w:val="auto"/>
                <w:kern w:val="0"/>
                <w:sz w:val="20"/>
                <w:szCs w:val="20"/>
              </w:rPr>
              <w:t>10</w:t>
            </w:r>
            <w:r>
              <w:rPr>
                <w:rFonts w:hint="eastAsia" w:ascii="宋体" w:hAnsi="宋体" w:cs="宋体"/>
                <w:color w:val="auto"/>
                <w:kern w:val="0"/>
                <w:sz w:val="20"/>
                <w:szCs w:val="20"/>
              </w:rPr>
              <w:t>、</w:t>
            </w:r>
            <w:r>
              <w:rPr>
                <w:rFonts w:ascii="宋体" w:hAnsi="宋体" w:cs="宋体"/>
                <w:color w:val="auto"/>
                <w:kern w:val="0"/>
                <w:sz w:val="20"/>
                <w:szCs w:val="20"/>
              </w:rPr>
              <w:t>支持与AI视频安全过滤系统联动，当LED显示屏播放违规视频或文字持续1-10秒（时长可配置）时，系统将触发显示屏主电源配电柜自动关闭；同时可同步触发扩展配电柜的关闭指令，实现主配电系统与子配电系统的协同联动关停。</w:t>
            </w:r>
            <w:r>
              <w:rPr>
                <w:rFonts w:hint="eastAsia" w:ascii="宋体" w:hAnsi="宋体" w:cs="宋体"/>
                <w:color w:val="auto"/>
                <w:kern w:val="0"/>
                <w:sz w:val="20"/>
                <w:szCs w:val="20"/>
                <w:lang w:eastAsia="zh-CN"/>
              </w:rPr>
              <w:t>（竞标时提供国家认可的第三方检测机构出具的检测报告复印件并加盖供应商公章)；</w:t>
            </w:r>
          </w:p>
          <w:p w14:paraId="5AE0CC72">
            <w:pPr>
              <w:jc w:val="left"/>
              <w:rPr>
                <w:rFonts w:hint="eastAsia" w:ascii="宋体" w:hAnsi="宋体" w:eastAsia="宋体" w:cs="宋体"/>
                <w:color w:val="auto"/>
                <w:kern w:val="0"/>
                <w:sz w:val="20"/>
                <w:szCs w:val="20"/>
                <w:lang w:eastAsia="zh-CN"/>
              </w:rPr>
            </w:pPr>
            <w:r>
              <w:rPr>
                <w:rFonts w:hint="eastAsia" w:ascii="宋体" w:hAnsi="宋体" w:cs="宋体"/>
                <w:color w:val="auto"/>
                <w:sz w:val="20"/>
                <w:szCs w:val="20"/>
              </w:rPr>
              <w:t>▲</w:t>
            </w:r>
            <w:r>
              <w:rPr>
                <w:rFonts w:ascii="宋体" w:hAnsi="宋体" w:cs="宋体"/>
                <w:color w:val="auto"/>
                <w:kern w:val="0"/>
                <w:sz w:val="20"/>
                <w:szCs w:val="20"/>
              </w:rPr>
              <w:t>11、设备具备多种安全认证，支持身份证识别、Ukey数字密钥、动态二维码/短信密码登录。</w:t>
            </w:r>
            <w:r>
              <w:rPr>
                <w:rFonts w:hint="eastAsia" w:ascii="宋体" w:hAnsi="宋体" w:cs="宋体"/>
                <w:color w:val="auto"/>
                <w:kern w:val="0"/>
                <w:sz w:val="20"/>
                <w:szCs w:val="20"/>
                <w:lang w:eastAsia="zh-CN"/>
              </w:rPr>
              <w:t>（竞标时提供国家认可的第三方检测机构出具的检测报告复印件并加盖供应商公章)；</w:t>
            </w:r>
          </w:p>
          <w:p w14:paraId="0F951D2C">
            <w:pPr>
              <w:jc w:val="left"/>
              <w:rPr>
                <w:rFonts w:hint="eastAsia" w:ascii="宋体" w:hAnsi="宋体" w:eastAsia="宋体" w:cs="宋体"/>
                <w:color w:val="auto"/>
                <w:kern w:val="0"/>
                <w:sz w:val="20"/>
                <w:szCs w:val="20"/>
                <w:lang w:eastAsia="zh-CN"/>
              </w:rPr>
            </w:pPr>
            <w:r>
              <w:rPr>
                <w:rFonts w:hint="eastAsia" w:ascii="宋体" w:hAnsi="宋体" w:cs="宋体"/>
                <w:color w:val="auto"/>
                <w:sz w:val="20"/>
                <w:szCs w:val="20"/>
              </w:rPr>
              <w:t>▲</w:t>
            </w:r>
            <w:r>
              <w:rPr>
                <w:rFonts w:ascii="宋体" w:hAnsi="宋体" w:cs="宋体"/>
                <w:color w:val="auto"/>
                <w:kern w:val="0"/>
                <w:sz w:val="20"/>
                <w:szCs w:val="20"/>
              </w:rPr>
              <w:t>12</w:t>
            </w:r>
            <w:r>
              <w:rPr>
                <w:rFonts w:hint="eastAsia" w:ascii="宋体" w:hAnsi="宋体" w:cs="宋体"/>
                <w:color w:val="auto"/>
                <w:kern w:val="0"/>
                <w:sz w:val="20"/>
                <w:szCs w:val="20"/>
              </w:rPr>
              <w:t>、</w:t>
            </w:r>
            <w:r>
              <w:rPr>
                <w:rFonts w:ascii="宋体" w:hAnsi="宋体" w:cs="宋体"/>
                <w:color w:val="auto"/>
                <w:kern w:val="0"/>
                <w:sz w:val="20"/>
                <w:szCs w:val="20"/>
              </w:rPr>
              <w:t>一级登录验证：设备登录系统时，需强制插入Ukey数字密钥完成解码验证；同时，系统将同步校验当前位置信息，仅当位置信息与预存的项目授权区域完全匹配时，方可通过解码并解锁功能设置权限。二级登录验证：登录设备主操作页面时，需通过移动端应用扫描PC端软件生成的实时二维码，由系统自动生成一次性动态密码；输入该动态密码验证通过后，方可进入主页面进行基础操作。三级设置验证：进入参数配置页面时，需先完成设备与手机的绑定；操作时，通过已绑定设备的手机扫描 PC端设置页面二维码，生成专属动态密码，凭此密码验证通过后，方可进行参数配置操作。 四级验证：即最高级别的管理员密码，无需绑定设备，直接输入即可登录系统，用于应急场景下的权限管理。</w:t>
            </w:r>
            <w:r>
              <w:rPr>
                <w:rFonts w:hint="eastAsia" w:ascii="宋体" w:hAnsi="宋体" w:cs="宋体"/>
                <w:color w:val="auto"/>
                <w:kern w:val="0"/>
                <w:sz w:val="20"/>
                <w:szCs w:val="20"/>
                <w:lang w:eastAsia="zh-CN"/>
              </w:rPr>
              <w:t>（竞标时提供国家认可的第三方检测机构出具的检测报告复印件并加盖供应商公章)；</w:t>
            </w:r>
          </w:p>
          <w:p w14:paraId="57DE275B">
            <w:pPr>
              <w:jc w:val="left"/>
              <w:rPr>
                <w:rFonts w:hint="eastAsia" w:ascii="宋体" w:hAnsi="宋体" w:eastAsia="宋体" w:cs="宋体"/>
                <w:color w:val="auto"/>
                <w:kern w:val="0"/>
                <w:sz w:val="20"/>
                <w:szCs w:val="20"/>
                <w:lang w:eastAsia="zh-CN"/>
              </w:rPr>
            </w:pPr>
            <w:r>
              <w:rPr>
                <w:rFonts w:hint="eastAsia" w:ascii="宋体" w:hAnsi="宋体" w:cs="宋体"/>
                <w:color w:val="auto"/>
                <w:sz w:val="20"/>
                <w:szCs w:val="20"/>
              </w:rPr>
              <w:t>▲</w:t>
            </w:r>
            <w:r>
              <w:rPr>
                <w:rFonts w:ascii="宋体" w:hAnsi="宋体" w:cs="宋体"/>
                <w:color w:val="auto"/>
                <w:kern w:val="0"/>
                <w:sz w:val="20"/>
                <w:szCs w:val="20"/>
              </w:rPr>
              <w:t>13</w:t>
            </w:r>
            <w:r>
              <w:rPr>
                <w:rFonts w:hint="eastAsia" w:ascii="宋体" w:hAnsi="宋体" w:cs="宋体"/>
                <w:color w:val="auto"/>
                <w:kern w:val="0"/>
                <w:sz w:val="20"/>
                <w:szCs w:val="20"/>
              </w:rPr>
              <w:t>、</w:t>
            </w:r>
            <w:r>
              <w:rPr>
                <w:rFonts w:ascii="宋体" w:hAnsi="宋体" w:cs="宋体"/>
                <w:color w:val="auto"/>
                <w:kern w:val="0"/>
                <w:sz w:val="20"/>
                <w:szCs w:val="20"/>
              </w:rPr>
              <w:t>设备支持密钥地址校验，在用户首次激活设备或执行关键功能配置操作时，系统将自动触发设备校验机制，对设备出厂时预存的销售地址信息与当前通过定位获取或用户手动录入的安装地址信息进行比对。若经系统多维度校验判定二者不匹配，设备的设置功能入口将被系统自动执行临时锁定操作，导致用户无法访问设置界面进行任何参数配置操作。</w:t>
            </w:r>
            <w:r>
              <w:rPr>
                <w:rFonts w:hint="eastAsia" w:ascii="宋体" w:hAnsi="宋体" w:cs="宋体"/>
                <w:color w:val="auto"/>
                <w:kern w:val="0"/>
                <w:sz w:val="20"/>
                <w:szCs w:val="20"/>
                <w:lang w:eastAsia="zh-CN"/>
              </w:rPr>
              <w:t>（竞标时提供国家认可的第三方检测机构出具的检测报告复印件并加盖供应商公章)；</w:t>
            </w:r>
          </w:p>
          <w:p w14:paraId="244AE701">
            <w:pPr>
              <w:jc w:val="left"/>
              <w:rPr>
                <w:rFonts w:hint="eastAsia" w:ascii="宋体" w:hAnsi="宋体" w:eastAsia="宋体" w:cs="宋体"/>
                <w:color w:val="auto"/>
                <w:kern w:val="0"/>
                <w:sz w:val="20"/>
                <w:szCs w:val="20"/>
                <w:lang w:eastAsia="zh-CN"/>
              </w:rPr>
            </w:pPr>
            <w:r>
              <w:rPr>
                <w:rFonts w:ascii="宋体" w:hAnsi="宋体" w:cs="宋体"/>
                <w:color w:val="auto"/>
                <w:kern w:val="0"/>
                <w:sz w:val="20"/>
                <w:szCs w:val="20"/>
              </w:rPr>
              <w:t>▲14</w:t>
            </w:r>
            <w:r>
              <w:rPr>
                <w:rFonts w:hint="eastAsia" w:ascii="宋体" w:hAnsi="宋体" w:cs="宋体"/>
                <w:color w:val="auto"/>
                <w:kern w:val="0"/>
                <w:sz w:val="20"/>
                <w:szCs w:val="20"/>
              </w:rPr>
              <w:t>、</w:t>
            </w:r>
            <w:r>
              <w:rPr>
                <w:rFonts w:ascii="宋体" w:hAnsi="宋体" w:cs="宋体"/>
                <w:color w:val="auto"/>
                <w:kern w:val="0"/>
                <w:sz w:val="20"/>
                <w:szCs w:val="20"/>
              </w:rPr>
              <w:t>支持通过PC端软件执行设备升级及编号下发操作；编号下发过程中，可通过文件导入方式配置项目名称与财产编号，确保设备标识的唯一性。</w:t>
            </w:r>
            <w:r>
              <w:rPr>
                <w:rFonts w:hint="eastAsia" w:ascii="宋体" w:hAnsi="宋体" w:cs="宋体"/>
                <w:color w:val="auto"/>
                <w:kern w:val="0"/>
                <w:sz w:val="20"/>
                <w:szCs w:val="20"/>
                <w:lang w:eastAsia="zh-CN"/>
              </w:rPr>
              <w:t>（竞标时提供国家认可的第三方检测机构出具的检测报告复印件并加盖供应商公章)；</w:t>
            </w:r>
          </w:p>
          <w:p w14:paraId="466EDCE9">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15</w:t>
            </w:r>
            <w:r>
              <w:rPr>
                <w:rFonts w:hint="eastAsia" w:ascii="宋体" w:hAnsi="宋体" w:cs="宋体"/>
                <w:color w:val="auto"/>
                <w:kern w:val="0"/>
                <w:sz w:val="20"/>
                <w:szCs w:val="20"/>
              </w:rPr>
              <w:t>、</w:t>
            </w:r>
            <w:r>
              <w:rPr>
                <w:rFonts w:ascii="宋体" w:hAnsi="宋体" w:cs="宋体"/>
                <w:color w:val="auto"/>
                <w:kern w:val="0"/>
                <w:sz w:val="20"/>
                <w:szCs w:val="20"/>
              </w:rPr>
              <w:t>设备支持通过手机端控制软件下发新的WIFI密码。手机控制软件页面首页可查看设备是否在线并且可修改设备名称，也可直观显示温度、湿度、烟感告警、日期以及时间。（提供软件截图佐证并且加盖</w:t>
            </w:r>
            <w:r>
              <w:rPr>
                <w:rFonts w:hint="eastAsia" w:ascii="宋体" w:hAnsi="宋体" w:cs="宋体"/>
                <w:color w:val="auto"/>
                <w:kern w:val="0"/>
                <w:sz w:val="20"/>
                <w:szCs w:val="20"/>
              </w:rPr>
              <w:t>供应商</w:t>
            </w:r>
            <w:r>
              <w:rPr>
                <w:rFonts w:ascii="宋体" w:hAnsi="宋体" w:cs="宋体"/>
                <w:color w:val="auto"/>
                <w:kern w:val="0"/>
                <w:sz w:val="20"/>
                <w:szCs w:val="20"/>
              </w:rPr>
              <w:t>公章）</w:t>
            </w:r>
          </w:p>
          <w:p w14:paraId="4A06C67C">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16</w:t>
            </w:r>
            <w:r>
              <w:rPr>
                <w:rFonts w:hint="eastAsia" w:ascii="宋体" w:hAnsi="宋体" w:cs="宋体"/>
                <w:color w:val="auto"/>
                <w:kern w:val="0"/>
                <w:sz w:val="20"/>
                <w:szCs w:val="20"/>
              </w:rPr>
              <w:t>、</w:t>
            </w:r>
            <w:r>
              <w:rPr>
                <w:rFonts w:ascii="宋体" w:hAnsi="宋体" w:cs="宋体"/>
                <w:color w:val="auto"/>
                <w:kern w:val="0"/>
                <w:sz w:val="20"/>
                <w:szCs w:val="20"/>
              </w:rPr>
              <w:t>设备支持通过应用软件选择登录方式，登录方式有密码登录、身份证登录、登录UKey验证。并且具备新增账号的功能，账号和密码、身份证及电话号码均可自行修改，添加完毕后的信息可直观查看。（提供PC端软件截图佐证并盖</w:t>
            </w:r>
            <w:r>
              <w:rPr>
                <w:rFonts w:hint="eastAsia" w:ascii="宋体" w:hAnsi="宋体" w:cs="宋体"/>
                <w:color w:val="auto"/>
                <w:kern w:val="0"/>
                <w:sz w:val="20"/>
                <w:szCs w:val="20"/>
              </w:rPr>
              <w:t>供应商</w:t>
            </w:r>
            <w:r>
              <w:rPr>
                <w:rFonts w:ascii="宋体" w:hAnsi="宋体" w:cs="宋体"/>
                <w:color w:val="auto"/>
                <w:kern w:val="0"/>
                <w:sz w:val="20"/>
                <w:szCs w:val="20"/>
              </w:rPr>
              <w:t>公章）</w:t>
            </w:r>
          </w:p>
          <w:p w14:paraId="686C65E9">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17</w:t>
            </w:r>
            <w:r>
              <w:rPr>
                <w:rFonts w:hint="eastAsia" w:ascii="宋体" w:hAnsi="宋体" w:cs="宋体"/>
                <w:color w:val="auto"/>
                <w:kern w:val="0"/>
                <w:sz w:val="20"/>
                <w:szCs w:val="20"/>
              </w:rPr>
              <w:t>、</w:t>
            </w:r>
            <w:r>
              <w:rPr>
                <w:rFonts w:ascii="宋体" w:hAnsi="宋体" w:cs="宋体"/>
                <w:color w:val="auto"/>
                <w:kern w:val="0"/>
                <w:sz w:val="20"/>
                <w:szCs w:val="20"/>
              </w:rPr>
              <w:t>设备的PC端软件可查看设备的连接状态是否在线以及IP地址、序列号、线路模式，并且可直接查看8路的开关状态以及进行一键开关，也具备查看功率因数、频率和光照、粉尘浓度的数值。 （提供PC端软件截图佐证并盖</w:t>
            </w:r>
            <w:r>
              <w:rPr>
                <w:rFonts w:hint="eastAsia" w:ascii="宋体" w:hAnsi="宋体" w:cs="宋体"/>
                <w:color w:val="auto"/>
                <w:kern w:val="0"/>
                <w:sz w:val="20"/>
                <w:szCs w:val="20"/>
              </w:rPr>
              <w:t>供应商</w:t>
            </w:r>
            <w:r>
              <w:rPr>
                <w:rFonts w:ascii="宋体" w:hAnsi="宋体" w:cs="宋体"/>
                <w:color w:val="auto"/>
                <w:kern w:val="0"/>
                <w:sz w:val="20"/>
                <w:szCs w:val="20"/>
              </w:rPr>
              <w:t>公章）</w:t>
            </w:r>
          </w:p>
          <w:p w14:paraId="6F37FB2A">
            <w:pPr>
              <w:jc w:val="left"/>
              <w:rPr>
                <w:rFonts w:ascii="宋体" w:hAnsi="宋体" w:cs="宋体"/>
                <w:color w:val="auto"/>
                <w:kern w:val="0"/>
                <w:sz w:val="20"/>
                <w:szCs w:val="20"/>
              </w:rPr>
            </w:pPr>
            <w:r>
              <w:rPr>
                <w:rFonts w:ascii="宋体" w:hAnsi="宋体" w:cs="宋体"/>
                <w:color w:val="auto"/>
                <w:kern w:val="0"/>
                <w:sz w:val="20"/>
                <w:szCs w:val="20"/>
              </w:rPr>
              <w:t>▲18</w:t>
            </w:r>
            <w:r>
              <w:rPr>
                <w:rFonts w:hint="eastAsia" w:ascii="宋体" w:hAnsi="宋体" w:cs="宋体"/>
                <w:color w:val="auto"/>
                <w:kern w:val="0"/>
                <w:sz w:val="20"/>
                <w:szCs w:val="20"/>
              </w:rPr>
              <w:t>、</w:t>
            </w:r>
            <w:r>
              <w:rPr>
                <w:rFonts w:ascii="宋体" w:hAnsi="宋体" w:cs="宋体"/>
                <w:color w:val="auto"/>
                <w:kern w:val="0"/>
                <w:sz w:val="20"/>
                <w:szCs w:val="20"/>
              </w:rPr>
              <w:t>手机控制软件页面可显示手动控制及智能控制的选项，手机控制软件页面可显示8路开关的状态及温度、湿度、烟感告警、总电量、漏电值、功率、三相电的电压及电流。（提供手机端软件截图佐证并盖</w:t>
            </w:r>
            <w:r>
              <w:rPr>
                <w:rFonts w:hint="eastAsia" w:ascii="宋体" w:hAnsi="宋体" w:cs="宋体"/>
                <w:color w:val="auto"/>
                <w:kern w:val="0"/>
                <w:sz w:val="20"/>
                <w:szCs w:val="20"/>
              </w:rPr>
              <w:t>供应商</w:t>
            </w:r>
            <w:r>
              <w:rPr>
                <w:rFonts w:ascii="宋体" w:hAnsi="宋体" w:cs="宋体"/>
                <w:color w:val="auto"/>
                <w:kern w:val="0"/>
                <w:sz w:val="20"/>
                <w:szCs w:val="20"/>
              </w:rPr>
              <w:t xml:space="preserve">公章）                                 </w:t>
            </w:r>
          </w:p>
          <w:p w14:paraId="32553700">
            <w:pPr>
              <w:jc w:val="left"/>
              <w:rPr>
                <w:rFonts w:ascii="宋体" w:hAnsi="宋体" w:cs="宋体"/>
                <w:color w:val="auto"/>
                <w:kern w:val="0"/>
                <w:sz w:val="20"/>
                <w:szCs w:val="20"/>
              </w:rPr>
            </w:pPr>
            <w:r>
              <w:rPr>
                <w:rFonts w:ascii="宋体" w:hAnsi="宋体" w:cs="宋体"/>
                <w:color w:val="auto"/>
                <w:kern w:val="0"/>
                <w:sz w:val="20"/>
                <w:szCs w:val="20"/>
              </w:rPr>
              <w:t>▲19</w:t>
            </w:r>
            <w:r>
              <w:rPr>
                <w:rFonts w:hint="eastAsia" w:ascii="宋体" w:hAnsi="宋体" w:cs="宋体"/>
                <w:color w:val="auto"/>
                <w:kern w:val="0"/>
                <w:sz w:val="20"/>
                <w:szCs w:val="20"/>
              </w:rPr>
              <w:t>、</w:t>
            </w:r>
            <w:r>
              <w:rPr>
                <w:rFonts w:ascii="宋体" w:hAnsi="宋体" w:cs="宋体"/>
                <w:color w:val="auto"/>
                <w:kern w:val="0"/>
                <w:sz w:val="20"/>
                <w:szCs w:val="20"/>
              </w:rPr>
              <w:t>设备可通过手机控制软件页面设置时间控制、烟感、温度、湿感的操作选项。（提供手机端软件截图佐证并盖</w:t>
            </w:r>
            <w:r>
              <w:rPr>
                <w:rFonts w:hint="eastAsia" w:ascii="宋体" w:hAnsi="宋体" w:cs="宋体"/>
                <w:color w:val="auto"/>
                <w:kern w:val="0"/>
                <w:sz w:val="20"/>
                <w:szCs w:val="20"/>
              </w:rPr>
              <w:t>供应商</w:t>
            </w:r>
            <w:r>
              <w:rPr>
                <w:rFonts w:ascii="宋体" w:hAnsi="宋体" w:cs="宋体"/>
                <w:color w:val="auto"/>
                <w:kern w:val="0"/>
                <w:sz w:val="20"/>
                <w:szCs w:val="20"/>
              </w:rPr>
              <w:t>公章）</w:t>
            </w:r>
          </w:p>
          <w:p w14:paraId="26559676">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四、</w:t>
            </w:r>
            <w:r>
              <w:rPr>
                <w:rFonts w:ascii="宋体" w:hAnsi="宋体" w:cs="宋体"/>
                <w:color w:val="auto"/>
                <w:kern w:val="0"/>
                <w:sz w:val="20"/>
                <w:szCs w:val="20"/>
              </w:rPr>
              <w:t>LED操控终端：</w:t>
            </w:r>
          </w:p>
          <w:p w14:paraId="304FC347">
            <w:pPr>
              <w:jc w:val="left"/>
              <w:rPr>
                <w:rFonts w:ascii="宋体" w:hAnsi="宋体" w:cs="宋体"/>
                <w:color w:val="auto"/>
                <w:kern w:val="0"/>
                <w:sz w:val="20"/>
                <w:szCs w:val="20"/>
              </w:rPr>
            </w:pPr>
            <w:r>
              <w:rPr>
                <w:rFonts w:ascii="宋体" w:hAnsi="宋体" w:cs="宋体"/>
                <w:color w:val="auto"/>
                <w:kern w:val="0"/>
                <w:sz w:val="20"/>
                <w:szCs w:val="20"/>
              </w:rPr>
              <w:t>一、终端硬件参数</w:t>
            </w:r>
          </w:p>
          <w:p w14:paraId="3EA41735">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1.CPU:≥14核、≥20线程、主频≥2.6GHz</w:t>
            </w:r>
          </w:p>
          <w:p w14:paraId="14915266">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 xml:space="preserve">2.内存：16GB DDR5内存或以上， </w:t>
            </w:r>
          </w:p>
          <w:p w14:paraId="57C1F767">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3.硬盘：≥512GB M.2 NVMe SSD硬盘，拓展1TB机械硬盘。</w:t>
            </w:r>
          </w:p>
          <w:p w14:paraId="1AFDC7FF">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五</w:t>
            </w:r>
            <w:r>
              <w:rPr>
                <w:rFonts w:ascii="宋体" w:hAnsi="宋体" w:cs="宋体"/>
                <w:color w:val="auto"/>
                <w:kern w:val="0"/>
                <w:sz w:val="20"/>
                <w:szCs w:val="20"/>
              </w:rPr>
              <w:t>、终端智能软件</w:t>
            </w:r>
          </w:p>
          <w:p w14:paraId="3A94CDEE">
            <w:pPr>
              <w:jc w:val="left"/>
              <w:rPr>
                <w:rFonts w:ascii="宋体" w:hAnsi="宋体" w:cs="宋体"/>
                <w:color w:val="auto"/>
                <w:kern w:val="0"/>
                <w:sz w:val="20"/>
                <w:szCs w:val="20"/>
              </w:rPr>
            </w:pPr>
            <w:r>
              <w:rPr>
                <w:rFonts w:ascii="宋体" w:hAnsi="宋体" w:cs="宋体"/>
                <w:color w:val="auto"/>
                <w:kern w:val="0"/>
                <w:sz w:val="20"/>
                <w:szCs w:val="20"/>
              </w:rPr>
              <w:t>（1）办公工具</w:t>
            </w:r>
          </w:p>
          <w:p w14:paraId="162EAB18">
            <w:pPr>
              <w:jc w:val="left"/>
              <w:rPr>
                <w:rFonts w:ascii="宋体" w:hAnsi="宋体" w:cs="宋体"/>
                <w:color w:val="auto"/>
                <w:kern w:val="0"/>
                <w:sz w:val="20"/>
                <w:szCs w:val="20"/>
              </w:rPr>
            </w:pPr>
            <w:r>
              <w:rPr>
                <w:rFonts w:ascii="宋体" w:hAnsi="宋体" w:cs="宋体"/>
                <w:color w:val="auto"/>
                <w:kern w:val="0"/>
                <w:sz w:val="20"/>
                <w:szCs w:val="20"/>
              </w:rPr>
              <w:t>1.根据输入的文字生成文本，支持根据上下文进行多轮连续对话。</w:t>
            </w:r>
          </w:p>
          <w:p w14:paraId="4984FA07">
            <w:pPr>
              <w:jc w:val="left"/>
              <w:rPr>
                <w:rFonts w:ascii="宋体" w:hAnsi="宋体" w:cs="宋体"/>
                <w:color w:val="auto"/>
                <w:kern w:val="0"/>
                <w:sz w:val="20"/>
                <w:szCs w:val="20"/>
              </w:rPr>
            </w:pPr>
            <w:r>
              <w:rPr>
                <w:rFonts w:ascii="宋体" w:hAnsi="宋体" w:cs="宋体"/>
                <w:color w:val="auto"/>
                <w:kern w:val="0"/>
                <w:sz w:val="20"/>
                <w:szCs w:val="20"/>
              </w:rPr>
              <w:t>2.支持输入主题一键生成活动感想、发言稿；支持选择生成的文字数量，一键问询AI问题。</w:t>
            </w:r>
          </w:p>
          <w:p w14:paraId="351E73D1">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六</w:t>
            </w:r>
            <w:r>
              <w:rPr>
                <w:rFonts w:ascii="宋体" w:hAnsi="宋体" w:cs="宋体"/>
                <w:color w:val="auto"/>
                <w:kern w:val="0"/>
                <w:sz w:val="20"/>
                <w:szCs w:val="20"/>
              </w:rPr>
              <w:t>、文件协同功能</w:t>
            </w:r>
          </w:p>
          <w:p w14:paraId="7A3D32D6">
            <w:pPr>
              <w:jc w:val="left"/>
              <w:rPr>
                <w:rFonts w:ascii="宋体" w:hAnsi="宋体" w:cs="宋体"/>
                <w:color w:val="auto"/>
                <w:kern w:val="0"/>
                <w:sz w:val="20"/>
                <w:szCs w:val="20"/>
              </w:rPr>
            </w:pPr>
            <w:r>
              <w:rPr>
                <w:rFonts w:ascii="宋体" w:hAnsi="宋体" w:cs="宋体"/>
                <w:color w:val="auto"/>
                <w:kern w:val="0"/>
                <w:sz w:val="20"/>
                <w:szCs w:val="20"/>
              </w:rPr>
              <w:t>1.发送端软件发送文件至接收端软件。2.支持一次发送多个文件</w:t>
            </w:r>
          </w:p>
          <w:p w14:paraId="452513C3">
            <w:pPr>
              <w:jc w:val="left"/>
              <w:rPr>
                <w:rFonts w:ascii="宋体" w:hAnsi="宋体" w:cs="宋体"/>
                <w:color w:val="auto"/>
                <w:kern w:val="0"/>
                <w:sz w:val="20"/>
                <w:szCs w:val="20"/>
              </w:rPr>
            </w:pPr>
            <w:r>
              <w:rPr>
                <w:rFonts w:hint="eastAsia" w:ascii="宋体" w:hAnsi="宋体" w:cs="宋体"/>
                <w:color w:val="auto"/>
                <w:kern w:val="0"/>
                <w:sz w:val="20"/>
                <w:szCs w:val="20"/>
                <w:lang w:val="en-US" w:eastAsia="zh-CN"/>
              </w:rPr>
              <w:t>七</w:t>
            </w:r>
            <w:r>
              <w:rPr>
                <w:rFonts w:ascii="宋体" w:hAnsi="宋体" w:cs="宋体"/>
                <w:color w:val="auto"/>
                <w:kern w:val="0"/>
                <w:sz w:val="20"/>
                <w:szCs w:val="20"/>
              </w:rPr>
              <w:t>、显示器配置</w:t>
            </w:r>
          </w:p>
          <w:p w14:paraId="110900D1">
            <w:pPr>
              <w:jc w:val="left"/>
              <w:rPr>
                <w:rFonts w:ascii="宋体" w:hAnsi="宋体" w:cs="宋体"/>
                <w:color w:val="auto"/>
                <w:kern w:val="0"/>
                <w:sz w:val="20"/>
                <w:szCs w:val="20"/>
              </w:rPr>
            </w:pPr>
            <w:r>
              <w:rPr>
                <w:rFonts w:hint="eastAsia" w:ascii="宋体" w:hAnsi="宋体" w:cs="宋体"/>
                <w:color w:val="auto"/>
                <w:sz w:val="20"/>
                <w:szCs w:val="20"/>
              </w:rPr>
              <w:t>▲</w:t>
            </w:r>
            <w:r>
              <w:rPr>
                <w:rFonts w:ascii="宋体" w:hAnsi="宋体" w:cs="宋体"/>
                <w:color w:val="auto"/>
                <w:kern w:val="0"/>
                <w:sz w:val="20"/>
                <w:szCs w:val="20"/>
              </w:rPr>
              <w:t>1.≥23.8英寸显示屏幕，分辨率≥1920*1080，屏占比≥92%；</w:t>
            </w:r>
          </w:p>
        </w:tc>
        <w:tc>
          <w:tcPr>
            <w:tcW w:w="142" w:type="pct"/>
            <w:shd w:val="clear" w:color="auto" w:fill="auto"/>
            <w:vAlign w:val="center"/>
          </w:tcPr>
          <w:p w14:paraId="6F00025D">
            <w:pPr>
              <w:widowControl/>
              <w:spacing w:line="288" w:lineRule="auto"/>
              <w:jc w:val="center"/>
              <w:rPr>
                <w:rFonts w:ascii="宋体" w:hAnsi="宋体" w:cs="宋体"/>
                <w:color w:val="auto"/>
                <w:sz w:val="20"/>
                <w:szCs w:val="20"/>
              </w:rPr>
            </w:pPr>
            <w:r>
              <w:rPr>
                <w:rFonts w:hint="eastAsia" w:ascii="宋体" w:hAnsi="宋体" w:cs="宋体"/>
                <w:color w:val="auto"/>
                <w:sz w:val="20"/>
                <w:szCs w:val="20"/>
              </w:rPr>
              <w:t>套</w:t>
            </w:r>
          </w:p>
        </w:tc>
        <w:tc>
          <w:tcPr>
            <w:tcW w:w="142" w:type="pct"/>
            <w:shd w:val="clear" w:color="auto" w:fill="auto"/>
            <w:vAlign w:val="center"/>
          </w:tcPr>
          <w:p w14:paraId="3F3607F1">
            <w:pPr>
              <w:widowControl/>
              <w:spacing w:line="288" w:lineRule="auto"/>
              <w:jc w:val="center"/>
              <w:rPr>
                <w:rFonts w:ascii="宋体" w:hAnsi="宋体" w:cs="宋体"/>
                <w:color w:val="auto"/>
                <w:sz w:val="20"/>
                <w:szCs w:val="20"/>
              </w:rPr>
            </w:pPr>
            <w:r>
              <w:rPr>
                <w:rFonts w:hint="eastAsia" w:ascii="宋体" w:hAnsi="宋体" w:cs="宋体"/>
                <w:color w:val="auto"/>
                <w:sz w:val="20"/>
                <w:szCs w:val="20"/>
              </w:rPr>
              <w:t>2</w:t>
            </w:r>
          </w:p>
        </w:tc>
        <w:tc>
          <w:tcPr>
            <w:tcW w:w="422" w:type="pct"/>
            <w:shd w:val="clear" w:color="auto" w:fill="auto"/>
            <w:vAlign w:val="center"/>
          </w:tcPr>
          <w:p w14:paraId="2E924532">
            <w:pPr>
              <w:widowControl/>
              <w:spacing w:line="288" w:lineRule="auto"/>
              <w:jc w:val="center"/>
              <w:rPr>
                <w:rFonts w:ascii="宋体" w:hAnsi="宋体" w:cs="宋体"/>
                <w:color w:val="auto"/>
                <w:sz w:val="20"/>
                <w:szCs w:val="20"/>
              </w:rPr>
            </w:pPr>
            <w:r>
              <w:rPr>
                <w:rFonts w:hint="eastAsia" w:ascii="宋体" w:hAnsi="宋体"/>
                <w:color w:val="auto"/>
              </w:rPr>
              <w:t>79000</w:t>
            </w:r>
          </w:p>
        </w:tc>
        <w:tc>
          <w:tcPr>
            <w:tcW w:w="491" w:type="pct"/>
            <w:shd w:val="clear" w:color="auto" w:fill="auto"/>
            <w:vAlign w:val="center"/>
          </w:tcPr>
          <w:p w14:paraId="0DDDB038">
            <w:pPr>
              <w:widowControl/>
              <w:spacing w:line="288" w:lineRule="auto"/>
              <w:jc w:val="center"/>
              <w:rPr>
                <w:rFonts w:ascii="宋体" w:hAnsi="宋体" w:cs="宋体"/>
                <w:color w:val="auto"/>
                <w:sz w:val="20"/>
                <w:szCs w:val="20"/>
              </w:rPr>
            </w:pPr>
            <w:r>
              <w:rPr>
                <w:rFonts w:hint="eastAsia" w:ascii="宋体" w:hAnsi="宋体"/>
                <w:color w:val="auto"/>
              </w:rPr>
              <w:t>158000</w:t>
            </w:r>
          </w:p>
        </w:tc>
      </w:tr>
      <w:tr w14:paraId="4ECE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13" w:type="pct"/>
            <w:gridSpan w:val="3"/>
            <w:vAlign w:val="center"/>
          </w:tcPr>
          <w:p w14:paraId="371EF902">
            <w:pPr>
              <w:spacing w:line="288" w:lineRule="auto"/>
              <w:jc w:val="right"/>
              <w:rPr>
                <w:rFonts w:ascii="宋体" w:hAnsi="宋体" w:cs="宋体"/>
                <w:color w:val="auto"/>
                <w:sz w:val="20"/>
                <w:szCs w:val="20"/>
              </w:rPr>
            </w:pPr>
            <w:r>
              <w:rPr>
                <w:rFonts w:hint="eastAsia" w:ascii="宋体" w:hAnsi="宋体" w:cs="宋体"/>
                <w:color w:val="auto"/>
                <w:sz w:val="20"/>
                <w:szCs w:val="20"/>
              </w:rPr>
              <w:t>合计</w:t>
            </w:r>
          </w:p>
        </w:tc>
        <w:tc>
          <w:tcPr>
            <w:tcW w:w="4287" w:type="pct"/>
            <w:gridSpan w:val="5"/>
            <w:shd w:val="clear" w:color="auto" w:fill="auto"/>
            <w:vAlign w:val="center"/>
          </w:tcPr>
          <w:p w14:paraId="3464705C">
            <w:pPr>
              <w:widowControl/>
              <w:spacing w:line="288" w:lineRule="auto"/>
              <w:jc w:val="right"/>
              <w:rPr>
                <w:rFonts w:ascii="宋体" w:hAnsi="宋体" w:cs="宋体"/>
                <w:color w:val="auto"/>
                <w:sz w:val="20"/>
                <w:szCs w:val="20"/>
              </w:rPr>
            </w:pPr>
            <w:r>
              <w:rPr>
                <w:rFonts w:hint="eastAsia" w:ascii="宋体" w:hAnsi="宋体" w:cs="宋体"/>
                <w:color w:val="auto"/>
                <w:sz w:val="20"/>
                <w:szCs w:val="20"/>
              </w:rPr>
              <w:t>232000元</w:t>
            </w:r>
          </w:p>
        </w:tc>
      </w:tr>
    </w:tbl>
    <w:p w14:paraId="33B7935D">
      <w:pPr>
        <w:widowControl/>
        <w:spacing w:line="288" w:lineRule="auto"/>
        <w:jc w:val="left"/>
        <w:rPr>
          <w:rFonts w:ascii="宋体" w:hAnsi="宋体" w:cs="宋体"/>
          <w:sz w:val="20"/>
          <w:szCs w:val="20"/>
        </w:rPr>
      </w:pPr>
    </w:p>
    <w:p w14:paraId="7DEE2C39">
      <w:pPr>
        <w:widowControl/>
        <w:spacing w:line="288" w:lineRule="auto"/>
        <w:jc w:val="left"/>
        <w:rPr>
          <w:rFonts w:ascii="宋体" w:hAnsi="宋体" w:cs="宋体"/>
          <w:sz w:val="20"/>
          <w:szCs w:val="20"/>
        </w:rPr>
      </w:pPr>
    </w:p>
    <w:p w14:paraId="2E7564A4">
      <w:pPr>
        <w:widowControl/>
        <w:spacing w:line="288" w:lineRule="auto"/>
        <w:jc w:val="left"/>
        <w:rPr>
          <w:rFonts w:ascii="宋体" w:hAnsi="宋体" w:cs="宋体"/>
          <w:sz w:val="20"/>
          <w:szCs w:val="20"/>
        </w:rPr>
      </w:pPr>
    </w:p>
    <w:p w14:paraId="1A1650A3">
      <w:pPr>
        <w:widowControl/>
        <w:spacing w:line="288" w:lineRule="auto"/>
        <w:jc w:val="left"/>
        <w:rPr>
          <w:rFonts w:ascii="宋体" w:hAnsi="宋体" w:cs="宋体"/>
          <w:sz w:val="20"/>
          <w:szCs w:val="20"/>
        </w:rPr>
      </w:pPr>
    </w:p>
    <w:p w14:paraId="792F2199">
      <w:pPr>
        <w:widowControl/>
        <w:spacing w:line="288" w:lineRule="auto"/>
        <w:jc w:val="left"/>
        <w:rPr>
          <w:rFonts w:ascii="宋体" w:hAnsi="宋体" w:cs="宋体"/>
          <w:sz w:val="20"/>
          <w:szCs w:val="20"/>
        </w:rPr>
      </w:pPr>
    </w:p>
    <w:p w14:paraId="74CF8D77">
      <w:pPr>
        <w:widowControl/>
        <w:spacing w:line="288" w:lineRule="auto"/>
        <w:jc w:val="left"/>
        <w:rPr>
          <w:rFonts w:ascii="宋体" w:hAnsi="宋体" w:cs="宋体"/>
          <w:sz w:val="20"/>
          <w:szCs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624"/>
      </w:tblGrid>
      <w:tr w14:paraId="249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7DE1B33B">
            <w:pPr>
              <w:rPr>
                <w:rFonts w:ascii="宋体" w:hAnsi="宋体" w:cs="宋体"/>
              </w:rPr>
            </w:pPr>
            <w:r>
              <w:rPr>
                <w:rFonts w:hint="eastAsia" w:ascii="宋体" w:hAnsi="宋体" w:cs="Calibri"/>
                <w:b/>
                <w:bCs/>
                <w:kern w:val="0"/>
                <w:sz w:val="20"/>
                <w:szCs w:val="20"/>
              </w:rPr>
              <w:t>▲</w:t>
            </w:r>
            <w:r>
              <w:rPr>
                <w:rFonts w:hint="eastAsia" w:ascii="宋体" w:hAnsi="宋体" w:cs="宋体"/>
                <w:b/>
                <w:bCs/>
                <w:kern w:val="0"/>
                <w:szCs w:val="21"/>
              </w:rPr>
              <w:t>二、商务服务要求表</w:t>
            </w:r>
          </w:p>
        </w:tc>
      </w:tr>
      <w:tr w14:paraId="3837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D18105D">
            <w:pPr>
              <w:widowControl/>
              <w:snapToGrid w:val="0"/>
              <w:spacing w:line="400" w:lineRule="exact"/>
              <w:jc w:val="center"/>
              <w:textAlignment w:val="center"/>
              <w:rPr>
                <w:rFonts w:ascii="宋体" w:hAnsi="宋体" w:cs="宋体"/>
                <w:szCs w:val="21"/>
              </w:rPr>
            </w:pPr>
            <w:r>
              <w:rPr>
                <w:rStyle w:val="18"/>
                <w:rFonts w:hint="default"/>
                <w:color w:val="auto"/>
                <w:sz w:val="21"/>
                <w:szCs w:val="21"/>
              </w:rPr>
              <w:t>交货时间及地点</w:t>
            </w:r>
          </w:p>
        </w:tc>
        <w:tc>
          <w:tcPr>
            <w:tcW w:w="14624" w:type="dxa"/>
            <w:shd w:val="clear" w:color="auto" w:fill="auto"/>
            <w:vAlign w:val="center"/>
          </w:tcPr>
          <w:p w14:paraId="1A9F72C0">
            <w:pPr>
              <w:widowControl/>
              <w:snapToGrid w:val="0"/>
              <w:spacing w:line="400" w:lineRule="exact"/>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1、合同签订日期：中标通知书发出后7日内。 </w:t>
            </w:r>
          </w:p>
          <w:p w14:paraId="20B8503D">
            <w:pPr>
              <w:widowControl/>
              <w:snapToGrid w:val="0"/>
              <w:spacing w:line="400" w:lineRule="exact"/>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2、交货（实施）时间：合同签订之日起15个日历日内交货并安装调试完毕。</w:t>
            </w:r>
          </w:p>
          <w:p w14:paraId="6A394E9F">
            <w:pPr>
              <w:widowControl/>
              <w:snapToGrid w:val="0"/>
              <w:spacing w:line="400" w:lineRule="exact"/>
              <w:jc w:val="left"/>
              <w:textAlignment w:val="center"/>
              <w:rPr>
                <w:rFonts w:ascii="宋体" w:hAnsi="宋体" w:cs="宋体"/>
                <w:szCs w:val="21"/>
              </w:rPr>
            </w:pPr>
            <w:r>
              <w:rPr>
                <w:rStyle w:val="18"/>
                <w:rFonts w:hint="default" w:asciiTheme="minorEastAsia" w:hAnsiTheme="minorEastAsia" w:eastAsiaTheme="minorEastAsia" w:cstheme="minorEastAsia"/>
                <w:color w:val="auto"/>
                <w:sz w:val="21"/>
                <w:szCs w:val="21"/>
              </w:rPr>
              <w:t>3、交货地点：</w:t>
            </w:r>
            <w:r>
              <w:rPr>
                <w:rFonts w:hint="eastAsia" w:asciiTheme="minorEastAsia" w:hAnsiTheme="minorEastAsia" w:cstheme="minorEastAsia"/>
                <w:szCs w:val="21"/>
              </w:rPr>
              <w:t>广西南宁市采购人指定地点（广西水利电力职业技术学院）</w:t>
            </w:r>
            <w:r>
              <w:rPr>
                <w:rStyle w:val="18"/>
                <w:rFonts w:hint="default" w:asciiTheme="minorEastAsia" w:hAnsiTheme="minorEastAsia" w:eastAsiaTheme="minorEastAsia" w:cstheme="minorEastAsia"/>
                <w:color w:val="auto"/>
                <w:sz w:val="21"/>
                <w:szCs w:val="21"/>
              </w:rPr>
              <w:t>。</w:t>
            </w:r>
          </w:p>
        </w:tc>
      </w:tr>
      <w:tr w14:paraId="0E96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188D85C5">
            <w:pPr>
              <w:widowControl/>
              <w:snapToGrid w:val="0"/>
              <w:spacing w:line="400" w:lineRule="exact"/>
              <w:jc w:val="center"/>
              <w:textAlignment w:val="center"/>
              <w:rPr>
                <w:rFonts w:ascii="宋体" w:hAnsi="宋体" w:cs="宋体"/>
                <w:szCs w:val="21"/>
              </w:rPr>
            </w:pPr>
            <w:r>
              <w:rPr>
                <w:rStyle w:val="18"/>
                <w:rFonts w:hint="default"/>
                <w:color w:val="auto"/>
                <w:sz w:val="21"/>
                <w:szCs w:val="21"/>
              </w:rPr>
              <w:t>质保期</w:t>
            </w:r>
          </w:p>
        </w:tc>
        <w:tc>
          <w:tcPr>
            <w:tcW w:w="14624" w:type="dxa"/>
            <w:shd w:val="clear" w:color="auto" w:fill="auto"/>
            <w:vAlign w:val="center"/>
          </w:tcPr>
          <w:p w14:paraId="1ECEE1F2">
            <w:pPr>
              <w:widowControl/>
              <w:jc w:val="left"/>
              <w:textAlignment w:val="center"/>
              <w:rPr>
                <w:rFonts w:ascii="宋体" w:hAnsi="宋体" w:cs="宋体"/>
                <w:szCs w:val="21"/>
              </w:rPr>
            </w:pPr>
            <w:r>
              <w:rPr>
                <w:rStyle w:val="18"/>
                <w:rFonts w:hint="default" w:asciiTheme="minorEastAsia" w:hAnsiTheme="minorEastAsia" w:eastAsiaTheme="minorEastAsia" w:cstheme="minorEastAsia"/>
                <w:color w:val="auto"/>
                <w:sz w:val="21"/>
                <w:szCs w:val="21"/>
              </w:rPr>
              <w:t>按国家有关规定或厂家承诺实行“三包”，</w:t>
            </w:r>
            <w:r>
              <w:rPr>
                <w:rFonts w:hint="eastAsia" w:asciiTheme="minorEastAsia" w:hAnsiTheme="minorEastAsia" w:cstheme="minorEastAsia"/>
                <w:kern w:val="0"/>
                <w:szCs w:val="21"/>
              </w:rPr>
              <w:t>质保期从验收合格之日起整机不少于</w:t>
            </w:r>
            <w:r>
              <w:rPr>
                <w:rFonts w:hint="eastAsia" w:asciiTheme="minorEastAsia" w:hAnsiTheme="minorEastAsia" w:cstheme="minorEastAsia"/>
                <w:kern w:val="0"/>
                <w:szCs w:val="21"/>
                <w:u w:val="single"/>
              </w:rPr>
              <w:t>1</w:t>
            </w:r>
            <w:r>
              <w:rPr>
                <w:rFonts w:hint="eastAsia" w:asciiTheme="minorEastAsia" w:hAnsiTheme="minorEastAsia" w:cstheme="minorEastAsia"/>
                <w:kern w:val="0"/>
                <w:szCs w:val="21"/>
              </w:rPr>
              <w:t>年（技术参数中有特别指明质保期的按参数要求，厂家质保期高于采购要求的按厂家质保）</w:t>
            </w:r>
            <w:r>
              <w:rPr>
                <w:rStyle w:val="18"/>
                <w:rFonts w:hint="default" w:asciiTheme="minorEastAsia" w:hAnsiTheme="minorEastAsia" w:eastAsiaTheme="minorEastAsia" w:cstheme="minorEastAsia"/>
                <w:color w:val="auto"/>
                <w:sz w:val="21"/>
                <w:szCs w:val="21"/>
              </w:rPr>
              <w:t>，质保期内全免费上门维修、免费更换零部件，质保期过后提供终身技术支持和维护。</w:t>
            </w:r>
          </w:p>
        </w:tc>
      </w:tr>
      <w:tr w14:paraId="491B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015B8B3">
            <w:pPr>
              <w:widowControl/>
              <w:snapToGrid w:val="0"/>
              <w:spacing w:line="400" w:lineRule="exact"/>
              <w:jc w:val="center"/>
              <w:textAlignment w:val="center"/>
              <w:rPr>
                <w:rFonts w:ascii="宋体" w:hAnsi="宋体" w:cs="宋体"/>
                <w:szCs w:val="21"/>
              </w:rPr>
            </w:pPr>
            <w:r>
              <w:rPr>
                <w:rFonts w:hint="eastAsia" w:ascii="宋体" w:hAnsi="宋体" w:cs="宋体"/>
                <w:kern w:val="0"/>
                <w:szCs w:val="21"/>
              </w:rPr>
              <w:t>产品质量与售后服务要求</w:t>
            </w:r>
          </w:p>
        </w:tc>
        <w:tc>
          <w:tcPr>
            <w:tcW w:w="14624" w:type="dxa"/>
            <w:shd w:val="clear" w:color="auto" w:fill="auto"/>
            <w:vAlign w:val="center"/>
          </w:tcPr>
          <w:p w14:paraId="028CF56D">
            <w:pPr>
              <w:widowControl/>
              <w:snapToGrid w:val="0"/>
              <w:spacing w:line="400" w:lineRule="exact"/>
              <w:jc w:val="left"/>
              <w:textAlignment w:val="center"/>
              <w:rPr>
                <w:rFonts w:ascii="宋体" w:hAnsi="宋体" w:cs="宋体"/>
                <w:szCs w:val="21"/>
              </w:rPr>
            </w:pPr>
            <w:r>
              <w:rPr>
                <w:rFonts w:hint="eastAsia" w:asciiTheme="minorEastAsia" w:hAnsiTheme="minorEastAsia" w:eastAsiaTheme="minorEastAsia" w:cstheme="minorEastAsia"/>
                <w:szCs w:val="21"/>
              </w:rPr>
              <w:t>1、</w:t>
            </w:r>
            <w:r>
              <w:rPr>
                <w:rFonts w:hint="eastAsia" w:ascii="宋体" w:hAnsi="宋体" w:cs="宋体"/>
                <w:szCs w:val="21"/>
              </w:rPr>
              <w:t>所投产品必须能实质性响应采购要求（所投产品应完全满足或优于采购参数要求），供货时能按照采购需求的要求提供厂家的供货证明和售后服务承诺书原件，避免假冒伪劣产品。对不能满足参数要求虚假响应，采购人可作废标处理，并依法向供应商追究违约责任。</w:t>
            </w:r>
          </w:p>
          <w:p w14:paraId="2CC6749A">
            <w:pPr>
              <w:widowControl/>
              <w:snapToGrid w:val="0"/>
              <w:spacing w:line="400" w:lineRule="exact"/>
              <w:jc w:val="left"/>
              <w:textAlignment w:val="center"/>
              <w:rPr>
                <w:rFonts w:ascii="宋体" w:hAnsi="宋体" w:cs="宋体"/>
                <w:szCs w:val="21"/>
              </w:rPr>
            </w:pPr>
            <w:r>
              <w:rPr>
                <w:rFonts w:hint="eastAsia" w:ascii="宋体" w:hAnsi="宋体" w:cs="宋体"/>
                <w:szCs w:val="21"/>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646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00829D68">
            <w:pPr>
              <w:spacing w:line="400" w:lineRule="exact"/>
              <w:jc w:val="center"/>
              <w:rPr>
                <w:rFonts w:ascii="宋体" w:hAnsi="宋体" w:cs="宋体"/>
                <w:szCs w:val="21"/>
              </w:rPr>
            </w:pPr>
            <w:r>
              <w:rPr>
                <w:rFonts w:hint="eastAsia" w:ascii="宋体" w:hAnsi="宋体" w:cs="宋体"/>
                <w:szCs w:val="21"/>
              </w:rPr>
              <w:t>实施和安装要求</w:t>
            </w:r>
          </w:p>
        </w:tc>
        <w:tc>
          <w:tcPr>
            <w:tcW w:w="14624" w:type="dxa"/>
            <w:shd w:val="clear" w:color="auto" w:fill="auto"/>
            <w:vAlign w:val="center"/>
          </w:tcPr>
          <w:p w14:paraId="1719E70B">
            <w:pPr>
              <w:jc w:val="left"/>
              <w:rPr>
                <w:rFonts w:ascii="宋体" w:hAnsi="宋体" w:cs="宋体"/>
                <w:szCs w:val="21"/>
              </w:rPr>
            </w:pPr>
            <w:r>
              <w:rPr>
                <w:rFonts w:hint="eastAsia" w:ascii="宋体" w:hAnsi="宋体" w:cs="宋体"/>
                <w:szCs w:val="21"/>
              </w:rPr>
              <w:t>本项目为交钥匙工程，成交后，供应商需应严格按竞标产品的安装规范要求进行安装调试，保证设备正常运行，质量合格。</w:t>
            </w:r>
          </w:p>
          <w:p w14:paraId="248A3BDB">
            <w:pPr>
              <w:jc w:val="left"/>
              <w:rPr>
                <w:rFonts w:ascii="宋体" w:hAnsi="宋体" w:cs="宋体"/>
                <w:szCs w:val="21"/>
              </w:rPr>
            </w:pPr>
            <w:r>
              <w:rPr>
                <w:rFonts w:hint="eastAsia" w:ascii="宋体" w:hAnsi="宋体" w:cs="宋体"/>
                <w:szCs w:val="21"/>
              </w:rPr>
              <w:t>（1）根据采购要求的工期提供项目实施方案及进度安排计划表；</w:t>
            </w:r>
          </w:p>
          <w:p w14:paraId="7763FD10">
            <w:pPr>
              <w:jc w:val="left"/>
              <w:rPr>
                <w:rFonts w:ascii="宋体" w:hAnsi="宋体" w:cs="宋体"/>
                <w:szCs w:val="21"/>
              </w:rPr>
            </w:pPr>
            <w:r>
              <w:rPr>
                <w:rFonts w:hint="eastAsia" w:ascii="宋体" w:hAnsi="宋体" w:cs="宋体"/>
                <w:bCs/>
                <w:szCs w:val="21"/>
              </w:rPr>
              <w:t>（2）</w:t>
            </w:r>
            <w:r>
              <w:rPr>
                <w:rFonts w:hint="eastAsia" w:ascii="宋体" w:hAnsi="宋体" w:cs="宋体"/>
                <w:szCs w:val="21"/>
              </w:rPr>
              <w:t>供应商必须服从采购单位现场负责人的指挥，按指定地点进行设备安装、调试，确保设备安装符合国家现行技术规范标准；</w:t>
            </w:r>
          </w:p>
          <w:p w14:paraId="1D16BFEF">
            <w:pPr>
              <w:jc w:val="left"/>
              <w:rPr>
                <w:rFonts w:ascii="宋体" w:hAnsi="宋体" w:cs="宋体"/>
                <w:szCs w:val="21"/>
              </w:rPr>
            </w:pPr>
            <w:r>
              <w:rPr>
                <w:rFonts w:hint="eastAsia" w:ascii="宋体" w:hAnsi="宋体" w:cs="宋体"/>
                <w:szCs w:val="21"/>
              </w:rPr>
              <w:t>（3）安装过程中的所有安全保障由供应商自行负责；</w:t>
            </w:r>
          </w:p>
          <w:p w14:paraId="119BF7AD">
            <w:pPr>
              <w:jc w:val="left"/>
              <w:rPr>
                <w:rFonts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4</w:t>
            </w:r>
            <w:r>
              <w:rPr>
                <w:rFonts w:hint="eastAsia" w:ascii="宋体" w:hAnsi="宋体" w:cs="宋体"/>
                <w:kern w:val="0"/>
                <w:szCs w:val="21"/>
                <w:lang w:val="zh-CN"/>
              </w:rPr>
              <w:t>）项目实施过程中产生的垃圾废料由供应商负责清理至校外。</w:t>
            </w:r>
          </w:p>
          <w:p w14:paraId="4C6AB42A">
            <w:pPr>
              <w:jc w:val="left"/>
              <w:rPr>
                <w:rFonts w:ascii="宋体" w:hAnsi="宋体" w:cs="宋体"/>
                <w:kern w:val="0"/>
                <w:sz w:val="20"/>
                <w:szCs w:val="20"/>
              </w:rPr>
            </w:pPr>
            <w:r>
              <w:rPr>
                <w:rFonts w:hint="eastAsia" w:ascii="宋体" w:hAnsi="宋体" w:cs="宋体"/>
                <w:kern w:val="0"/>
                <w:sz w:val="20"/>
                <w:szCs w:val="20"/>
              </w:rPr>
              <w:t>（5）LED</w:t>
            </w:r>
            <w:r>
              <w:rPr>
                <w:rFonts w:ascii="宋体" w:hAnsi="宋体" w:cs="宋体"/>
                <w:kern w:val="0"/>
                <w:sz w:val="20"/>
                <w:szCs w:val="20"/>
              </w:rPr>
              <w:t>显示屏</w:t>
            </w:r>
            <w:r>
              <w:rPr>
                <w:rFonts w:hint="eastAsia" w:ascii="宋体" w:hAnsi="宋体" w:cs="宋体"/>
                <w:kern w:val="0"/>
                <w:sz w:val="20"/>
                <w:szCs w:val="20"/>
              </w:rPr>
              <w:t>的安装、调试，</w:t>
            </w:r>
            <w:r>
              <w:rPr>
                <w:rFonts w:ascii="宋体" w:hAnsi="宋体" w:cs="宋体"/>
                <w:kern w:val="0"/>
                <w:sz w:val="20"/>
                <w:szCs w:val="20"/>
              </w:rPr>
              <w:t>结构</w:t>
            </w:r>
            <w:r>
              <w:rPr>
                <w:rFonts w:hint="eastAsia" w:ascii="宋体" w:hAnsi="宋体" w:cs="宋体"/>
                <w:kern w:val="0"/>
                <w:sz w:val="20"/>
                <w:szCs w:val="20"/>
              </w:rPr>
              <w:t>框架</w:t>
            </w:r>
            <w:r>
              <w:rPr>
                <w:rFonts w:ascii="宋体" w:hAnsi="宋体" w:cs="宋体"/>
                <w:kern w:val="0"/>
                <w:sz w:val="20"/>
                <w:szCs w:val="20"/>
              </w:rPr>
              <w:t>：</w:t>
            </w:r>
          </w:p>
          <w:p w14:paraId="6ABE623B">
            <w:pPr>
              <w:ind w:firstLine="600" w:firstLineChars="300"/>
              <w:jc w:val="left"/>
              <w:rPr>
                <w:rFonts w:ascii="宋体" w:hAnsi="宋体" w:cs="宋体"/>
                <w:kern w:val="0"/>
                <w:szCs w:val="21"/>
                <w:lang w:val="zh-CN"/>
              </w:rPr>
            </w:pPr>
            <w:r>
              <w:rPr>
                <w:rFonts w:hint="eastAsia" w:ascii="宋体" w:hAnsi="宋体" w:cs="宋体"/>
                <w:kern w:val="0"/>
                <w:sz w:val="20"/>
                <w:szCs w:val="20"/>
              </w:rPr>
              <w:t>采用</w:t>
            </w:r>
            <w:r>
              <w:rPr>
                <w:rFonts w:ascii="宋体" w:hAnsi="宋体" w:cs="宋体"/>
                <w:kern w:val="0"/>
                <w:sz w:val="20"/>
                <w:szCs w:val="20"/>
              </w:rPr>
              <w:t>钢材料结构框架</w:t>
            </w:r>
            <w:r>
              <w:rPr>
                <w:rFonts w:hint="eastAsia" w:ascii="宋体" w:hAnsi="宋体" w:cs="宋体"/>
                <w:kern w:val="0"/>
                <w:sz w:val="20"/>
                <w:szCs w:val="20"/>
              </w:rPr>
              <w:t>用</w:t>
            </w:r>
            <w:r>
              <w:rPr>
                <w:rFonts w:ascii="宋体" w:hAnsi="宋体" w:cs="宋体"/>
                <w:kern w:val="0"/>
                <w:sz w:val="20"/>
                <w:szCs w:val="20"/>
              </w:rPr>
              <w:t>挂墙方式安装</w:t>
            </w:r>
            <w:r>
              <w:rPr>
                <w:rFonts w:hint="eastAsia" w:ascii="宋体" w:hAnsi="宋体" w:cs="宋体"/>
                <w:kern w:val="0"/>
                <w:sz w:val="20"/>
                <w:szCs w:val="20"/>
              </w:rPr>
              <w:t>，含</w:t>
            </w:r>
            <w:r>
              <w:rPr>
                <w:rFonts w:ascii="宋体" w:hAnsi="宋体" w:cs="宋体"/>
                <w:kern w:val="0"/>
                <w:sz w:val="20"/>
                <w:szCs w:val="20"/>
              </w:rPr>
              <w:t>控制网线</w:t>
            </w:r>
            <w:r>
              <w:rPr>
                <w:rFonts w:hint="eastAsia" w:ascii="宋体" w:hAnsi="宋体" w:cs="宋体"/>
                <w:kern w:val="0"/>
                <w:sz w:val="20"/>
                <w:szCs w:val="20"/>
              </w:rPr>
              <w:t>等相关安装</w:t>
            </w:r>
            <w:r>
              <w:rPr>
                <w:rFonts w:ascii="宋体" w:hAnsi="宋体" w:cs="宋体"/>
                <w:kern w:val="0"/>
                <w:sz w:val="20"/>
                <w:szCs w:val="20"/>
              </w:rPr>
              <w:t>耗材</w:t>
            </w:r>
            <w:r>
              <w:rPr>
                <w:rFonts w:hint="eastAsia" w:ascii="宋体" w:hAnsi="宋体" w:cs="宋体"/>
                <w:kern w:val="0"/>
                <w:sz w:val="20"/>
                <w:szCs w:val="20"/>
              </w:rPr>
              <w:t>、</w:t>
            </w:r>
            <w:r>
              <w:rPr>
                <w:rFonts w:ascii="宋体" w:hAnsi="宋体" w:cs="宋体"/>
                <w:kern w:val="0"/>
                <w:sz w:val="20"/>
                <w:szCs w:val="20"/>
              </w:rPr>
              <w:t>调试</w:t>
            </w:r>
            <w:r>
              <w:rPr>
                <w:rFonts w:hint="eastAsia" w:ascii="宋体" w:hAnsi="宋体" w:cs="宋体"/>
                <w:kern w:val="0"/>
                <w:sz w:val="20"/>
                <w:szCs w:val="20"/>
              </w:rPr>
              <w:t>、</w:t>
            </w:r>
            <w:r>
              <w:rPr>
                <w:rFonts w:hint="eastAsia" w:ascii="宋体" w:hAnsi="宋体" w:cs="宋体"/>
                <w:sz w:val="20"/>
                <w:szCs w:val="20"/>
              </w:rPr>
              <w:t>操作培训、</w:t>
            </w:r>
            <w:r>
              <w:rPr>
                <w:rFonts w:ascii="宋体" w:hAnsi="宋体" w:cs="宋体"/>
                <w:kern w:val="0"/>
                <w:sz w:val="20"/>
                <w:szCs w:val="20"/>
              </w:rPr>
              <w:t>运输费</w:t>
            </w:r>
            <w:r>
              <w:rPr>
                <w:rFonts w:hint="eastAsia" w:ascii="宋体" w:hAnsi="宋体" w:cs="宋体"/>
                <w:kern w:val="0"/>
                <w:sz w:val="20"/>
                <w:szCs w:val="20"/>
              </w:rPr>
              <w:t>。</w:t>
            </w:r>
          </w:p>
        </w:tc>
      </w:tr>
      <w:tr w14:paraId="0D0B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A391C37">
            <w:pPr>
              <w:widowControl/>
              <w:snapToGrid w:val="0"/>
              <w:spacing w:line="400" w:lineRule="exact"/>
              <w:jc w:val="center"/>
              <w:textAlignment w:val="center"/>
              <w:rPr>
                <w:rFonts w:ascii="宋体" w:hAnsi="宋体" w:cs="宋体"/>
                <w:sz w:val="20"/>
                <w:szCs w:val="20"/>
              </w:rPr>
            </w:pPr>
            <w:r>
              <w:rPr>
                <w:rStyle w:val="18"/>
                <w:rFonts w:hint="default"/>
                <w:color w:val="auto"/>
              </w:rPr>
              <w:t>付款方式</w:t>
            </w:r>
          </w:p>
        </w:tc>
        <w:tc>
          <w:tcPr>
            <w:tcW w:w="14624" w:type="dxa"/>
            <w:shd w:val="clear" w:color="auto" w:fill="auto"/>
            <w:vAlign w:val="center"/>
          </w:tcPr>
          <w:p w14:paraId="428599E0">
            <w:pPr>
              <w:widowControl/>
              <w:snapToGrid w:val="0"/>
              <w:spacing w:line="400" w:lineRule="exact"/>
              <w:jc w:val="left"/>
              <w:textAlignment w:val="center"/>
              <w:rPr>
                <w:rFonts w:ascii="宋体" w:hAnsi="宋体" w:cs="宋体"/>
                <w:sz w:val="20"/>
                <w:szCs w:val="20"/>
              </w:rPr>
            </w:pPr>
            <w:r>
              <w:rPr>
                <w:sz w:val="20"/>
                <w:szCs w:val="20"/>
              </w:rPr>
              <w:t> </w:t>
            </w:r>
            <w:r>
              <w:rPr>
                <w:rFonts w:hint="eastAsia" w:ascii="宋体" w:hAnsi="宋体"/>
                <w:kern w:val="0"/>
                <w:sz w:val="20"/>
                <w:szCs w:val="20"/>
              </w:rPr>
              <w:t>项目全部货物服务交付并安装调试至正常运行，经采购人最终验收合格后，中标人开具增值税专用发票给采购人，采购人在收到发票后10个工作日内一次性支付100%合同货款。</w:t>
            </w:r>
          </w:p>
        </w:tc>
      </w:tr>
      <w:tr w14:paraId="58A2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0AA382EB">
            <w:pPr>
              <w:widowControl/>
              <w:snapToGrid w:val="0"/>
              <w:spacing w:line="400" w:lineRule="exact"/>
              <w:jc w:val="center"/>
              <w:textAlignment w:val="center"/>
              <w:rPr>
                <w:rFonts w:ascii="宋体" w:hAnsi="宋体" w:cs="宋体"/>
                <w:szCs w:val="21"/>
              </w:rPr>
            </w:pPr>
            <w:r>
              <w:rPr>
                <w:rStyle w:val="18"/>
                <w:rFonts w:hint="default"/>
                <w:color w:val="auto"/>
                <w:sz w:val="21"/>
                <w:szCs w:val="21"/>
              </w:rPr>
              <w:t>验收要求</w:t>
            </w:r>
          </w:p>
        </w:tc>
        <w:tc>
          <w:tcPr>
            <w:tcW w:w="14624" w:type="dxa"/>
            <w:shd w:val="clear" w:color="auto" w:fill="auto"/>
            <w:vAlign w:val="center"/>
          </w:tcPr>
          <w:p w14:paraId="08FF4681">
            <w:pPr>
              <w:widowControl/>
              <w:snapToGrid w:val="0"/>
              <w:spacing w:line="400" w:lineRule="exact"/>
              <w:ind w:firstLine="420" w:firstLineChars="200"/>
              <w:jc w:val="left"/>
              <w:textAlignment w:val="center"/>
              <w:rPr>
                <w:rFonts w:ascii="宋体" w:hAnsi="宋体" w:cs="宋体"/>
                <w:kern w:val="0"/>
                <w:szCs w:val="21"/>
              </w:rPr>
            </w:pPr>
            <w:r>
              <w:rPr>
                <w:rFonts w:hint="eastAsia" w:ascii="宋体" w:hAnsi="宋体" w:cs="宋体"/>
                <w:kern w:val="0"/>
                <w:szCs w:val="21"/>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4E5FB174">
            <w:pPr>
              <w:widowControl/>
              <w:snapToGrid w:val="0"/>
              <w:spacing w:line="400" w:lineRule="exact"/>
              <w:ind w:firstLine="420" w:firstLineChars="200"/>
              <w:jc w:val="left"/>
              <w:textAlignment w:val="center"/>
              <w:rPr>
                <w:rFonts w:ascii="宋体" w:hAnsi="宋体" w:cs="宋体"/>
                <w:kern w:val="0"/>
                <w:szCs w:val="21"/>
              </w:rPr>
            </w:pPr>
            <w:r>
              <w:rPr>
                <w:rFonts w:hint="eastAsia" w:ascii="宋体" w:hAnsi="宋体" w:cs="宋体"/>
                <w:kern w:val="0"/>
                <w:szCs w:val="21"/>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7E9C0D76">
            <w:pPr>
              <w:widowControl/>
              <w:snapToGrid w:val="0"/>
              <w:spacing w:line="400" w:lineRule="exact"/>
              <w:ind w:firstLine="420" w:firstLineChars="200"/>
              <w:jc w:val="left"/>
              <w:textAlignment w:val="center"/>
              <w:rPr>
                <w:rFonts w:ascii="宋体" w:hAnsi="宋体" w:cs="宋体"/>
                <w:kern w:val="0"/>
                <w:szCs w:val="21"/>
              </w:rPr>
            </w:pPr>
            <w:r>
              <w:rPr>
                <w:rFonts w:hint="eastAsia" w:ascii="宋体" w:hAnsi="宋体" w:cs="宋体"/>
                <w:kern w:val="0"/>
                <w:szCs w:val="21"/>
              </w:rPr>
              <w:t>3、货物（设备）验收合格，项目约定产品或服务方可正式交接，双方对相关货物清单、随机附件及验收结论意见书等书面材料进行清点签字后，作为项目的最终验收。</w:t>
            </w:r>
          </w:p>
          <w:p w14:paraId="49312D8D">
            <w:pPr>
              <w:widowControl/>
              <w:snapToGrid w:val="0"/>
              <w:spacing w:line="400" w:lineRule="exact"/>
              <w:ind w:firstLine="420" w:firstLineChars="200"/>
              <w:jc w:val="left"/>
              <w:textAlignment w:val="center"/>
              <w:rPr>
                <w:rFonts w:ascii="宋体" w:hAnsi="宋体" w:cs="宋体"/>
                <w:kern w:val="0"/>
                <w:szCs w:val="21"/>
              </w:rPr>
            </w:pPr>
            <w:r>
              <w:rPr>
                <w:rFonts w:hint="eastAsia" w:ascii="宋体" w:hAnsi="宋体" w:cs="宋体"/>
                <w:kern w:val="0"/>
                <w:szCs w:val="21"/>
              </w:rPr>
              <w:t>4、验收费用：验收所产生的劳务费、检验费及相关发生的全部费用均由成交人承担。</w:t>
            </w:r>
          </w:p>
        </w:tc>
      </w:tr>
      <w:tr w14:paraId="3681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0FC70EEE">
            <w:pPr>
              <w:widowControl/>
              <w:snapToGrid w:val="0"/>
              <w:spacing w:line="400" w:lineRule="exact"/>
              <w:jc w:val="center"/>
              <w:textAlignment w:val="center"/>
              <w:rPr>
                <w:rFonts w:ascii="宋体" w:hAnsi="宋体" w:cs="宋体"/>
                <w:szCs w:val="21"/>
              </w:rPr>
            </w:pPr>
            <w:r>
              <w:rPr>
                <w:rFonts w:hint="eastAsia" w:ascii="宋体" w:hAnsi="宋体" w:cs="宋体"/>
                <w:kern w:val="0"/>
                <w:szCs w:val="21"/>
              </w:rPr>
              <w:t>其他要求</w:t>
            </w:r>
          </w:p>
        </w:tc>
        <w:tc>
          <w:tcPr>
            <w:tcW w:w="14624" w:type="dxa"/>
            <w:shd w:val="clear" w:color="auto" w:fill="auto"/>
            <w:vAlign w:val="center"/>
          </w:tcPr>
          <w:p w14:paraId="3178A38F">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供应商必须实质性响应本项目标注“▲”的技术参数要求，不允许负偏离，对技术参数要求中非标注“▲”的技术参数负偏离项数不超过3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64D250D6">
            <w:pPr>
              <w:autoSpaceDE w:val="0"/>
              <w:autoSpaceDN w:val="0"/>
              <w:adjustRightInd w:val="0"/>
              <w:spacing w:line="400" w:lineRule="exact"/>
              <w:ind w:firstLine="420" w:firstLineChars="200"/>
              <w:rPr>
                <w:rFonts w:ascii="宋体" w:hAnsi="宋体" w:cs="宋体"/>
                <w:sz w:val="20"/>
                <w:szCs w:val="20"/>
              </w:rPr>
            </w:pPr>
            <w:r>
              <w:rPr>
                <w:rFonts w:hint="eastAsia" w:ascii="宋体" w:hAnsi="宋体" w:cs="宋体"/>
                <w:szCs w:val="21"/>
              </w:rPr>
              <w:t>2、根据《财政部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kern w:val="0"/>
                <w:sz w:val="20"/>
                <w:szCs w:val="20"/>
              </w:rPr>
              <w:t>★</w:t>
            </w:r>
            <w:r>
              <w:rPr>
                <w:rFonts w:hint="eastAsia" w:ascii="宋体" w:hAnsi="宋体" w:cs="宋体"/>
                <w:sz w:val="20"/>
                <w:szCs w:val="20"/>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6D5FAB05">
            <w:pPr>
              <w:autoSpaceDE w:val="0"/>
              <w:autoSpaceDN w:val="0"/>
              <w:adjustRightInd w:val="0"/>
              <w:spacing w:line="400" w:lineRule="exact"/>
              <w:ind w:firstLine="400" w:firstLineChars="200"/>
              <w:rPr>
                <w:rFonts w:ascii="宋体" w:hAnsi="宋体" w:cs="宋体"/>
                <w:sz w:val="20"/>
                <w:szCs w:val="20"/>
              </w:rPr>
            </w:pPr>
            <w:r>
              <w:rPr>
                <w:rFonts w:hint="eastAsia" w:ascii="宋体" w:hAnsi="宋体" w:cs="宋体"/>
                <w:sz w:val="20"/>
                <w:szCs w:val="20"/>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425B46DE">
            <w:pPr>
              <w:autoSpaceDE w:val="0"/>
              <w:autoSpaceDN w:val="0"/>
              <w:adjustRightInd w:val="0"/>
              <w:spacing w:line="400" w:lineRule="exact"/>
              <w:ind w:firstLine="400" w:firstLineChars="200"/>
              <w:rPr>
                <w:rFonts w:ascii="宋体" w:hAnsi="宋体" w:cs="宋体"/>
                <w:sz w:val="20"/>
                <w:szCs w:val="20"/>
              </w:rPr>
            </w:pPr>
            <w:r>
              <w:rPr>
                <w:rFonts w:hint="eastAsia" w:ascii="宋体" w:hAnsi="宋体" w:cs="宋体"/>
                <w:sz w:val="20"/>
                <w:szCs w:val="20"/>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65008F53">
      <w:pPr>
        <w:widowControl/>
        <w:spacing w:line="288" w:lineRule="auto"/>
        <w:jc w:val="left"/>
        <w:rPr>
          <w:rFonts w:ascii="宋体" w:hAnsi="宋体" w:cs="宋体"/>
          <w:szCs w:val="21"/>
        </w:rPr>
      </w:pPr>
    </w:p>
    <w:p w14:paraId="1A6F59D5">
      <w:pPr>
        <w:widowControl/>
        <w:spacing w:line="288" w:lineRule="auto"/>
        <w:jc w:val="left"/>
        <w:rPr>
          <w:rFonts w:ascii="宋体" w:hAnsi="宋体" w:cs="宋体"/>
          <w:szCs w:val="21"/>
        </w:rPr>
      </w:pPr>
    </w:p>
    <w:p w14:paraId="58067115">
      <w:pPr>
        <w:widowControl/>
        <w:spacing w:line="288" w:lineRule="auto"/>
        <w:jc w:val="left"/>
        <w:rPr>
          <w:rFonts w:ascii="宋体" w:hAnsi="宋体" w:cs="宋体"/>
          <w:szCs w:val="21"/>
        </w:rPr>
      </w:pPr>
    </w:p>
    <w:p w14:paraId="31A727AF">
      <w:pPr>
        <w:widowControl/>
        <w:spacing w:line="288" w:lineRule="auto"/>
        <w:jc w:val="left"/>
        <w:rPr>
          <w:rFonts w:ascii="宋体" w:hAnsi="宋体" w:cs="宋体"/>
          <w:szCs w:val="21"/>
        </w:rPr>
      </w:pPr>
    </w:p>
    <w:p w14:paraId="65D1A99B">
      <w:pPr>
        <w:widowControl/>
        <w:spacing w:line="288" w:lineRule="auto"/>
        <w:jc w:val="left"/>
        <w:rPr>
          <w:rFonts w:ascii="宋体" w:hAnsi="宋体" w:cs="宋体"/>
          <w:szCs w:val="21"/>
        </w:rPr>
      </w:pPr>
    </w:p>
    <w:p w14:paraId="100B459B">
      <w:pPr>
        <w:widowControl/>
        <w:spacing w:line="288" w:lineRule="auto"/>
        <w:jc w:val="left"/>
        <w:rPr>
          <w:rFonts w:ascii="宋体" w:hAnsi="宋体" w:cs="宋体"/>
          <w:szCs w:val="21"/>
        </w:rPr>
      </w:pPr>
    </w:p>
    <w:p w14:paraId="2E351EB6">
      <w:pPr>
        <w:widowControl/>
        <w:spacing w:line="288" w:lineRule="auto"/>
        <w:jc w:val="left"/>
        <w:rPr>
          <w:rFonts w:ascii="宋体" w:hAnsi="宋体" w:cs="宋体"/>
          <w:szCs w:val="21"/>
        </w:rPr>
      </w:pPr>
    </w:p>
    <w:p w14:paraId="20CE5EB5">
      <w:pPr>
        <w:widowControl/>
        <w:spacing w:line="288" w:lineRule="auto"/>
        <w:jc w:val="left"/>
        <w:rPr>
          <w:rFonts w:ascii="宋体" w:hAnsi="宋体" w:cs="宋体"/>
          <w:szCs w:val="21"/>
        </w:rPr>
      </w:pPr>
    </w:p>
    <w:p w14:paraId="7BC1BC57">
      <w:pPr>
        <w:widowControl/>
        <w:spacing w:line="288" w:lineRule="auto"/>
        <w:jc w:val="left"/>
        <w:rPr>
          <w:rFonts w:ascii="宋体" w:hAnsi="宋体" w:cs="宋体"/>
          <w:szCs w:val="21"/>
        </w:rPr>
      </w:pPr>
    </w:p>
    <w:p w14:paraId="0637CE35">
      <w:pPr>
        <w:widowControl/>
        <w:spacing w:line="288" w:lineRule="auto"/>
        <w:jc w:val="left"/>
        <w:rPr>
          <w:rFonts w:ascii="宋体" w:hAnsi="宋体" w:cs="宋体"/>
          <w:szCs w:val="21"/>
        </w:rPr>
      </w:pPr>
    </w:p>
    <w:p w14:paraId="0397C543">
      <w:pPr>
        <w:widowControl/>
        <w:spacing w:line="288" w:lineRule="auto"/>
        <w:jc w:val="left"/>
        <w:rPr>
          <w:rFonts w:ascii="宋体" w:hAnsi="宋体" w:cs="宋体"/>
          <w:szCs w:val="21"/>
        </w:rPr>
      </w:pPr>
    </w:p>
    <w:p w14:paraId="06856BBC">
      <w:pPr>
        <w:widowControl/>
        <w:spacing w:line="288" w:lineRule="auto"/>
        <w:jc w:val="left"/>
        <w:rPr>
          <w:rFonts w:ascii="宋体" w:hAnsi="宋体" w:cs="宋体"/>
          <w:szCs w:val="21"/>
        </w:rPr>
      </w:pPr>
    </w:p>
    <w:p w14:paraId="1B8C9042">
      <w:pPr>
        <w:widowControl/>
        <w:spacing w:line="288" w:lineRule="auto"/>
        <w:jc w:val="left"/>
        <w:rPr>
          <w:rFonts w:ascii="宋体" w:hAnsi="宋体" w:cs="宋体"/>
          <w:szCs w:val="21"/>
        </w:rPr>
      </w:pPr>
    </w:p>
    <w:p w14:paraId="0B1511AA">
      <w:pPr>
        <w:widowControl/>
        <w:spacing w:line="288" w:lineRule="auto"/>
        <w:jc w:val="left"/>
        <w:rPr>
          <w:rFonts w:ascii="宋体" w:hAnsi="宋体" w:cs="宋体"/>
          <w:szCs w:val="21"/>
        </w:rPr>
      </w:pPr>
    </w:p>
    <w:p w14:paraId="662AFCD3">
      <w:pPr>
        <w:widowControl/>
        <w:spacing w:line="288" w:lineRule="auto"/>
        <w:jc w:val="left"/>
        <w:rPr>
          <w:rFonts w:ascii="宋体" w:hAnsi="宋体" w:cs="宋体"/>
          <w:szCs w:val="21"/>
        </w:rPr>
      </w:pPr>
    </w:p>
    <w:p w14:paraId="4D37DF03">
      <w:r>
        <w:rPr>
          <w:rFonts w:hint="eastAsia"/>
        </w:rPr>
        <w:t>附件</w:t>
      </w:r>
    </w:p>
    <w:p w14:paraId="546E5283">
      <w:pPr>
        <w:tabs>
          <w:tab w:val="left" w:pos="3479"/>
        </w:tabs>
        <w:spacing w:line="520" w:lineRule="exact"/>
        <w:jc w:val="center"/>
        <w:rPr>
          <w:rFonts w:asciiTheme="minorEastAsia" w:hAnsiTheme="minorEastAsia" w:cstheme="minorEastAsia"/>
          <w:b/>
          <w:sz w:val="32"/>
          <w:szCs w:val="32"/>
        </w:rPr>
      </w:pPr>
      <w:r>
        <w:rPr>
          <w:rFonts w:hint="eastAsia" w:asciiTheme="minorEastAsia" w:hAnsiTheme="minorEastAsia" w:cstheme="minorEastAsia"/>
          <w:b/>
          <w:sz w:val="44"/>
          <w:szCs w:val="44"/>
        </w:rPr>
        <w:t>竞  标  报  价  表</w:t>
      </w:r>
    </w:p>
    <w:p w14:paraId="251D0C05">
      <w:pPr>
        <w:spacing w:line="520" w:lineRule="exact"/>
        <w:jc w:val="center"/>
        <w:rPr>
          <w:rFonts w:ascii="方正小标宋简体" w:hAnsi="方正小标宋简体" w:eastAsia="方正小标宋简体" w:cs="方正小标宋简体"/>
          <w:bCs/>
          <w:sz w:val="32"/>
          <w:szCs w:val="32"/>
        </w:rPr>
      </w:pPr>
    </w:p>
    <w:p w14:paraId="352DE8EA">
      <w:pPr>
        <w:snapToGrid w:val="0"/>
        <w:spacing w:line="360" w:lineRule="auto"/>
        <w:rPr>
          <w:rFonts w:ascii="宋体" w:hAnsi="宋体" w:cs="仿宋_GB2312"/>
          <w:sz w:val="24"/>
        </w:rPr>
      </w:pPr>
      <w:r>
        <w:rPr>
          <w:rFonts w:hint="eastAsia" w:ascii="宋体" w:hAnsi="宋体" w:cs="仿宋_GB2312"/>
          <w:sz w:val="24"/>
        </w:rPr>
        <w:t>项目名称：                                                                                    单位：元</w:t>
      </w:r>
    </w:p>
    <w:tbl>
      <w:tblPr>
        <w:tblStyle w:val="10"/>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34C10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21E4221F">
            <w:pPr>
              <w:spacing w:line="360" w:lineRule="exact"/>
              <w:jc w:val="center"/>
              <w:rPr>
                <w:rFonts w:ascii="宋体" w:hAnsi="宋体" w:cs="仿宋_GB2312"/>
                <w:b/>
                <w:bCs/>
                <w:szCs w:val="21"/>
              </w:rPr>
            </w:pPr>
            <w:r>
              <w:rPr>
                <w:rFonts w:hint="eastAsia" w:ascii="宋体" w:hAnsi="宋体" w:cs="仿宋_GB2312"/>
                <w:b/>
                <w:bCs/>
                <w:szCs w:val="21"/>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5BB5938A">
            <w:pPr>
              <w:spacing w:line="360" w:lineRule="exact"/>
              <w:jc w:val="center"/>
              <w:rPr>
                <w:rFonts w:ascii="宋体" w:hAnsi="宋体" w:cs="仿宋_GB2312"/>
                <w:b/>
                <w:bCs/>
                <w:szCs w:val="21"/>
              </w:rPr>
            </w:pPr>
            <w:r>
              <w:rPr>
                <w:rFonts w:hint="eastAsia" w:ascii="宋体" w:hAnsi="宋体" w:cs="仿宋_GB2312"/>
                <w:b/>
                <w:bCs/>
                <w:szCs w:val="21"/>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25C96406">
            <w:pPr>
              <w:spacing w:line="360" w:lineRule="exact"/>
              <w:jc w:val="center"/>
              <w:rPr>
                <w:rFonts w:ascii="宋体" w:hAnsi="宋体" w:cs="仿宋_GB2312"/>
                <w:b/>
                <w:bCs/>
                <w:szCs w:val="21"/>
              </w:rPr>
            </w:pPr>
            <w:r>
              <w:rPr>
                <w:rFonts w:hint="eastAsia" w:ascii="宋体" w:hAnsi="宋体" w:cs="仿宋_GB2312"/>
                <w:b/>
                <w:bCs/>
                <w:szCs w:val="21"/>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566C5F83">
            <w:pPr>
              <w:spacing w:line="360" w:lineRule="exact"/>
              <w:jc w:val="center"/>
              <w:rPr>
                <w:rFonts w:ascii="宋体" w:hAnsi="宋体" w:cs="仿宋_GB2312"/>
                <w:b/>
                <w:bCs/>
                <w:szCs w:val="21"/>
              </w:rPr>
            </w:pPr>
            <w:r>
              <w:rPr>
                <w:rFonts w:hint="eastAsia" w:ascii="宋体" w:hAnsi="宋体" w:cs="仿宋_GB2312"/>
                <w:b/>
                <w:bCs/>
                <w:szCs w:val="21"/>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538A46A9">
            <w:pPr>
              <w:spacing w:line="360" w:lineRule="exact"/>
              <w:jc w:val="center"/>
              <w:rPr>
                <w:rFonts w:ascii="宋体" w:hAnsi="宋体" w:cs="仿宋_GB2312"/>
                <w:b/>
                <w:bCs/>
                <w:szCs w:val="21"/>
              </w:rPr>
            </w:pPr>
            <w:r>
              <w:rPr>
                <w:rFonts w:hint="eastAsia" w:ascii="宋体" w:hAnsi="宋体" w:cs="仿宋_GB2312"/>
                <w:b/>
                <w:bCs/>
                <w:szCs w:val="21"/>
              </w:rPr>
              <w:t>数量</w:t>
            </w:r>
          </w:p>
          <w:p w14:paraId="706F330C">
            <w:pPr>
              <w:spacing w:line="360" w:lineRule="exact"/>
              <w:jc w:val="center"/>
              <w:rPr>
                <w:rFonts w:ascii="宋体" w:hAnsi="宋体" w:cs="仿宋_GB2312"/>
                <w:b/>
                <w:bCs/>
                <w:szCs w:val="21"/>
              </w:rPr>
            </w:pPr>
            <w:r>
              <w:rPr>
                <w:rFonts w:hint="eastAsia" w:ascii="宋体" w:hAnsi="宋体" w:cs="仿宋_GB2312"/>
                <w:b/>
                <w:bCs/>
                <w:szCs w:val="21"/>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2DEC45D7">
            <w:pPr>
              <w:spacing w:line="360" w:lineRule="exact"/>
              <w:jc w:val="center"/>
              <w:rPr>
                <w:rFonts w:ascii="宋体" w:hAnsi="宋体" w:cs="仿宋_GB2312"/>
                <w:b/>
                <w:bCs/>
                <w:szCs w:val="21"/>
              </w:rPr>
            </w:pPr>
            <w:r>
              <w:rPr>
                <w:rFonts w:hint="eastAsia" w:ascii="宋体" w:hAnsi="宋体" w:cs="仿宋_GB2312"/>
                <w:b/>
                <w:bCs/>
                <w:szCs w:val="21"/>
              </w:rPr>
              <w:t>单价</w:t>
            </w:r>
          </w:p>
          <w:p w14:paraId="1559FFC5">
            <w:pPr>
              <w:spacing w:line="360" w:lineRule="exact"/>
              <w:jc w:val="center"/>
              <w:rPr>
                <w:rFonts w:ascii="宋体" w:hAnsi="宋体" w:cs="仿宋_GB2312"/>
                <w:b/>
                <w:bCs/>
                <w:szCs w:val="21"/>
              </w:rPr>
            </w:pPr>
            <w:r>
              <w:rPr>
                <w:rFonts w:hint="eastAsia" w:ascii="宋体" w:hAnsi="宋体" w:cs="仿宋_GB2312"/>
                <w:b/>
                <w:bCs/>
                <w:szCs w:val="21"/>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588993E4">
            <w:pPr>
              <w:spacing w:line="360" w:lineRule="exact"/>
              <w:jc w:val="center"/>
              <w:rPr>
                <w:rFonts w:ascii="宋体" w:hAnsi="宋体" w:cs="仿宋_GB2312"/>
                <w:b/>
                <w:bCs/>
                <w:szCs w:val="21"/>
              </w:rPr>
            </w:pPr>
            <w:r>
              <w:rPr>
                <w:rFonts w:hint="eastAsia" w:ascii="宋体" w:hAnsi="宋体" w:cs="仿宋_GB2312"/>
                <w:b/>
                <w:bCs/>
                <w:szCs w:val="21"/>
              </w:rPr>
              <w:t>竞标报价</w:t>
            </w:r>
          </w:p>
          <w:p w14:paraId="29073482">
            <w:pPr>
              <w:spacing w:line="360" w:lineRule="exact"/>
              <w:jc w:val="center"/>
              <w:rPr>
                <w:rFonts w:ascii="宋体" w:hAnsi="宋体" w:cs="仿宋_GB2312"/>
                <w:b/>
                <w:bCs/>
                <w:szCs w:val="21"/>
              </w:rPr>
            </w:pPr>
            <w:r>
              <w:rPr>
                <w:rFonts w:hint="eastAsia" w:ascii="宋体" w:hAnsi="宋体" w:cs="仿宋_GB2312"/>
                <w:b/>
                <w:bCs/>
                <w:szCs w:val="21"/>
              </w:rPr>
              <w:t>③=①×②</w:t>
            </w:r>
          </w:p>
        </w:tc>
      </w:tr>
      <w:tr w14:paraId="01DF4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657CB985">
            <w:pPr>
              <w:spacing w:line="360" w:lineRule="auto"/>
              <w:jc w:val="center"/>
              <w:rPr>
                <w:rFonts w:ascii="宋体" w:hAnsi="宋体" w:cs="仿宋_GB2312"/>
                <w:szCs w:val="21"/>
              </w:rPr>
            </w:pPr>
            <w:r>
              <w:rPr>
                <w:rFonts w:hint="eastAsia" w:ascii="宋体" w:hAnsi="宋体" w:cs="仿宋_GB2312"/>
                <w:szCs w:val="21"/>
              </w:rPr>
              <w:t>1</w:t>
            </w:r>
          </w:p>
        </w:tc>
        <w:tc>
          <w:tcPr>
            <w:tcW w:w="4343" w:type="dxa"/>
            <w:tcBorders>
              <w:top w:val="single" w:color="auto" w:sz="4" w:space="0"/>
              <w:left w:val="single" w:color="auto" w:sz="4" w:space="0"/>
              <w:bottom w:val="single" w:color="auto" w:sz="4" w:space="0"/>
              <w:right w:val="single" w:color="auto" w:sz="4" w:space="0"/>
            </w:tcBorders>
            <w:vAlign w:val="center"/>
          </w:tcPr>
          <w:p w14:paraId="2569C2EF">
            <w:pPr>
              <w:spacing w:line="360" w:lineRule="auto"/>
              <w:jc w:val="center"/>
              <w:rPr>
                <w:rFonts w:ascii="宋体" w:hAnsi="宋体" w:cs="仿宋_GB2312"/>
                <w:szCs w:val="21"/>
              </w:rPr>
            </w:pPr>
          </w:p>
        </w:tc>
        <w:tc>
          <w:tcPr>
            <w:tcW w:w="2865" w:type="dxa"/>
            <w:tcBorders>
              <w:top w:val="single" w:color="auto" w:sz="4" w:space="0"/>
              <w:left w:val="single" w:color="auto" w:sz="4" w:space="0"/>
              <w:bottom w:val="single" w:color="auto" w:sz="4" w:space="0"/>
              <w:right w:val="single" w:color="auto" w:sz="4" w:space="0"/>
            </w:tcBorders>
            <w:vAlign w:val="center"/>
          </w:tcPr>
          <w:p w14:paraId="3575EC44">
            <w:pPr>
              <w:spacing w:line="360" w:lineRule="auto"/>
              <w:jc w:val="center"/>
              <w:rPr>
                <w:rFonts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D16B4DC">
            <w:pPr>
              <w:spacing w:line="360" w:lineRule="exact"/>
              <w:jc w:val="center"/>
              <w:rPr>
                <w:rFonts w:ascii="宋体" w:hAnsi="宋体" w:cs="仿宋_GB2312"/>
                <w:b/>
                <w:bCs/>
                <w:szCs w:val="21"/>
              </w:rPr>
            </w:pPr>
            <w:r>
              <w:rPr>
                <w:rFonts w:hint="eastAsia" w:ascii="宋体" w:hAnsi="宋体" w:cs="仿宋_GB2312"/>
                <w:b/>
                <w:bCs/>
                <w:szCs w:val="21"/>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6DBF36FD">
            <w:pPr>
              <w:spacing w:line="360" w:lineRule="exact"/>
              <w:jc w:val="center"/>
              <w:rPr>
                <w:rFonts w:ascii="宋体" w:hAnsi="宋体" w:cs="仿宋_GB2312"/>
                <w:b/>
                <w:bCs/>
                <w:szCs w:val="21"/>
              </w:rPr>
            </w:pPr>
            <w:r>
              <w:rPr>
                <w:rFonts w:hint="eastAsia" w:ascii="宋体" w:hAnsi="宋体" w:cs="仿宋_GB2312"/>
                <w:b/>
                <w:bCs/>
                <w:szCs w:val="21"/>
              </w:rPr>
              <w:t>1</w:t>
            </w:r>
          </w:p>
        </w:tc>
        <w:tc>
          <w:tcPr>
            <w:tcW w:w="1445" w:type="dxa"/>
            <w:tcBorders>
              <w:top w:val="single" w:color="auto" w:sz="4" w:space="0"/>
              <w:left w:val="single" w:color="auto" w:sz="4" w:space="0"/>
              <w:bottom w:val="single" w:color="auto" w:sz="4" w:space="0"/>
              <w:right w:val="single" w:color="auto" w:sz="4" w:space="0"/>
            </w:tcBorders>
            <w:vAlign w:val="center"/>
          </w:tcPr>
          <w:p w14:paraId="3D5A7BD0">
            <w:pPr>
              <w:spacing w:line="360" w:lineRule="auto"/>
              <w:jc w:val="center"/>
              <w:rPr>
                <w:rFonts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318A1906">
            <w:pPr>
              <w:spacing w:line="360" w:lineRule="auto"/>
              <w:jc w:val="center"/>
              <w:rPr>
                <w:rFonts w:ascii="宋体" w:hAnsi="宋体" w:cs="仿宋_GB2312"/>
                <w:szCs w:val="21"/>
              </w:rPr>
            </w:pPr>
          </w:p>
        </w:tc>
      </w:tr>
      <w:tr w14:paraId="742D7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67E33E92">
            <w:pPr>
              <w:spacing w:line="360" w:lineRule="auto"/>
              <w:jc w:val="center"/>
              <w:rPr>
                <w:rFonts w:ascii="宋体" w:hAnsi="宋体" w:cs="仿宋_GB2312"/>
                <w:szCs w:val="21"/>
              </w:rPr>
            </w:pPr>
            <w:r>
              <w:rPr>
                <w:rFonts w:hint="eastAsia" w:ascii="宋体" w:hAnsi="宋体" w:cs="仿宋_GB2312"/>
                <w:szCs w:val="21"/>
              </w:rPr>
              <w:t>2</w:t>
            </w:r>
          </w:p>
        </w:tc>
        <w:tc>
          <w:tcPr>
            <w:tcW w:w="4343" w:type="dxa"/>
            <w:tcBorders>
              <w:top w:val="single" w:color="auto" w:sz="4" w:space="0"/>
              <w:left w:val="single" w:color="auto" w:sz="4" w:space="0"/>
              <w:bottom w:val="single" w:color="auto" w:sz="4" w:space="0"/>
              <w:right w:val="single" w:color="auto" w:sz="4" w:space="0"/>
            </w:tcBorders>
            <w:vAlign w:val="center"/>
          </w:tcPr>
          <w:p w14:paraId="45329505">
            <w:pPr>
              <w:spacing w:line="360" w:lineRule="auto"/>
              <w:jc w:val="center"/>
              <w:rPr>
                <w:rFonts w:ascii="宋体" w:hAnsi="宋体" w:cs="仿宋_GB2312"/>
                <w:szCs w:val="21"/>
              </w:rPr>
            </w:pPr>
          </w:p>
        </w:tc>
        <w:tc>
          <w:tcPr>
            <w:tcW w:w="2865" w:type="dxa"/>
            <w:tcBorders>
              <w:top w:val="single" w:color="auto" w:sz="4" w:space="0"/>
              <w:left w:val="single" w:color="auto" w:sz="4" w:space="0"/>
              <w:bottom w:val="single" w:color="auto" w:sz="4" w:space="0"/>
              <w:right w:val="single" w:color="auto" w:sz="4" w:space="0"/>
            </w:tcBorders>
            <w:vAlign w:val="center"/>
          </w:tcPr>
          <w:p w14:paraId="65A28A86">
            <w:pPr>
              <w:spacing w:line="360" w:lineRule="auto"/>
              <w:jc w:val="center"/>
              <w:rPr>
                <w:rFonts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8F0BEAB">
            <w:pPr>
              <w:spacing w:line="360" w:lineRule="exact"/>
              <w:jc w:val="center"/>
              <w:rPr>
                <w:rFonts w:ascii="宋体" w:hAnsi="宋体" w:cs="仿宋_GB2312"/>
                <w:b/>
                <w:bCs/>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6805FEC0">
            <w:pPr>
              <w:spacing w:line="360" w:lineRule="exact"/>
              <w:jc w:val="center"/>
              <w:rPr>
                <w:rFonts w:ascii="宋体" w:hAnsi="宋体" w:cs="仿宋_GB2312"/>
                <w:b/>
                <w:bCs/>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78A59E5B">
            <w:pPr>
              <w:spacing w:line="360" w:lineRule="auto"/>
              <w:jc w:val="center"/>
              <w:rPr>
                <w:rFonts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734E3157">
            <w:pPr>
              <w:spacing w:line="360" w:lineRule="auto"/>
              <w:jc w:val="center"/>
              <w:rPr>
                <w:rFonts w:ascii="宋体" w:hAnsi="宋体" w:cs="仿宋_GB2312"/>
                <w:szCs w:val="21"/>
              </w:rPr>
            </w:pPr>
          </w:p>
        </w:tc>
      </w:tr>
      <w:tr w14:paraId="13BD3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436448B">
            <w:pPr>
              <w:spacing w:line="360" w:lineRule="auto"/>
              <w:jc w:val="center"/>
              <w:rPr>
                <w:rFonts w:ascii="宋体" w:hAnsi="宋体" w:cs="仿宋_GB2312"/>
                <w:szCs w:val="21"/>
              </w:rPr>
            </w:pPr>
            <w:r>
              <w:rPr>
                <w:rFonts w:hint="eastAsia" w:ascii="宋体" w:hAnsi="宋体" w:cs="仿宋_GB2312"/>
                <w:szCs w:val="21"/>
              </w:rPr>
              <w:t>…</w:t>
            </w:r>
          </w:p>
        </w:tc>
        <w:tc>
          <w:tcPr>
            <w:tcW w:w="4343" w:type="dxa"/>
            <w:tcBorders>
              <w:top w:val="single" w:color="auto" w:sz="4" w:space="0"/>
              <w:left w:val="single" w:color="auto" w:sz="4" w:space="0"/>
              <w:bottom w:val="single" w:color="auto" w:sz="4" w:space="0"/>
              <w:right w:val="single" w:color="auto" w:sz="4" w:space="0"/>
            </w:tcBorders>
            <w:vAlign w:val="center"/>
          </w:tcPr>
          <w:p w14:paraId="08747B05">
            <w:pPr>
              <w:spacing w:line="360" w:lineRule="auto"/>
              <w:jc w:val="center"/>
              <w:rPr>
                <w:rFonts w:ascii="宋体" w:hAnsi="宋体" w:cs="仿宋_GB2312"/>
                <w:szCs w:val="21"/>
              </w:rPr>
            </w:pPr>
            <w:r>
              <w:rPr>
                <w:rFonts w:hint="eastAsia" w:ascii="宋体" w:hAnsi="宋体" w:cs="仿宋_GB2312"/>
                <w:szCs w:val="21"/>
              </w:rPr>
              <w:t>……</w:t>
            </w:r>
          </w:p>
        </w:tc>
        <w:tc>
          <w:tcPr>
            <w:tcW w:w="2865" w:type="dxa"/>
            <w:tcBorders>
              <w:top w:val="single" w:color="auto" w:sz="4" w:space="0"/>
              <w:left w:val="single" w:color="auto" w:sz="4" w:space="0"/>
              <w:bottom w:val="single" w:color="auto" w:sz="4" w:space="0"/>
              <w:right w:val="single" w:color="auto" w:sz="4" w:space="0"/>
            </w:tcBorders>
            <w:vAlign w:val="center"/>
          </w:tcPr>
          <w:p w14:paraId="1186D899">
            <w:pPr>
              <w:spacing w:line="360" w:lineRule="auto"/>
              <w:jc w:val="center"/>
              <w:rPr>
                <w:rFonts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D2C5A60">
            <w:pPr>
              <w:spacing w:line="360" w:lineRule="exact"/>
              <w:jc w:val="center"/>
              <w:rPr>
                <w:rFonts w:ascii="宋体" w:hAnsi="宋体" w:cs="仿宋_GB2312"/>
                <w:b/>
                <w:bCs/>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13A5B43A">
            <w:pPr>
              <w:spacing w:line="360" w:lineRule="exact"/>
              <w:jc w:val="center"/>
              <w:rPr>
                <w:rFonts w:ascii="宋体" w:hAnsi="宋体" w:cs="仿宋_GB2312"/>
                <w:b/>
                <w:bCs/>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32976983">
            <w:pPr>
              <w:spacing w:line="360" w:lineRule="auto"/>
              <w:jc w:val="center"/>
              <w:rPr>
                <w:rFonts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31E34BEA">
            <w:pPr>
              <w:spacing w:line="360" w:lineRule="auto"/>
              <w:jc w:val="center"/>
              <w:rPr>
                <w:rFonts w:ascii="宋体" w:hAnsi="宋体" w:cs="仿宋_GB2312"/>
                <w:szCs w:val="21"/>
              </w:rPr>
            </w:pPr>
          </w:p>
        </w:tc>
      </w:tr>
      <w:tr w14:paraId="07E25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760DCD3">
            <w:pPr>
              <w:spacing w:line="360" w:lineRule="auto"/>
              <w:jc w:val="center"/>
              <w:rPr>
                <w:rFonts w:ascii="宋体" w:hAnsi="宋体" w:cs="仿宋_GB2312"/>
                <w:szCs w:val="21"/>
              </w:rPr>
            </w:pPr>
            <w:r>
              <w:rPr>
                <w:rFonts w:hint="eastAsia" w:ascii="宋体" w:hAnsi="宋体" w:cs="仿宋_GB2312"/>
                <w:szCs w:val="21"/>
              </w:rPr>
              <w:t>…</w:t>
            </w:r>
          </w:p>
        </w:tc>
        <w:tc>
          <w:tcPr>
            <w:tcW w:w="4343" w:type="dxa"/>
            <w:tcBorders>
              <w:top w:val="single" w:color="auto" w:sz="4" w:space="0"/>
              <w:left w:val="single" w:color="auto" w:sz="4" w:space="0"/>
              <w:bottom w:val="single" w:color="auto" w:sz="4" w:space="0"/>
              <w:right w:val="single" w:color="auto" w:sz="4" w:space="0"/>
            </w:tcBorders>
            <w:vAlign w:val="center"/>
          </w:tcPr>
          <w:p w14:paraId="5451D8FA">
            <w:pPr>
              <w:spacing w:line="360" w:lineRule="auto"/>
              <w:jc w:val="center"/>
              <w:rPr>
                <w:rFonts w:ascii="宋体" w:hAnsi="宋体" w:cs="仿宋_GB2312"/>
                <w:szCs w:val="21"/>
              </w:rPr>
            </w:pPr>
            <w:r>
              <w:rPr>
                <w:rFonts w:hint="eastAsia" w:ascii="宋体" w:hAnsi="宋体" w:cs="仿宋_GB2312"/>
                <w:szCs w:val="21"/>
              </w:rPr>
              <w:t>……</w:t>
            </w:r>
          </w:p>
        </w:tc>
        <w:tc>
          <w:tcPr>
            <w:tcW w:w="2865" w:type="dxa"/>
            <w:tcBorders>
              <w:top w:val="single" w:color="auto" w:sz="4" w:space="0"/>
              <w:left w:val="single" w:color="auto" w:sz="4" w:space="0"/>
              <w:bottom w:val="single" w:color="auto" w:sz="4" w:space="0"/>
              <w:right w:val="single" w:color="auto" w:sz="4" w:space="0"/>
            </w:tcBorders>
            <w:vAlign w:val="center"/>
          </w:tcPr>
          <w:p w14:paraId="7E861E7E">
            <w:pPr>
              <w:spacing w:line="360" w:lineRule="auto"/>
              <w:jc w:val="center"/>
              <w:rPr>
                <w:rFonts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6FC55B4A">
            <w:pPr>
              <w:spacing w:line="360" w:lineRule="exact"/>
              <w:jc w:val="center"/>
              <w:rPr>
                <w:rFonts w:ascii="宋体" w:hAnsi="宋体" w:cs="仿宋_GB2312"/>
                <w:b/>
                <w:bCs/>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1C640DC9">
            <w:pPr>
              <w:spacing w:line="360" w:lineRule="exact"/>
              <w:jc w:val="center"/>
              <w:rPr>
                <w:rFonts w:ascii="宋体" w:hAnsi="宋体" w:cs="仿宋_GB2312"/>
                <w:b/>
                <w:bCs/>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40341868">
            <w:pPr>
              <w:spacing w:line="360" w:lineRule="auto"/>
              <w:jc w:val="center"/>
              <w:rPr>
                <w:rFonts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4008C7D0">
            <w:pPr>
              <w:spacing w:line="360" w:lineRule="auto"/>
              <w:jc w:val="center"/>
              <w:rPr>
                <w:rFonts w:ascii="宋体" w:hAnsi="宋体" w:cs="仿宋_GB2312"/>
                <w:szCs w:val="21"/>
              </w:rPr>
            </w:pPr>
          </w:p>
        </w:tc>
      </w:tr>
      <w:tr w14:paraId="6177B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3BD7C2D">
            <w:pPr>
              <w:snapToGrid w:val="0"/>
              <w:spacing w:line="360" w:lineRule="auto"/>
              <w:rPr>
                <w:rFonts w:ascii="宋体" w:hAnsi="宋体" w:cs="仿宋_GB2312"/>
                <w:szCs w:val="21"/>
                <w:u w:val="single"/>
              </w:rPr>
            </w:pPr>
            <w:r>
              <w:rPr>
                <w:rFonts w:hint="eastAsia" w:ascii="宋体" w:hAnsi="宋体" w:cs="仿宋_GB2312"/>
                <w:szCs w:val="21"/>
              </w:rPr>
              <w:t>合计金额大写：人民币      （</w:t>
            </w:r>
            <w:r>
              <w:rPr>
                <w:rFonts w:hint="eastAsia" w:ascii="宋体" w:hAnsi="宋体" w:cs="宋体"/>
                <w:szCs w:val="21"/>
              </w:rPr>
              <w:t>￥</w:t>
            </w:r>
            <w:r>
              <w:rPr>
                <w:rFonts w:hint="eastAsia" w:ascii="宋体" w:hAnsi="宋体" w:cs="仿宋_GB2312"/>
                <w:szCs w:val="21"/>
              </w:rPr>
              <w:t>：   ）</w:t>
            </w:r>
          </w:p>
        </w:tc>
      </w:tr>
    </w:tbl>
    <w:p w14:paraId="702E3B64">
      <w:pPr>
        <w:spacing w:line="360" w:lineRule="exact"/>
        <w:ind w:firstLine="420" w:firstLineChars="200"/>
        <w:contextualSpacing/>
        <w:rPr>
          <w:rFonts w:ascii="宋体" w:hAnsi="宋体"/>
          <w:szCs w:val="21"/>
        </w:rPr>
      </w:pPr>
      <w:r>
        <w:rPr>
          <w:rFonts w:hint="eastAsia" w:ascii="宋体" w:hAnsi="宋体"/>
          <w:szCs w:val="21"/>
        </w:rPr>
        <w:t>注: 1.所有价格均用人民币表示，单位为元，精确到小数点后两数位。</w:t>
      </w:r>
    </w:p>
    <w:p w14:paraId="3AB06F04">
      <w:pPr>
        <w:spacing w:line="360" w:lineRule="exact"/>
        <w:ind w:firstLine="840" w:firstLineChars="400"/>
        <w:contextualSpacing/>
        <w:rPr>
          <w:rFonts w:ascii="宋体" w:hAnsi="宋体"/>
          <w:szCs w:val="21"/>
        </w:rPr>
      </w:pPr>
      <w:r>
        <w:rPr>
          <w:rFonts w:hint="eastAsia" w:ascii="宋体" w:hAnsi="宋体"/>
          <w:szCs w:val="21"/>
        </w:rPr>
        <w:t>2、供应商的报价表必须加盖供应商公章并由法定代表人或者委托代理人签字，否则其响应文件按无效响应处理。</w:t>
      </w:r>
    </w:p>
    <w:p w14:paraId="075F4B72">
      <w:pPr>
        <w:spacing w:line="360" w:lineRule="exact"/>
        <w:ind w:firstLine="840" w:firstLineChars="400"/>
        <w:contextualSpacing/>
        <w:rPr>
          <w:rFonts w:ascii="宋体" w:hAnsi="宋体"/>
          <w:szCs w:val="21"/>
        </w:rPr>
      </w:pPr>
      <w:r>
        <w:rPr>
          <w:rFonts w:hint="eastAsia" w:ascii="宋体" w:hAnsi="宋体"/>
          <w:szCs w:val="21"/>
        </w:rPr>
        <w:t>3、报价一经涂改，应在涂改处加盖供应商公章或者由法定代表人或者授权委托人签字或者盖章，否则其响应文件按无效响应处理。</w:t>
      </w:r>
    </w:p>
    <w:p w14:paraId="3C0CE202">
      <w:pPr>
        <w:spacing w:line="360" w:lineRule="exact"/>
        <w:contextualSpacing/>
        <w:rPr>
          <w:rFonts w:ascii="宋体" w:hAnsi="宋体"/>
          <w:szCs w:val="21"/>
        </w:rPr>
      </w:pPr>
    </w:p>
    <w:p w14:paraId="41330BA6">
      <w:pPr>
        <w:spacing w:line="360" w:lineRule="auto"/>
        <w:ind w:right="-817" w:rightChars="-389" w:firstLine="5460" w:firstLineChars="2600"/>
        <w:contextualSpacing/>
        <w:rPr>
          <w:rFonts w:ascii="宋体" w:hAnsi="宋体" w:cs="仿宋_GB2312"/>
          <w:szCs w:val="21"/>
        </w:rPr>
      </w:pPr>
      <w:r>
        <w:rPr>
          <w:rFonts w:hint="eastAsia" w:ascii="宋体" w:hAnsi="宋体" w:cs="仿宋_GB2312"/>
          <w:szCs w:val="21"/>
        </w:rPr>
        <w:t xml:space="preserve">法定代表人或者委托代理人（签字）：                    </w:t>
      </w:r>
    </w:p>
    <w:p w14:paraId="420CB02F">
      <w:pPr>
        <w:spacing w:line="360" w:lineRule="auto"/>
        <w:ind w:right="-817" w:rightChars="-389" w:firstLine="7140" w:firstLineChars="3400"/>
        <w:contextualSpacing/>
        <w:rPr>
          <w:rFonts w:ascii="宋体" w:hAnsi="宋体" w:cs="仿宋_GB2312"/>
          <w:szCs w:val="21"/>
        </w:rPr>
      </w:pPr>
      <w:r>
        <w:rPr>
          <w:rFonts w:hint="eastAsia" w:ascii="宋体" w:hAnsi="宋体" w:cs="仿宋_GB2312"/>
          <w:szCs w:val="21"/>
        </w:rPr>
        <w:t xml:space="preserve">供应商（盖公章）：      </w:t>
      </w:r>
    </w:p>
    <w:p w14:paraId="5C841248">
      <w:pPr>
        <w:spacing w:line="360" w:lineRule="auto"/>
        <w:ind w:right="-817" w:rightChars="-389" w:firstLine="8190" w:firstLineChars="3900"/>
        <w:contextualSpacing/>
        <w:rPr>
          <w:rFonts w:ascii="宋体" w:hAnsi="宋体" w:cs="仿宋_GB2312"/>
          <w:szCs w:val="21"/>
        </w:rPr>
      </w:pPr>
      <w:r>
        <w:rPr>
          <w:rFonts w:hint="eastAsia" w:ascii="宋体" w:hAnsi="宋体" w:cs="仿宋_GB2312"/>
          <w:szCs w:val="21"/>
        </w:rPr>
        <w:t>日 期：   年   月   日</w:t>
      </w:r>
    </w:p>
    <w:p w14:paraId="1BD58F38">
      <w:pPr>
        <w:spacing w:line="360" w:lineRule="auto"/>
        <w:ind w:right="-817" w:rightChars="-389" w:firstLine="8190" w:firstLineChars="3900"/>
        <w:contextualSpacing/>
        <w:rPr>
          <w:rFonts w:ascii="宋体" w:hAnsi="宋体" w:cs="仿宋_GB2312"/>
          <w:szCs w:val="21"/>
        </w:rPr>
      </w:pPr>
    </w:p>
    <w:p w14:paraId="7AED549B">
      <w:pPr>
        <w:spacing w:line="360" w:lineRule="auto"/>
        <w:ind w:right="-817" w:rightChars="-389" w:firstLine="8190" w:firstLineChars="3900"/>
        <w:contextualSpacing/>
        <w:rPr>
          <w:rFonts w:ascii="宋体" w:hAnsi="宋体" w:cs="仿宋_GB2312"/>
          <w:szCs w:val="21"/>
        </w:rPr>
      </w:pPr>
    </w:p>
    <w:p w14:paraId="3CCD080F">
      <w:pPr>
        <w:spacing w:line="360" w:lineRule="auto"/>
        <w:ind w:right="-817" w:rightChars="-389" w:firstLine="8190" w:firstLineChars="3900"/>
        <w:contextualSpacing/>
        <w:rPr>
          <w:rFonts w:ascii="宋体" w:hAnsi="宋体" w:cs="仿宋_GB2312"/>
          <w:szCs w:val="21"/>
        </w:rPr>
      </w:pPr>
    </w:p>
    <w:p w14:paraId="52CCF008">
      <w:pPr>
        <w:spacing w:line="360" w:lineRule="auto"/>
        <w:ind w:right="-817" w:rightChars="-389" w:firstLine="8190" w:firstLineChars="3900"/>
        <w:contextualSpacing/>
        <w:rPr>
          <w:rFonts w:ascii="宋体" w:hAnsi="宋体" w:cs="仿宋_GB2312"/>
          <w:szCs w:val="21"/>
        </w:rPr>
      </w:pPr>
    </w:p>
    <w:p w14:paraId="7DC36FF2">
      <w:pPr>
        <w:spacing w:line="360" w:lineRule="auto"/>
        <w:ind w:right="-817" w:rightChars="-389" w:firstLine="8190" w:firstLineChars="3900"/>
        <w:contextualSpacing/>
        <w:rPr>
          <w:rFonts w:ascii="宋体" w:hAnsi="宋体" w:cs="仿宋_GB2312"/>
          <w:szCs w:val="21"/>
        </w:rPr>
      </w:pPr>
    </w:p>
    <w:p w14:paraId="460A918F">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宋体" w:hAnsi="宋体"/>
          <w:b/>
          <w:sz w:val="44"/>
          <w:szCs w:val="44"/>
        </w:rPr>
        <w:t>货物技术参数配置清单</w:t>
      </w:r>
    </w:p>
    <w:p w14:paraId="3401ABF5">
      <w:pPr>
        <w:spacing w:line="360" w:lineRule="auto"/>
        <w:rPr>
          <w:rFonts w:ascii="宋体" w:hAnsi="宋体"/>
          <w:szCs w:val="21"/>
        </w:rPr>
      </w:pPr>
      <w:r>
        <w:rPr>
          <w:rFonts w:hint="eastAsia" w:ascii="宋体" w:hAnsi="宋体"/>
          <w:szCs w:val="21"/>
        </w:rPr>
        <w:t xml:space="preserve">项目名称： </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10C56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2931A29A">
            <w:pPr>
              <w:snapToGrid w:val="0"/>
              <w:spacing w:before="50" w:after="50"/>
              <w:jc w:val="center"/>
              <w:rPr>
                <w:rFonts w:ascii="宋体" w:hAnsi="宋体"/>
                <w:szCs w:val="21"/>
              </w:rPr>
            </w:pPr>
            <w:r>
              <w:rPr>
                <w:rFonts w:hint="eastAsia" w:ascii="宋体" w:hAnsi="宋体"/>
                <w:szCs w:val="21"/>
              </w:rPr>
              <w:t>序号</w:t>
            </w:r>
          </w:p>
        </w:tc>
        <w:tc>
          <w:tcPr>
            <w:tcW w:w="905" w:type="pct"/>
            <w:tcBorders>
              <w:top w:val="single" w:color="auto" w:sz="4" w:space="0"/>
              <w:left w:val="single" w:color="auto" w:sz="4" w:space="0"/>
              <w:bottom w:val="single" w:color="auto" w:sz="4" w:space="0"/>
              <w:right w:val="single" w:color="auto" w:sz="4" w:space="0"/>
            </w:tcBorders>
            <w:vAlign w:val="center"/>
          </w:tcPr>
          <w:p w14:paraId="7246D387">
            <w:pPr>
              <w:snapToGrid w:val="0"/>
              <w:spacing w:before="50" w:after="50"/>
              <w:jc w:val="center"/>
              <w:rPr>
                <w:rFonts w:ascii="宋体" w:hAnsi="宋体"/>
                <w:szCs w:val="21"/>
              </w:rPr>
            </w:pPr>
            <w:r>
              <w:rPr>
                <w:rFonts w:hint="eastAsia" w:ascii="宋体" w:hAnsi="宋体"/>
                <w:szCs w:val="21"/>
              </w:rPr>
              <w:t>货物名称</w:t>
            </w:r>
          </w:p>
        </w:tc>
        <w:tc>
          <w:tcPr>
            <w:tcW w:w="226" w:type="pct"/>
            <w:tcBorders>
              <w:top w:val="single" w:color="auto" w:sz="4" w:space="0"/>
              <w:left w:val="single" w:color="auto" w:sz="4" w:space="0"/>
              <w:bottom w:val="single" w:color="auto" w:sz="4" w:space="0"/>
              <w:right w:val="single" w:color="auto" w:sz="4" w:space="0"/>
            </w:tcBorders>
            <w:vAlign w:val="center"/>
          </w:tcPr>
          <w:p w14:paraId="21222944">
            <w:pPr>
              <w:snapToGrid w:val="0"/>
              <w:spacing w:before="50" w:after="50"/>
              <w:jc w:val="center"/>
              <w:rPr>
                <w:rFonts w:ascii="宋体" w:hAnsi="宋体"/>
                <w:szCs w:val="21"/>
              </w:rPr>
            </w:pPr>
            <w:r>
              <w:rPr>
                <w:rFonts w:hint="eastAsia" w:ascii="宋体" w:hAnsi="宋体"/>
                <w:szCs w:val="21"/>
              </w:rPr>
              <w:t>单位</w:t>
            </w:r>
          </w:p>
        </w:tc>
        <w:tc>
          <w:tcPr>
            <w:tcW w:w="351" w:type="pct"/>
            <w:tcBorders>
              <w:top w:val="single" w:color="auto" w:sz="4" w:space="0"/>
              <w:left w:val="single" w:color="auto" w:sz="4" w:space="0"/>
              <w:bottom w:val="single" w:color="auto" w:sz="4" w:space="0"/>
              <w:right w:val="single" w:color="auto" w:sz="4" w:space="0"/>
            </w:tcBorders>
            <w:vAlign w:val="center"/>
          </w:tcPr>
          <w:p w14:paraId="20ECE2FB">
            <w:pPr>
              <w:snapToGrid w:val="0"/>
              <w:spacing w:before="50" w:after="50"/>
              <w:jc w:val="center"/>
              <w:rPr>
                <w:rFonts w:ascii="宋体" w:hAnsi="宋体"/>
                <w:szCs w:val="21"/>
              </w:rPr>
            </w:pPr>
            <w:r>
              <w:rPr>
                <w:rFonts w:hint="eastAsia" w:ascii="宋体" w:hAnsi="宋体"/>
                <w:szCs w:val="21"/>
              </w:rPr>
              <w:t>数量</w:t>
            </w:r>
          </w:p>
        </w:tc>
        <w:tc>
          <w:tcPr>
            <w:tcW w:w="446" w:type="pct"/>
            <w:tcBorders>
              <w:top w:val="single" w:color="auto" w:sz="4" w:space="0"/>
              <w:left w:val="single" w:color="auto" w:sz="4" w:space="0"/>
              <w:bottom w:val="single" w:color="auto" w:sz="4" w:space="0"/>
              <w:right w:val="single" w:color="auto" w:sz="4" w:space="0"/>
            </w:tcBorders>
            <w:vAlign w:val="center"/>
          </w:tcPr>
          <w:p w14:paraId="159A0D6A">
            <w:pPr>
              <w:snapToGrid w:val="0"/>
              <w:spacing w:before="50" w:after="50"/>
              <w:jc w:val="center"/>
              <w:rPr>
                <w:rFonts w:ascii="宋体" w:hAnsi="宋体"/>
                <w:szCs w:val="21"/>
              </w:rPr>
            </w:pPr>
            <w:r>
              <w:rPr>
                <w:rFonts w:hint="eastAsia" w:ascii="宋体" w:hAnsi="宋体"/>
                <w:szCs w:val="21"/>
              </w:rPr>
              <w:t>品牌</w:t>
            </w:r>
          </w:p>
        </w:tc>
        <w:tc>
          <w:tcPr>
            <w:tcW w:w="594" w:type="pct"/>
            <w:tcBorders>
              <w:top w:val="single" w:color="auto" w:sz="4" w:space="0"/>
              <w:left w:val="single" w:color="auto" w:sz="4" w:space="0"/>
              <w:bottom w:val="single" w:color="auto" w:sz="4" w:space="0"/>
              <w:right w:val="single" w:color="auto" w:sz="4" w:space="0"/>
            </w:tcBorders>
            <w:vAlign w:val="center"/>
          </w:tcPr>
          <w:p w14:paraId="55C0294E">
            <w:pPr>
              <w:snapToGrid w:val="0"/>
              <w:spacing w:before="50" w:after="50"/>
              <w:jc w:val="center"/>
              <w:rPr>
                <w:rFonts w:ascii="宋体" w:hAnsi="宋体"/>
                <w:szCs w:val="21"/>
              </w:rPr>
            </w:pPr>
            <w:r>
              <w:rPr>
                <w:rFonts w:hint="eastAsia" w:ascii="宋体" w:hAnsi="宋体"/>
                <w:szCs w:val="21"/>
              </w:rPr>
              <w:t>规格型号</w:t>
            </w:r>
          </w:p>
        </w:tc>
        <w:tc>
          <w:tcPr>
            <w:tcW w:w="578" w:type="pct"/>
            <w:tcBorders>
              <w:top w:val="single" w:color="auto" w:sz="4" w:space="0"/>
              <w:left w:val="single" w:color="auto" w:sz="4" w:space="0"/>
              <w:bottom w:val="single" w:color="auto" w:sz="4" w:space="0"/>
              <w:right w:val="single" w:color="auto" w:sz="4" w:space="0"/>
            </w:tcBorders>
            <w:vAlign w:val="center"/>
          </w:tcPr>
          <w:p w14:paraId="60226C56">
            <w:pPr>
              <w:snapToGrid w:val="0"/>
              <w:spacing w:before="50" w:after="50"/>
              <w:jc w:val="center"/>
              <w:rPr>
                <w:rFonts w:ascii="宋体" w:hAnsi="宋体"/>
                <w:szCs w:val="21"/>
              </w:rPr>
            </w:pPr>
            <w:r>
              <w:rPr>
                <w:rFonts w:hint="eastAsia" w:ascii="宋体" w:hAnsi="宋体"/>
                <w:szCs w:val="21"/>
              </w:rPr>
              <w:t>制造商</w:t>
            </w:r>
          </w:p>
        </w:tc>
        <w:tc>
          <w:tcPr>
            <w:tcW w:w="563" w:type="pct"/>
            <w:tcBorders>
              <w:top w:val="single" w:color="auto" w:sz="4" w:space="0"/>
              <w:left w:val="single" w:color="auto" w:sz="4" w:space="0"/>
              <w:bottom w:val="single" w:color="auto" w:sz="4" w:space="0"/>
              <w:right w:val="single" w:color="auto" w:sz="4" w:space="0"/>
            </w:tcBorders>
            <w:vAlign w:val="center"/>
          </w:tcPr>
          <w:p w14:paraId="165C900D">
            <w:pPr>
              <w:snapToGrid w:val="0"/>
              <w:spacing w:before="50" w:after="50"/>
              <w:jc w:val="center"/>
              <w:rPr>
                <w:rFonts w:ascii="宋体" w:hAnsi="宋体"/>
                <w:szCs w:val="21"/>
              </w:rPr>
            </w:pPr>
            <w:r>
              <w:rPr>
                <w:rFonts w:hint="eastAsia" w:ascii="宋体" w:hAnsi="宋体"/>
                <w:szCs w:val="21"/>
              </w:rPr>
              <w:t>原产地</w:t>
            </w:r>
          </w:p>
        </w:tc>
        <w:tc>
          <w:tcPr>
            <w:tcW w:w="1085" w:type="pct"/>
            <w:tcBorders>
              <w:top w:val="single" w:color="auto" w:sz="4" w:space="0"/>
              <w:left w:val="single" w:color="auto" w:sz="4" w:space="0"/>
              <w:bottom w:val="single" w:color="auto" w:sz="4" w:space="0"/>
              <w:right w:val="single" w:color="auto" w:sz="4" w:space="0"/>
            </w:tcBorders>
            <w:vAlign w:val="center"/>
          </w:tcPr>
          <w:p w14:paraId="465C87BF">
            <w:pPr>
              <w:snapToGrid w:val="0"/>
              <w:spacing w:before="50" w:after="50"/>
              <w:jc w:val="center"/>
              <w:rPr>
                <w:rFonts w:ascii="宋体" w:hAnsi="宋体"/>
                <w:szCs w:val="21"/>
              </w:rPr>
            </w:pPr>
            <w:r>
              <w:rPr>
                <w:rFonts w:hint="eastAsia" w:ascii="宋体" w:hAnsi="宋体"/>
                <w:szCs w:val="21"/>
              </w:rPr>
              <w:t>技术参数及性能配置</w:t>
            </w:r>
          </w:p>
        </w:tc>
      </w:tr>
      <w:tr w14:paraId="77A2A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47" w:type="pct"/>
            <w:tcBorders>
              <w:top w:val="single" w:color="auto" w:sz="4" w:space="0"/>
              <w:left w:val="single" w:color="auto" w:sz="4" w:space="0"/>
              <w:right w:val="single" w:color="auto" w:sz="4" w:space="0"/>
            </w:tcBorders>
            <w:vAlign w:val="center"/>
          </w:tcPr>
          <w:p w14:paraId="561D538C">
            <w:pPr>
              <w:snapToGrid w:val="0"/>
              <w:spacing w:before="50" w:after="50"/>
              <w:jc w:val="center"/>
              <w:rPr>
                <w:rFonts w:ascii="宋体" w:hAnsi="宋体"/>
                <w:szCs w:val="21"/>
              </w:rPr>
            </w:pPr>
            <w:r>
              <w:rPr>
                <w:rFonts w:hint="eastAsia" w:ascii="宋体" w:hAnsi="宋体"/>
                <w:szCs w:val="21"/>
              </w:rPr>
              <w:t>1</w:t>
            </w:r>
          </w:p>
        </w:tc>
        <w:tc>
          <w:tcPr>
            <w:tcW w:w="905" w:type="pct"/>
            <w:tcBorders>
              <w:top w:val="single" w:color="auto" w:sz="4" w:space="0"/>
              <w:left w:val="single" w:color="auto" w:sz="4" w:space="0"/>
              <w:bottom w:val="single" w:color="auto" w:sz="4" w:space="0"/>
              <w:right w:val="single" w:color="auto" w:sz="4" w:space="0"/>
            </w:tcBorders>
            <w:vAlign w:val="center"/>
          </w:tcPr>
          <w:p w14:paraId="2A19AEB6">
            <w:pPr>
              <w:widowControl/>
              <w:jc w:val="center"/>
              <w:textAlignment w:val="center"/>
              <w:rPr>
                <w:rFonts w:ascii="宋体" w:hAnsi="宋体"/>
                <w:szCs w:val="21"/>
              </w:rPr>
            </w:pPr>
          </w:p>
        </w:tc>
        <w:tc>
          <w:tcPr>
            <w:tcW w:w="226" w:type="pct"/>
            <w:tcBorders>
              <w:top w:val="single" w:color="auto" w:sz="4" w:space="0"/>
              <w:left w:val="single" w:color="auto" w:sz="4" w:space="0"/>
              <w:bottom w:val="single" w:color="auto" w:sz="4" w:space="0"/>
              <w:right w:val="single" w:color="auto" w:sz="4" w:space="0"/>
            </w:tcBorders>
            <w:vAlign w:val="center"/>
          </w:tcPr>
          <w:p w14:paraId="22FA898A">
            <w:pPr>
              <w:widowControl/>
              <w:jc w:val="center"/>
              <w:textAlignment w:val="center"/>
              <w:rPr>
                <w:rFonts w:ascii="宋体" w:hAnsi="宋体"/>
                <w:szCs w:val="21"/>
              </w:rPr>
            </w:pPr>
          </w:p>
        </w:tc>
        <w:tc>
          <w:tcPr>
            <w:tcW w:w="351" w:type="pct"/>
            <w:tcBorders>
              <w:top w:val="single" w:color="auto" w:sz="4" w:space="0"/>
              <w:left w:val="single" w:color="auto" w:sz="4" w:space="0"/>
              <w:bottom w:val="single" w:color="auto" w:sz="4" w:space="0"/>
              <w:right w:val="single" w:color="auto" w:sz="4" w:space="0"/>
            </w:tcBorders>
            <w:vAlign w:val="center"/>
          </w:tcPr>
          <w:p w14:paraId="5B66C357">
            <w:pPr>
              <w:widowControl/>
              <w:jc w:val="center"/>
              <w:textAlignment w:val="center"/>
              <w:rPr>
                <w:rFonts w:ascii="宋体" w:hAnsi="宋体"/>
                <w:szCs w:val="21"/>
              </w:rPr>
            </w:pPr>
          </w:p>
        </w:tc>
        <w:tc>
          <w:tcPr>
            <w:tcW w:w="446" w:type="pct"/>
            <w:tcBorders>
              <w:top w:val="single" w:color="auto" w:sz="4" w:space="0"/>
              <w:left w:val="single" w:color="auto" w:sz="4" w:space="0"/>
              <w:bottom w:val="single" w:color="auto" w:sz="4" w:space="0"/>
              <w:right w:val="single" w:color="auto" w:sz="4" w:space="0"/>
            </w:tcBorders>
            <w:vAlign w:val="center"/>
          </w:tcPr>
          <w:p w14:paraId="18B87824">
            <w:pPr>
              <w:snapToGrid w:val="0"/>
              <w:spacing w:before="50" w:after="50"/>
              <w:jc w:val="center"/>
              <w:rPr>
                <w:rFonts w:ascii="宋体" w:hAnsi="宋体"/>
                <w:szCs w:val="21"/>
              </w:rPr>
            </w:pPr>
          </w:p>
        </w:tc>
        <w:tc>
          <w:tcPr>
            <w:tcW w:w="594" w:type="pct"/>
            <w:tcBorders>
              <w:top w:val="single" w:color="auto" w:sz="4" w:space="0"/>
              <w:left w:val="single" w:color="auto" w:sz="4" w:space="0"/>
              <w:bottom w:val="single" w:color="auto" w:sz="4" w:space="0"/>
              <w:right w:val="single" w:color="auto" w:sz="4" w:space="0"/>
            </w:tcBorders>
          </w:tcPr>
          <w:p w14:paraId="418C5CD7">
            <w:pPr>
              <w:snapToGrid w:val="0"/>
              <w:spacing w:before="50" w:after="50"/>
              <w:jc w:val="center"/>
              <w:rPr>
                <w:rFonts w:ascii="宋体" w:hAnsi="宋体"/>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DA170E7">
            <w:pPr>
              <w:snapToGrid w:val="0"/>
              <w:spacing w:before="50" w:after="50"/>
              <w:jc w:val="center"/>
              <w:rPr>
                <w:rFonts w:ascii="宋体" w:hAnsi="宋体"/>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0DD77FDE">
            <w:pPr>
              <w:snapToGrid w:val="0"/>
              <w:spacing w:before="50" w:after="50"/>
              <w:jc w:val="center"/>
              <w:rPr>
                <w:rFonts w:ascii="宋体" w:hAnsi="宋体"/>
                <w:szCs w:val="21"/>
              </w:rPr>
            </w:pPr>
          </w:p>
        </w:tc>
        <w:tc>
          <w:tcPr>
            <w:tcW w:w="1085" w:type="pct"/>
            <w:tcBorders>
              <w:top w:val="single" w:color="auto" w:sz="4" w:space="0"/>
              <w:left w:val="single" w:color="auto" w:sz="4" w:space="0"/>
              <w:bottom w:val="single" w:color="auto" w:sz="4" w:space="0"/>
              <w:right w:val="single" w:color="auto" w:sz="4" w:space="0"/>
            </w:tcBorders>
            <w:vAlign w:val="center"/>
          </w:tcPr>
          <w:p w14:paraId="3A239249">
            <w:pPr>
              <w:snapToGrid w:val="0"/>
              <w:spacing w:before="50" w:after="50"/>
              <w:jc w:val="center"/>
              <w:rPr>
                <w:rFonts w:ascii="宋体" w:hAnsi="宋体"/>
                <w:szCs w:val="21"/>
              </w:rPr>
            </w:pPr>
          </w:p>
        </w:tc>
      </w:tr>
      <w:tr w14:paraId="2FDBE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2705E59">
            <w:pPr>
              <w:snapToGrid w:val="0"/>
              <w:spacing w:before="50" w:after="50"/>
              <w:jc w:val="center"/>
              <w:rPr>
                <w:rFonts w:ascii="宋体" w:hAnsi="宋体"/>
                <w:szCs w:val="21"/>
              </w:rPr>
            </w:pPr>
            <w:r>
              <w:rPr>
                <w:rFonts w:hint="eastAsia" w:ascii="宋体" w:hAnsi="宋体"/>
                <w:szCs w:val="21"/>
              </w:rPr>
              <w:t>2</w:t>
            </w:r>
          </w:p>
        </w:tc>
        <w:tc>
          <w:tcPr>
            <w:tcW w:w="905" w:type="pct"/>
            <w:tcBorders>
              <w:top w:val="single" w:color="auto" w:sz="4" w:space="0"/>
              <w:left w:val="single" w:color="auto" w:sz="4" w:space="0"/>
              <w:bottom w:val="single" w:color="auto" w:sz="4" w:space="0"/>
              <w:right w:val="single" w:color="auto" w:sz="4" w:space="0"/>
            </w:tcBorders>
            <w:vAlign w:val="center"/>
          </w:tcPr>
          <w:p w14:paraId="37325214">
            <w:pPr>
              <w:widowControl/>
              <w:jc w:val="center"/>
              <w:textAlignment w:val="center"/>
              <w:rPr>
                <w:rFonts w:ascii="宋体" w:hAnsi="宋体"/>
                <w:color w:val="000000"/>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14:paraId="69C6AD52">
            <w:pPr>
              <w:widowControl/>
              <w:jc w:val="center"/>
              <w:textAlignment w:val="center"/>
              <w:rPr>
                <w:rFonts w:ascii="宋体" w:hAnsi="宋体"/>
                <w:szCs w:val="21"/>
              </w:rPr>
            </w:pPr>
          </w:p>
        </w:tc>
        <w:tc>
          <w:tcPr>
            <w:tcW w:w="351" w:type="pct"/>
            <w:tcBorders>
              <w:top w:val="single" w:color="auto" w:sz="4" w:space="0"/>
              <w:left w:val="single" w:color="auto" w:sz="4" w:space="0"/>
              <w:bottom w:val="single" w:color="auto" w:sz="4" w:space="0"/>
              <w:right w:val="single" w:color="auto" w:sz="4" w:space="0"/>
            </w:tcBorders>
            <w:vAlign w:val="center"/>
          </w:tcPr>
          <w:p w14:paraId="165911AC">
            <w:pPr>
              <w:widowControl/>
              <w:jc w:val="center"/>
              <w:textAlignment w:val="center"/>
              <w:rPr>
                <w:rFonts w:ascii="宋体" w:hAnsi="宋体"/>
                <w:szCs w:val="21"/>
              </w:rPr>
            </w:pPr>
          </w:p>
        </w:tc>
        <w:tc>
          <w:tcPr>
            <w:tcW w:w="446" w:type="pct"/>
            <w:tcBorders>
              <w:top w:val="single" w:color="auto" w:sz="4" w:space="0"/>
              <w:left w:val="single" w:color="auto" w:sz="4" w:space="0"/>
              <w:bottom w:val="single" w:color="auto" w:sz="4" w:space="0"/>
              <w:right w:val="single" w:color="auto" w:sz="4" w:space="0"/>
            </w:tcBorders>
            <w:vAlign w:val="center"/>
          </w:tcPr>
          <w:p w14:paraId="30D94726">
            <w:pPr>
              <w:snapToGrid w:val="0"/>
              <w:spacing w:before="50" w:after="50"/>
              <w:jc w:val="center"/>
              <w:rPr>
                <w:rFonts w:ascii="宋体" w:hAnsi="宋体"/>
                <w:szCs w:val="21"/>
              </w:rPr>
            </w:pPr>
          </w:p>
        </w:tc>
        <w:tc>
          <w:tcPr>
            <w:tcW w:w="594" w:type="pct"/>
            <w:tcBorders>
              <w:top w:val="single" w:color="auto" w:sz="4" w:space="0"/>
              <w:left w:val="single" w:color="auto" w:sz="4" w:space="0"/>
              <w:bottom w:val="single" w:color="auto" w:sz="4" w:space="0"/>
              <w:right w:val="single" w:color="auto" w:sz="4" w:space="0"/>
            </w:tcBorders>
          </w:tcPr>
          <w:p w14:paraId="38DEBEA0">
            <w:pPr>
              <w:snapToGrid w:val="0"/>
              <w:spacing w:before="50" w:after="50"/>
              <w:jc w:val="center"/>
              <w:rPr>
                <w:rFonts w:ascii="宋体" w:hAnsi="宋体"/>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00976D01">
            <w:pPr>
              <w:snapToGrid w:val="0"/>
              <w:spacing w:before="50" w:after="50"/>
              <w:jc w:val="center"/>
              <w:rPr>
                <w:rFonts w:ascii="宋体" w:hAnsi="宋体"/>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29FDF923">
            <w:pPr>
              <w:snapToGrid w:val="0"/>
              <w:spacing w:before="50" w:after="50"/>
              <w:jc w:val="center"/>
              <w:rPr>
                <w:rFonts w:ascii="宋体" w:hAnsi="宋体"/>
                <w:szCs w:val="21"/>
              </w:rPr>
            </w:pPr>
          </w:p>
        </w:tc>
        <w:tc>
          <w:tcPr>
            <w:tcW w:w="1085" w:type="pct"/>
            <w:tcBorders>
              <w:top w:val="single" w:color="auto" w:sz="4" w:space="0"/>
              <w:left w:val="single" w:color="auto" w:sz="4" w:space="0"/>
              <w:bottom w:val="single" w:color="auto" w:sz="4" w:space="0"/>
              <w:right w:val="single" w:color="auto" w:sz="4" w:space="0"/>
            </w:tcBorders>
            <w:vAlign w:val="center"/>
          </w:tcPr>
          <w:p w14:paraId="1F51D0DC">
            <w:pPr>
              <w:snapToGrid w:val="0"/>
              <w:spacing w:before="50" w:after="50"/>
              <w:jc w:val="center"/>
              <w:rPr>
                <w:rFonts w:ascii="宋体" w:hAnsi="宋体"/>
                <w:szCs w:val="21"/>
              </w:rPr>
            </w:pPr>
          </w:p>
        </w:tc>
      </w:tr>
      <w:tr w14:paraId="410B7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2A2C2300">
            <w:pPr>
              <w:snapToGrid w:val="0"/>
              <w:spacing w:before="50" w:after="50"/>
              <w:jc w:val="center"/>
              <w:rPr>
                <w:rFonts w:ascii="宋体" w:hAnsi="宋体"/>
                <w:szCs w:val="21"/>
              </w:rPr>
            </w:pPr>
            <w:r>
              <w:rPr>
                <w:rFonts w:hint="eastAsia" w:ascii="宋体" w:hAnsi="宋体"/>
                <w:szCs w:val="21"/>
              </w:rPr>
              <w:t>……</w:t>
            </w:r>
          </w:p>
        </w:tc>
        <w:tc>
          <w:tcPr>
            <w:tcW w:w="905" w:type="pct"/>
            <w:tcBorders>
              <w:top w:val="single" w:color="auto" w:sz="4" w:space="0"/>
              <w:left w:val="single" w:color="auto" w:sz="4" w:space="0"/>
              <w:bottom w:val="single" w:color="auto" w:sz="4" w:space="0"/>
              <w:right w:val="single" w:color="auto" w:sz="4" w:space="0"/>
            </w:tcBorders>
            <w:vAlign w:val="center"/>
          </w:tcPr>
          <w:p w14:paraId="6F23F28B">
            <w:pPr>
              <w:widowControl/>
              <w:jc w:val="center"/>
              <w:textAlignment w:val="center"/>
              <w:rPr>
                <w:rFonts w:ascii="宋体" w:hAnsi="宋体"/>
                <w:color w:val="000000"/>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14:paraId="180F8BFD">
            <w:pPr>
              <w:widowControl/>
              <w:jc w:val="center"/>
              <w:textAlignment w:val="center"/>
              <w:rPr>
                <w:rFonts w:ascii="宋体" w:hAnsi="宋体"/>
                <w:szCs w:val="21"/>
              </w:rPr>
            </w:pPr>
          </w:p>
        </w:tc>
        <w:tc>
          <w:tcPr>
            <w:tcW w:w="351" w:type="pct"/>
            <w:tcBorders>
              <w:top w:val="single" w:color="auto" w:sz="4" w:space="0"/>
              <w:left w:val="single" w:color="auto" w:sz="4" w:space="0"/>
              <w:bottom w:val="single" w:color="auto" w:sz="4" w:space="0"/>
              <w:right w:val="single" w:color="auto" w:sz="4" w:space="0"/>
            </w:tcBorders>
            <w:vAlign w:val="center"/>
          </w:tcPr>
          <w:p w14:paraId="2D656817">
            <w:pPr>
              <w:widowControl/>
              <w:jc w:val="center"/>
              <w:textAlignment w:val="center"/>
              <w:rPr>
                <w:rFonts w:ascii="宋体" w:hAnsi="宋体"/>
                <w:szCs w:val="21"/>
              </w:rPr>
            </w:pPr>
          </w:p>
        </w:tc>
        <w:tc>
          <w:tcPr>
            <w:tcW w:w="446" w:type="pct"/>
            <w:tcBorders>
              <w:top w:val="single" w:color="auto" w:sz="4" w:space="0"/>
              <w:left w:val="single" w:color="auto" w:sz="4" w:space="0"/>
              <w:bottom w:val="single" w:color="auto" w:sz="4" w:space="0"/>
              <w:right w:val="single" w:color="auto" w:sz="4" w:space="0"/>
            </w:tcBorders>
            <w:vAlign w:val="center"/>
          </w:tcPr>
          <w:p w14:paraId="2905D280">
            <w:pPr>
              <w:snapToGrid w:val="0"/>
              <w:spacing w:before="50" w:after="50"/>
              <w:jc w:val="center"/>
              <w:rPr>
                <w:rFonts w:ascii="宋体" w:hAnsi="宋体"/>
                <w:szCs w:val="21"/>
              </w:rPr>
            </w:pPr>
          </w:p>
        </w:tc>
        <w:tc>
          <w:tcPr>
            <w:tcW w:w="594" w:type="pct"/>
            <w:tcBorders>
              <w:top w:val="single" w:color="auto" w:sz="4" w:space="0"/>
              <w:left w:val="single" w:color="auto" w:sz="4" w:space="0"/>
              <w:bottom w:val="single" w:color="auto" w:sz="4" w:space="0"/>
              <w:right w:val="single" w:color="auto" w:sz="4" w:space="0"/>
            </w:tcBorders>
          </w:tcPr>
          <w:p w14:paraId="73E8C9C0">
            <w:pPr>
              <w:snapToGrid w:val="0"/>
              <w:spacing w:before="50" w:after="50"/>
              <w:jc w:val="center"/>
              <w:rPr>
                <w:rFonts w:ascii="宋体" w:hAnsi="宋体"/>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214D618F">
            <w:pPr>
              <w:snapToGrid w:val="0"/>
              <w:spacing w:before="50" w:after="50"/>
              <w:jc w:val="center"/>
              <w:rPr>
                <w:rFonts w:ascii="宋体" w:hAnsi="宋体"/>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172F5F3B">
            <w:pPr>
              <w:snapToGrid w:val="0"/>
              <w:spacing w:before="50" w:after="50"/>
              <w:jc w:val="center"/>
              <w:rPr>
                <w:rFonts w:ascii="宋体" w:hAnsi="宋体"/>
                <w:szCs w:val="21"/>
              </w:rPr>
            </w:pPr>
          </w:p>
        </w:tc>
        <w:tc>
          <w:tcPr>
            <w:tcW w:w="1085" w:type="pct"/>
            <w:tcBorders>
              <w:top w:val="single" w:color="auto" w:sz="4" w:space="0"/>
              <w:left w:val="single" w:color="auto" w:sz="4" w:space="0"/>
              <w:bottom w:val="single" w:color="auto" w:sz="4" w:space="0"/>
              <w:right w:val="single" w:color="auto" w:sz="4" w:space="0"/>
            </w:tcBorders>
            <w:vAlign w:val="center"/>
          </w:tcPr>
          <w:p w14:paraId="1221D810">
            <w:pPr>
              <w:snapToGrid w:val="0"/>
              <w:spacing w:before="50" w:after="50"/>
              <w:jc w:val="center"/>
              <w:rPr>
                <w:rFonts w:ascii="宋体" w:hAnsi="宋体"/>
                <w:szCs w:val="21"/>
              </w:rPr>
            </w:pPr>
          </w:p>
        </w:tc>
      </w:tr>
    </w:tbl>
    <w:p w14:paraId="4E3E358A">
      <w:pPr>
        <w:contextualSpacing/>
        <w:rPr>
          <w:rFonts w:ascii="宋体" w:hAnsi="宋体"/>
          <w:szCs w:val="21"/>
        </w:rPr>
      </w:pPr>
      <w:r>
        <w:rPr>
          <w:rFonts w:hint="eastAsia" w:ascii="宋体" w:hAnsi="宋体"/>
          <w:szCs w:val="21"/>
        </w:rPr>
        <w:t>备注：</w:t>
      </w:r>
      <w:r>
        <w:rPr>
          <w:rFonts w:hint="eastAsia" w:ascii="宋体" w:hAnsi="宋体"/>
          <w:b/>
          <w:bCs/>
          <w:szCs w:val="21"/>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b/>
          <w:szCs w:val="21"/>
        </w:rPr>
        <w:t>。</w:t>
      </w:r>
      <w:r>
        <w:rPr>
          <w:rFonts w:hint="eastAsia" w:ascii="宋体" w:hAnsi="宋体"/>
          <w:szCs w:val="21"/>
        </w:rPr>
        <w:t>货物名称、数量及单位、品牌必须与“竞标报价表”一致，</w:t>
      </w:r>
      <w:r>
        <w:rPr>
          <w:rFonts w:hint="eastAsia" w:ascii="宋体" w:hAnsi="宋体"/>
          <w:bCs/>
          <w:szCs w:val="21"/>
        </w:rPr>
        <w:t>否则响应文件按无效响应处理</w:t>
      </w:r>
      <w:r>
        <w:rPr>
          <w:rFonts w:hint="eastAsia" w:ascii="宋体" w:hAnsi="宋体"/>
          <w:b/>
          <w:szCs w:val="21"/>
        </w:rPr>
        <w:t>。</w:t>
      </w:r>
      <w:r>
        <w:rPr>
          <w:rFonts w:hint="eastAsia" w:ascii="宋体" w:hAnsi="宋体"/>
          <w:szCs w:val="21"/>
        </w:rPr>
        <w:tab/>
      </w:r>
    </w:p>
    <w:p w14:paraId="360EEA50">
      <w:pPr>
        <w:pStyle w:val="9"/>
        <w:rPr>
          <w:rFonts w:ascii="宋体" w:hAnsi="宋体" w:cs="宋体"/>
          <w:szCs w:val="21"/>
        </w:rPr>
      </w:pPr>
    </w:p>
    <w:p w14:paraId="59059159">
      <w:pPr>
        <w:ind w:right="-817" w:rightChars="-389"/>
        <w:contextualSpacing/>
        <w:jc w:val="center"/>
        <w:rPr>
          <w:rFonts w:ascii="宋体" w:hAnsi="宋体"/>
          <w:szCs w:val="21"/>
        </w:rPr>
      </w:pPr>
      <w:r>
        <w:rPr>
          <w:rFonts w:hint="eastAsia" w:ascii="宋体" w:hAnsi="宋体"/>
          <w:szCs w:val="21"/>
        </w:rPr>
        <w:t>法定代表人或者委托代理人（签字）：</w:t>
      </w:r>
    </w:p>
    <w:p w14:paraId="14F4ACB1">
      <w:pPr>
        <w:ind w:right="-817" w:rightChars="-389" w:firstLine="7245" w:firstLineChars="3450"/>
        <w:contextualSpacing/>
        <w:rPr>
          <w:rFonts w:ascii="宋体" w:hAnsi="宋体"/>
          <w:szCs w:val="21"/>
        </w:rPr>
      </w:pPr>
      <w:r>
        <w:rPr>
          <w:rFonts w:hint="eastAsia" w:ascii="宋体" w:hAnsi="宋体"/>
          <w:szCs w:val="21"/>
        </w:rPr>
        <w:t xml:space="preserve">供应商（盖公章）：      </w:t>
      </w:r>
    </w:p>
    <w:p w14:paraId="24FC38AC">
      <w:pPr>
        <w:ind w:right="-817" w:rightChars="-389" w:firstLine="8190" w:firstLineChars="3900"/>
        <w:contextualSpacing/>
      </w:pPr>
      <w:r>
        <w:rPr>
          <w:rFonts w:hint="eastAsia" w:ascii="宋体" w:hAnsi="宋体"/>
          <w:szCs w:val="21"/>
        </w:rPr>
        <w:t>日  期：    年   月   日</w:t>
      </w:r>
    </w:p>
    <w:p w14:paraId="261AD29B"/>
    <w:p w14:paraId="43E07DEC">
      <w:pPr>
        <w:ind w:right="-817" w:rightChars="-389" w:firstLine="8190" w:firstLineChars="3900"/>
        <w:contextualSpacing/>
        <w:rPr>
          <w:rFonts w:ascii="宋体" w:hAnsi="宋体" w:cs="宋体"/>
          <w:szCs w:val="21"/>
        </w:rPr>
      </w:pPr>
    </w:p>
    <w:sectPr>
      <w:pgSz w:w="16838" w:h="11906" w:orient="landscape"/>
      <w:pgMar w:top="720" w:right="720" w:bottom="720" w:left="72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1BCE3325-9AEC-4C2B-A25C-B4B2321E8640}"/>
  </w:font>
  <w:font w:name="仿宋_GB2312">
    <w:panose1 w:val="02010609030101010101"/>
    <w:charset w:val="86"/>
    <w:family w:val="modern"/>
    <w:pitch w:val="default"/>
    <w:sig w:usb0="00000001" w:usb1="080E0000" w:usb2="00000000" w:usb3="00000000" w:csb0="00040000" w:csb1="00000000"/>
    <w:embedRegular r:id="rId2" w:fontKey="{9905BC63-D1D7-4D4D-8E54-F223259199CF}"/>
  </w:font>
  <w:font w:name="方正小标宋简体">
    <w:panose1 w:val="03000509000000000000"/>
    <w:charset w:val="86"/>
    <w:family w:val="auto"/>
    <w:pitch w:val="default"/>
    <w:sig w:usb0="00000001" w:usb1="080E0000" w:usb2="00000000" w:usb3="00000000" w:csb0="00040000" w:csb1="00000000"/>
    <w:embedRegular r:id="rId3" w:fontKey="{F58871B2-4CE8-4E9C-B553-24121C179D6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zE5NTAxOGNiNWY5YjZiYjRiZTBiMDc3NTc1OWE2YTUifQ=="/>
  </w:docVars>
  <w:rsids>
    <w:rsidRoot w:val="46492AE9"/>
    <w:rsid w:val="00116F0D"/>
    <w:rsid w:val="001D2725"/>
    <w:rsid w:val="00264E69"/>
    <w:rsid w:val="002857DF"/>
    <w:rsid w:val="00290CD9"/>
    <w:rsid w:val="002E3C89"/>
    <w:rsid w:val="002F25B8"/>
    <w:rsid w:val="00327895"/>
    <w:rsid w:val="00331D3B"/>
    <w:rsid w:val="00333C76"/>
    <w:rsid w:val="004023A6"/>
    <w:rsid w:val="00456F5E"/>
    <w:rsid w:val="004760F9"/>
    <w:rsid w:val="005252D5"/>
    <w:rsid w:val="00577217"/>
    <w:rsid w:val="00585ECC"/>
    <w:rsid w:val="005C2A9D"/>
    <w:rsid w:val="006317B2"/>
    <w:rsid w:val="00637B6E"/>
    <w:rsid w:val="00656611"/>
    <w:rsid w:val="00660B48"/>
    <w:rsid w:val="00676304"/>
    <w:rsid w:val="0069663A"/>
    <w:rsid w:val="006C3627"/>
    <w:rsid w:val="006E754A"/>
    <w:rsid w:val="0071177E"/>
    <w:rsid w:val="008118F8"/>
    <w:rsid w:val="0083050D"/>
    <w:rsid w:val="0083502A"/>
    <w:rsid w:val="00840F02"/>
    <w:rsid w:val="00865A15"/>
    <w:rsid w:val="008760A5"/>
    <w:rsid w:val="00887741"/>
    <w:rsid w:val="008B24C8"/>
    <w:rsid w:val="00900248"/>
    <w:rsid w:val="00914E2B"/>
    <w:rsid w:val="0092648B"/>
    <w:rsid w:val="0096527B"/>
    <w:rsid w:val="009B5FBF"/>
    <w:rsid w:val="009C58D8"/>
    <w:rsid w:val="00A15CA5"/>
    <w:rsid w:val="00B842F0"/>
    <w:rsid w:val="00BA15BD"/>
    <w:rsid w:val="00BB2EE6"/>
    <w:rsid w:val="00C66EDF"/>
    <w:rsid w:val="00C70BF2"/>
    <w:rsid w:val="00CC6119"/>
    <w:rsid w:val="00D60A5C"/>
    <w:rsid w:val="00E70F33"/>
    <w:rsid w:val="00ED1208"/>
    <w:rsid w:val="00EE16BE"/>
    <w:rsid w:val="00F90E3E"/>
    <w:rsid w:val="00FD4585"/>
    <w:rsid w:val="01C544F5"/>
    <w:rsid w:val="024822CD"/>
    <w:rsid w:val="02990C66"/>
    <w:rsid w:val="02BB60B1"/>
    <w:rsid w:val="030403F4"/>
    <w:rsid w:val="03CE5A7E"/>
    <w:rsid w:val="03FB7492"/>
    <w:rsid w:val="041208A9"/>
    <w:rsid w:val="04381A26"/>
    <w:rsid w:val="044C330C"/>
    <w:rsid w:val="047C3FFD"/>
    <w:rsid w:val="05825674"/>
    <w:rsid w:val="059917D1"/>
    <w:rsid w:val="05E435F1"/>
    <w:rsid w:val="072858CC"/>
    <w:rsid w:val="07680680"/>
    <w:rsid w:val="07C2391D"/>
    <w:rsid w:val="08230FE7"/>
    <w:rsid w:val="09A51675"/>
    <w:rsid w:val="09C556F2"/>
    <w:rsid w:val="09E162A4"/>
    <w:rsid w:val="0A12645E"/>
    <w:rsid w:val="0A3F5991"/>
    <w:rsid w:val="0A544CC8"/>
    <w:rsid w:val="0AD64D7F"/>
    <w:rsid w:val="0ADA09F2"/>
    <w:rsid w:val="0BD30569"/>
    <w:rsid w:val="0CB27B90"/>
    <w:rsid w:val="0D6276FC"/>
    <w:rsid w:val="0D8B27AF"/>
    <w:rsid w:val="0FDA30C2"/>
    <w:rsid w:val="0FDF4550"/>
    <w:rsid w:val="0FE668E8"/>
    <w:rsid w:val="0FFE195E"/>
    <w:rsid w:val="10317B99"/>
    <w:rsid w:val="1069326D"/>
    <w:rsid w:val="10934408"/>
    <w:rsid w:val="124A6E0E"/>
    <w:rsid w:val="12560BCE"/>
    <w:rsid w:val="12624550"/>
    <w:rsid w:val="12FB3585"/>
    <w:rsid w:val="12FC7CAB"/>
    <w:rsid w:val="14F944F9"/>
    <w:rsid w:val="15145780"/>
    <w:rsid w:val="15632BBE"/>
    <w:rsid w:val="15D1541F"/>
    <w:rsid w:val="16917C74"/>
    <w:rsid w:val="171621EF"/>
    <w:rsid w:val="1735576C"/>
    <w:rsid w:val="174C46E4"/>
    <w:rsid w:val="176E1B89"/>
    <w:rsid w:val="17DE7734"/>
    <w:rsid w:val="182E4DAB"/>
    <w:rsid w:val="19381F1E"/>
    <w:rsid w:val="194D74B2"/>
    <w:rsid w:val="19572ABE"/>
    <w:rsid w:val="1A424A77"/>
    <w:rsid w:val="1A7F4983"/>
    <w:rsid w:val="1AFA0F74"/>
    <w:rsid w:val="1B057CF1"/>
    <w:rsid w:val="1C2509DA"/>
    <w:rsid w:val="1CCF4430"/>
    <w:rsid w:val="1CEA2D34"/>
    <w:rsid w:val="1DBC69B5"/>
    <w:rsid w:val="1EB66ED2"/>
    <w:rsid w:val="1F291E28"/>
    <w:rsid w:val="1FB719A5"/>
    <w:rsid w:val="1FDD26D2"/>
    <w:rsid w:val="20033557"/>
    <w:rsid w:val="20080E5C"/>
    <w:rsid w:val="20091C16"/>
    <w:rsid w:val="21290155"/>
    <w:rsid w:val="21661111"/>
    <w:rsid w:val="218164F0"/>
    <w:rsid w:val="21C916A0"/>
    <w:rsid w:val="21D37D8C"/>
    <w:rsid w:val="22206AE2"/>
    <w:rsid w:val="222B7EDF"/>
    <w:rsid w:val="22364D4A"/>
    <w:rsid w:val="227B6E3E"/>
    <w:rsid w:val="22896782"/>
    <w:rsid w:val="22906A74"/>
    <w:rsid w:val="22BD058C"/>
    <w:rsid w:val="22D636B5"/>
    <w:rsid w:val="23005B4C"/>
    <w:rsid w:val="233C521A"/>
    <w:rsid w:val="23491FB8"/>
    <w:rsid w:val="23E26A49"/>
    <w:rsid w:val="23EA19A0"/>
    <w:rsid w:val="23F92A3E"/>
    <w:rsid w:val="24010DE9"/>
    <w:rsid w:val="24A05A4C"/>
    <w:rsid w:val="24CD14A7"/>
    <w:rsid w:val="24E47F82"/>
    <w:rsid w:val="24FC2C7E"/>
    <w:rsid w:val="25B24942"/>
    <w:rsid w:val="25C2598D"/>
    <w:rsid w:val="26307BB3"/>
    <w:rsid w:val="264B0C32"/>
    <w:rsid w:val="26A748A6"/>
    <w:rsid w:val="26AF70B6"/>
    <w:rsid w:val="2751016E"/>
    <w:rsid w:val="278A3680"/>
    <w:rsid w:val="27D159EF"/>
    <w:rsid w:val="282633A8"/>
    <w:rsid w:val="286A05DF"/>
    <w:rsid w:val="28E141FE"/>
    <w:rsid w:val="28FB2A87"/>
    <w:rsid w:val="293D309F"/>
    <w:rsid w:val="29514455"/>
    <w:rsid w:val="29562532"/>
    <w:rsid w:val="29B019A3"/>
    <w:rsid w:val="29F179E6"/>
    <w:rsid w:val="2A4C4A62"/>
    <w:rsid w:val="2AE83430"/>
    <w:rsid w:val="2B687CBA"/>
    <w:rsid w:val="2C31056E"/>
    <w:rsid w:val="2C980571"/>
    <w:rsid w:val="2D412A2F"/>
    <w:rsid w:val="2D460049"/>
    <w:rsid w:val="2D4D6201"/>
    <w:rsid w:val="2D555A65"/>
    <w:rsid w:val="2DD018D3"/>
    <w:rsid w:val="2E1819E5"/>
    <w:rsid w:val="2E40595A"/>
    <w:rsid w:val="2E4643FB"/>
    <w:rsid w:val="2F6446E6"/>
    <w:rsid w:val="2FCB7E5A"/>
    <w:rsid w:val="3194079F"/>
    <w:rsid w:val="320512B5"/>
    <w:rsid w:val="330662B0"/>
    <w:rsid w:val="350A469D"/>
    <w:rsid w:val="351A0E35"/>
    <w:rsid w:val="355F671C"/>
    <w:rsid w:val="356B7865"/>
    <w:rsid w:val="357868A7"/>
    <w:rsid w:val="35A10297"/>
    <w:rsid w:val="3613599B"/>
    <w:rsid w:val="366559E4"/>
    <w:rsid w:val="36F227F3"/>
    <w:rsid w:val="381256F7"/>
    <w:rsid w:val="38876E31"/>
    <w:rsid w:val="38C22C79"/>
    <w:rsid w:val="38DA4FA2"/>
    <w:rsid w:val="39303E66"/>
    <w:rsid w:val="398126A4"/>
    <w:rsid w:val="398E34A3"/>
    <w:rsid w:val="399B3F89"/>
    <w:rsid w:val="399E5E40"/>
    <w:rsid w:val="39CF48CB"/>
    <w:rsid w:val="39F767A7"/>
    <w:rsid w:val="3A033549"/>
    <w:rsid w:val="3A791A5E"/>
    <w:rsid w:val="3ACD3B57"/>
    <w:rsid w:val="3B100629"/>
    <w:rsid w:val="3C231166"/>
    <w:rsid w:val="3C3B4CB8"/>
    <w:rsid w:val="3C67348A"/>
    <w:rsid w:val="3C8658DE"/>
    <w:rsid w:val="3CC75445"/>
    <w:rsid w:val="3D355CEE"/>
    <w:rsid w:val="3D882591"/>
    <w:rsid w:val="3DB97001"/>
    <w:rsid w:val="3DC254CA"/>
    <w:rsid w:val="3E4929BF"/>
    <w:rsid w:val="3E5F4AE1"/>
    <w:rsid w:val="3E8D5AD7"/>
    <w:rsid w:val="3ECC2AA4"/>
    <w:rsid w:val="3EE80F60"/>
    <w:rsid w:val="3F424B14"/>
    <w:rsid w:val="3FD1152F"/>
    <w:rsid w:val="3FE61943"/>
    <w:rsid w:val="4007339F"/>
    <w:rsid w:val="40330901"/>
    <w:rsid w:val="41C41316"/>
    <w:rsid w:val="41D30A5F"/>
    <w:rsid w:val="423B7FDB"/>
    <w:rsid w:val="42614D21"/>
    <w:rsid w:val="42725B89"/>
    <w:rsid w:val="428F54EA"/>
    <w:rsid w:val="436037BB"/>
    <w:rsid w:val="43953BCE"/>
    <w:rsid w:val="441E71D2"/>
    <w:rsid w:val="44A27E03"/>
    <w:rsid w:val="44B4705C"/>
    <w:rsid w:val="44C304A5"/>
    <w:rsid w:val="45615AB0"/>
    <w:rsid w:val="45B31B87"/>
    <w:rsid w:val="45DB64CD"/>
    <w:rsid w:val="4602273F"/>
    <w:rsid w:val="46492AE9"/>
    <w:rsid w:val="47543636"/>
    <w:rsid w:val="477F367E"/>
    <w:rsid w:val="47D33885"/>
    <w:rsid w:val="47F90E64"/>
    <w:rsid w:val="486F6565"/>
    <w:rsid w:val="48DF1625"/>
    <w:rsid w:val="4A0251E4"/>
    <w:rsid w:val="4A622219"/>
    <w:rsid w:val="4A913ECA"/>
    <w:rsid w:val="4AA76173"/>
    <w:rsid w:val="4ABF498D"/>
    <w:rsid w:val="4B0770BF"/>
    <w:rsid w:val="4E4D4E0A"/>
    <w:rsid w:val="4EC45545"/>
    <w:rsid w:val="4ECC264C"/>
    <w:rsid w:val="50394E2D"/>
    <w:rsid w:val="5049361B"/>
    <w:rsid w:val="507263F6"/>
    <w:rsid w:val="509E5922"/>
    <w:rsid w:val="510C4F82"/>
    <w:rsid w:val="51907961"/>
    <w:rsid w:val="51B43ED4"/>
    <w:rsid w:val="51BD267C"/>
    <w:rsid w:val="51DC173E"/>
    <w:rsid w:val="520D7A99"/>
    <w:rsid w:val="521775E3"/>
    <w:rsid w:val="5303039B"/>
    <w:rsid w:val="53E35D94"/>
    <w:rsid w:val="549D32C7"/>
    <w:rsid w:val="550310E3"/>
    <w:rsid w:val="55490062"/>
    <w:rsid w:val="5563713A"/>
    <w:rsid w:val="556915A4"/>
    <w:rsid w:val="5584168C"/>
    <w:rsid w:val="55D50038"/>
    <w:rsid w:val="55FB4C01"/>
    <w:rsid w:val="55FD61F8"/>
    <w:rsid w:val="567C0098"/>
    <w:rsid w:val="569C0B56"/>
    <w:rsid w:val="56AE26CA"/>
    <w:rsid w:val="56DE5E59"/>
    <w:rsid w:val="5753390A"/>
    <w:rsid w:val="5795302F"/>
    <w:rsid w:val="58705DF6"/>
    <w:rsid w:val="594D4389"/>
    <w:rsid w:val="594F0EDF"/>
    <w:rsid w:val="5A670A9F"/>
    <w:rsid w:val="5AA04E3D"/>
    <w:rsid w:val="5B344A4C"/>
    <w:rsid w:val="5B4672E2"/>
    <w:rsid w:val="5C1A0C76"/>
    <w:rsid w:val="5C5278E9"/>
    <w:rsid w:val="5D303DA6"/>
    <w:rsid w:val="5D493CE1"/>
    <w:rsid w:val="5D656145"/>
    <w:rsid w:val="5E800D5D"/>
    <w:rsid w:val="5E987E55"/>
    <w:rsid w:val="5EE272E6"/>
    <w:rsid w:val="5EE96902"/>
    <w:rsid w:val="5F577B32"/>
    <w:rsid w:val="5F846FCB"/>
    <w:rsid w:val="5FCB28A8"/>
    <w:rsid w:val="5FE11D50"/>
    <w:rsid w:val="60CD54B1"/>
    <w:rsid w:val="6109328C"/>
    <w:rsid w:val="613A0A90"/>
    <w:rsid w:val="61B96A60"/>
    <w:rsid w:val="61DC2DC0"/>
    <w:rsid w:val="61ED6709"/>
    <w:rsid w:val="6268097C"/>
    <w:rsid w:val="627209BD"/>
    <w:rsid w:val="62D56A83"/>
    <w:rsid w:val="62F63236"/>
    <w:rsid w:val="63E9040E"/>
    <w:rsid w:val="63F43719"/>
    <w:rsid w:val="64364DEF"/>
    <w:rsid w:val="6490433F"/>
    <w:rsid w:val="64CB0583"/>
    <w:rsid w:val="64E825D4"/>
    <w:rsid w:val="65B45FF1"/>
    <w:rsid w:val="661D305E"/>
    <w:rsid w:val="669465AE"/>
    <w:rsid w:val="675A757F"/>
    <w:rsid w:val="67921CCC"/>
    <w:rsid w:val="679C300B"/>
    <w:rsid w:val="67C277C8"/>
    <w:rsid w:val="67C768DC"/>
    <w:rsid w:val="685A41B9"/>
    <w:rsid w:val="68F95994"/>
    <w:rsid w:val="6922138F"/>
    <w:rsid w:val="69F94FC6"/>
    <w:rsid w:val="6A9736B6"/>
    <w:rsid w:val="6AE54D7A"/>
    <w:rsid w:val="6B7E6624"/>
    <w:rsid w:val="6C573720"/>
    <w:rsid w:val="6CA834AF"/>
    <w:rsid w:val="6D003795"/>
    <w:rsid w:val="6D1D2D0F"/>
    <w:rsid w:val="6DD407A1"/>
    <w:rsid w:val="6E46167B"/>
    <w:rsid w:val="6F0841CC"/>
    <w:rsid w:val="6F3B7985"/>
    <w:rsid w:val="6FCD6822"/>
    <w:rsid w:val="702634C5"/>
    <w:rsid w:val="70E92792"/>
    <w:rsid w:val="717670E7"/>
    <w:rsid w:val="71C31235"/>
    <w:rsid w:val="71F96A05"/>
    <w:rsid w:val="735E1215"/>
    <w:rsid w:val="7365314D"/>
    <w:rsid w:val="73661F6A"/>
    <w:rsid w:val="747A41E0"/>
    <w:rsid w:val="749D5D6D"/>
    <w:rsid w:val="74B05E9F"/>
    <w:rsid w:val="74D250AB"/>
    <w:rsid w:val="75A562CE"/>
    <w:rsid w:val="75F4180E"/>
    <w:rsid w:val="75FE0BB1"/>
    <w:rsid w:val="7662101C"/>
    <w:rsid w:val="767D7101"/>
    <w:rsid w:val="77252585"/>
    <w:rsid w:val="77991BD9"/>
    <w:rsid w:val="77FB0FEB"/>
    <w:rsid w:val="78A75402"/>
    <w:rsid w:val="78AF42C1"/>
    <w:rsid w:val="78CC09CF"/>
    <w:rsid w:val="78E77772"/>
    <w:rsid w:val="791B780E"/>
    <w:rsid w:val="794F33AE"/>
    <w:rsid w:val="7A41642C"/>
    <w:rsid w:val="7A794B87"/>
    <w:rsid w:val="7A895289"/>
    <w:rsid w:val="7A9C0BDF"/>
    <w:rsid w:val="7BB57A83"/>
    <w:rsid w:val="7BBB4D2B"/>
    <w:rsid w:val="7BD6412D"/>
    <w:rsid w:val="7BF344C5"/>
    <w:rsid w:val="7C82216F"/>
    <w:rsid w:val="7CCA7C28"/>
    <w:rsid w:val="7CD369C0"/>
    <w:rsid w:val="7CE24C65"/>
    <w:rsid w:val="7CE62F77"/>
    <w:rsid w:val="7CEB1414"/>
    <w:rsid w:val="7DA7785B"/>
    <w:rsid w:val="7DB87DA9"/>
    <w:rsid w:val="7DBC3708"/>
    <w:rsid w:val="7DF74740"/>
    <w:rsid w:val="7DFA10D0"/>
    <w:rsid w:val="7E603BAA"/>
    <w:rsid w:val="7EEE1FE7"/>
    <w:rsid w:val="7F29292E"/>
    <w:rsid w:val="7F2A7E75"/>
    <w:rsid w:val="7F3948E4"/>
    <w:rsid w:val="7F7E49ED"/>
    <w:rsid w:val="7F815536"/>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ind w:firstLine="830" w:firstLineChars="352"/>
    </w:pPr>
    <w:rPr>
      <w:rFonts w:ascii="仿宋_GB2312" w:eastAsia="仿宋_GB2312" w:cs="仿宋_GB2312"/>
      <w:sz w:val="32"/>
      <w:szCs w:val="32"/>
    </w:rPr>
  </w:style>
  <w:style w:type="paragraph" w:styleId="5">
    <w:name w:val="Balloon Text"/>
    <w:basedOn w:val="1"/>
    <w:link w:val="23"/>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qFormat/>
    <w:uiPriority w:val="0"/>
    <w:pPr>
      <w:spacing w:line="400" w:lineRule="exact"/>
      <w:ind w:firstLine="420" w:firstLineChars="200"/>
    </w:pPr>
    <w:rPr>
      <w:rFonts w:ascii="宋体" w:hAnsi="Courier New"/>
      <w:b/>
      <w:szCs w:val="20"/>
    </w:rPr>
  </w:style>
  <w:style w:type="paragraph" w:styleId="9">
    <w:name w:val="Body Text First Indent 2"/>
    <w:basedOn w:val="4"/>
    <w:next w:val="2"/>
    <w:qFormat/>
    <w:uiPriority w:val="0"/>
    <w:pPr>
      <w:spacing w:after="120"/>
      <w:ind w:left="420" w:leftChars="200" w:firstLine="420" w:firstLineChars="200"/>
    </w:pPr>
    <w:rPr>
      <w:rFonts w:ascii="Times New Roman" w:eastAsia="宋体"/>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qFormat/>
    <w:uiPriority w:val="0"/>
    <w:rPr>
      <w:sz w:val="21"/>
      <w:szCs w:val="21"/>
    </w:rPr>
  </w:style>
  <w:style w:type="paragraph" w:customStyle="1" w:styleId="14">
    <w:name w:val="表格文字"/>
    <w:basedOn w:val="1"/>
    <w:qFormat/>
    <w:uiPriority w:val="0"/>
    <w:pPr>
      <w:spacing w:before="25" w:after="25"/>
      <w:jc w:val="left"/>
    </w:pPr>
    <w:rPr>
      <w:bCs/>
      <w:spacing w:val="10"/>
      <w:kern w:val="0"/>
      <w:sz w:val="24"/>
    </w:rPr>
  </w:style>
  <w:style w:type="character" w:customStyle="1" w:styleId="15">
    <w:name w:val="NormalCharacter"/>
    <w:semiHidden/>
    <w:qFormat/>
    <w:uiPriority w:val="0"/>
    <w:rPr>
      <w:rFonts w:ascii="Calibri" w:hAnsi="Calibri"/>
      <w:kern w:val="2"/>
      <w:sz w:val="21"/>
      <w:szCs w:val="24"/>
      <w:lang w:val="en-US" w:eastAsia="zh-CN" w:bidi="ar-SA"/>
    </w:rPr>
  </w:style>
  <w:style w:type="paragraph" w:customStyle="1" w:styleId="16">
    <w:name w:val="Table Text"/>
    <w:basedOn w:val="1"/>
    <w:semiHidden/>
    <w:qFormat/>
    <w:uiPriority w:val="0"/>
    <w:rPr>
      <w:rFonts w:ascii="宋体" w:hAnsi="宋体" w:cs="宋体"/>
      <w:sz w:val="20"/>
      <w:szCs w:val="20"/>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31"/>
    <w:basedOn w:val="12"/>
    <w:qFormat/>
    <w:uiPriority w:val="0"/>
    <w:rPr>
      <w:rFonts w:hint="eastAsia" w:ascii="宋体" w:hAnsi="宋体" w:eastAsia="宋体" w:cs="宋体"/>
      <w:color w:val="000000"/>
      <w:sz w:val="20"/>
      <w:szCs w:val="20"/>
      <w:u w:val="none"/>
    </w:rPr>
  </w:style>
  <w:style w:type="character" w:customStyle="1" w:styleId="19">
    <w:name w:val="font51"/>
    <w:basedOn w:val="12"/>
    <w:qFormat/>
    <w:uiPriority w:val="0"/>
    <w:rPr>
      <w:rFonts w:hint="default" w:ascii="Times New Roman" w:hAnsi="Times New Roman" w:cs="Times New Roman"/>
      <w:color w:val="000000"/>
      <w:sz w:val="20"/>
      <w:szCs w:val="20"/>
      <w:u w:val="none"/>
    </w:rPr>
  </w:style>
  <w:style w:type="character" w:customStyle="1" w:styleId="20">
    <w:name w:val="font41"/>
    <w:basedOn w:val="12"/>
    <w:qFormat/>
    <w:uiPriority w:val="0"/>
    <w:rPr>
      <w:rFonts w:hint="eastAsia" w:ascii="宋体" w:hAnsi="宋体" w:eastAsia="宋体" w:cs="宋体"/>
      <w:color w:val="000000"/>
      <w:sz w:val="20"/>
      <w:szCs w:val="20"/>
      <w:u w:val="none"/>
    </w:rPr>
  </w:style>
  <w:style w:type="character" w:customStyle="1" w:styleId="21">
    <w:name w:val="页眉 Char"/>
    <w:basedOn w:val="12"/>
    <w:link w:val="7"/>
    <w:qFormat/>
    <w:uiPriority w:val="0"/>
    <w:rPr>
      <w:rFonts w:ascii="Calibri" w:hAnsi="Calibri"/>
      <w:kern w:val="2"/>
      <w:sz w:val="18"/>
      <w:szCs w:val="18"/>
    </w:rPr>
  </w:style>
  <w:style w:type="character" w:customStyle="1" w:styleId="22">
    <w:name w:val="页脚 Char"/>
    <w:basedOn w:val="12"/>
    <w:link w:val="6"/>
    <w:qFormat/>
    <w:uiPriority w:val="0"/>
    <w:rPr>
      <w:rFonts w:ascii="Calibri" w:hAnsi="Calibri"/>
      <w:kern w:val="2"/>
      <w:sz w:val="18"/>
      <w:szCs w:val="18"/>
    </w:rPr>
  </w:style>
  <w:style w:type="character" w:customStyle="1" w:styleId="23">
    <w:name w:val="批注框文本 Char"/>
    <w:basedOn w:val="12"/>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10</Pages>
  <Words>5420</Words>
  <Characters>6354</Characters>
  <Lines>80</Lines>
  <Paragraphs>22</Paragraphs>
  <TotalTime>0</TotalTime>
  <ScaleCrop>false</ScaleCrop>
  <LinksUpToDate>false</LinksUpToDate>
  <CharactersWithSpaces>7541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2026-05-25T02:25:00Z</dcterms:created>
  <dc:creator>刘新月</dc:creator>
  <cp:lastModifiedBy>刘阳</cp:lastModifiedBy>
  <cp:lastPrinted>2024-06-20T10:35:00Z</cp:lastPrinted>
  <dcterms:modified xsi:type="dcterms:W3CDTF">2026-06-01T02:41:57Z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6E41F497CC354E2F8BECC6392D20E90C_13</vt:lpwstr>
  </property>
  <property fmtid="{D5CDD505-2E9C-101B-9397-08002B2CF9AE}" pid="4" name="KSOTemplateDocerSaveRecord">
    <vt:lpwstr>eyJoZGlkIjoiYTUzZDY3MzQ3M2UzMjY1NjBmYTJmNmI0N2ZjODk1Y2QiLCJ1c2VySWQiOiIxNzAwOTg5NDA4In0=</vt:lpwstr>
  </property>
</Properties>
</file>