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center"/>
        <w:rPr>
          <w:rFonts w:ascii="仿宋" w:hAnsi="仿宋" w:eastAsia="仿宋" w:cs="仿宋"/>
          <w:b/>
          <w:color w:val="auto"/>
          <w:spacing w:val="0"/>
          <w:kern w:val="0"/>
          <w:position w:val="0"/>
          <w:sz w:val="32"/>
          <w:szCs w:val="22"/>
          <w:shd w:val="clear" w:fill="auto"/>
        </w:rPr>
      </w:pPr>
      <w:r>
        <w:rPr>
          <w:rFonts w:hint="eastAsia" w:ascii="仿宋" w:hAnsi="仿宋" w:eastAsia="仿宋" w:cs="仿宋"/>
          <w:b/>
          <w:color w:val="auto"/>
          <w:spacing w:val="0"/>
          <w:kern w:val="0"/>
          <w:position w:val="0"/>
          <w:sz w:val="32"/>
          <w:szCs w:val="22"/>
          <w:shd w:val="clear" w:fill="auto"/>
        </w:rPr>
        <w:t>关于</w:t>
      </w:r>
      <w:r>
        <w:rPr>
          <w:rFonts w:hint="eastAsia" w:ascii="仿宋" w:hAnsi="仿宋" w:eastAsia="仿宋" w:cs="仿宋"/>
          <w:b/>
          <w:color w:val="auto"/>
          <w:spacing w:val="0"/>
          <w:kern w:val="0"/>
          <w:position w:val="0"/>
          <w:sz w:val="32"/>
          <w:szCs w:val="22"/>
          <w:shd w:val="clear" w:fill="auto"/>
          <w:lang w:val="en-US" w:eastAsia="zh-CN"/>
        </w:rPr>
        <w:t>美的</w:t>
      </w:r>
      <w:r>
        <w:rPr>
          <w:rFonts w:hint="eastAsia" w:ascii="仿宋" w:hAnsi="仿宋" w:eastAsia="仿宋" w:cs="仿宋"/>
          <w:b/>
          <w:color w:val="auto"/>
          <w:spacing w:val="0"/>
          <w:kern w:val="0"/>
          <w:position w:val="0"/>
          <w:sz w:val="32"/>
          <w:szCs w:val="22"/>
          <w:shd w:val="clear" w:fill="auto"/>
        </w:rPr>
        <w:t>空调的反向竞价预算货物需求表及商务条款</w:t>
      </w:r>
    </w:p>
    <w:tbl>
      <w:tblPr>
        <w:tblStyle w:val="7"/>
        <w:tblpPr w:leftFromText="180" w:rightFromText="180" w:vertAnchor="text" w:horzAnchor="page" w:tblpX="1176" w:tblpY="316"/>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78"/>
        <w:gridCol w:w="3816"/>
        <w:gridCol w:w="650"/>
        <w:gridCol w:w="684"/>
        <w:gridCol w:w="816"/>
        <w:gridCol w:w="95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eastAsiaTheme="minorEastAsia"/>
                <w:vertAlign w:val="baseline"/>
                <w:lang w:val="en-US" w:eastAsia="zh-CN"/>
              </w:rPr>
            </w:pPr>
            <w:r>
              <w:rPr>
                <w:rFonts w:hint="eastAsia"/>
                <w:vertAlign w:val="baseline"/>
                <w:lang w:val="en-US" w:eastAsia="zh-CN"/>
              </w:rPr>
              <w:t>序号</w:t>
            </w:r>
          </w:p>
        </w:tc>
        <w:tc>
          <w:tcPr>
            <w:tcW w:w="1178" w:type="dxa"/>
            <w:vAlign w:val="center"/>
          </w:tcPr>
          <w:p>
            <w:pPr>
              <w:jc w:val="center"/>
              <w:rPr>
                <w:rFonts w:hint="eastAsia" w:eastAsiaTheme="minorEastAsia"/>
                <w:vertAlign w:val="baseline"/>
                <w:lang w:val="en-US" w:eastAsia="zh-CN"/>
              </w:rPr>
            </w:pPr>
            <w:r>
              <w:rPr>
                <w:rFonts w:hint="eastAsia"/>
                <w:vertAlign w:val="baseline"/>
                <w:lang w:val="en-US" w:eastAsia="zh-CN"/>
              </w:rPr>
              <w:t>品牌型号</w:t>
            </w:r>
          </w:p>
        </w:tc>
        <w:tc>
          <w:tcPr>
            <w:tcW w:w="3816" w:type="dxa"/>
            <w:vAlign w:val="center"/>
          </w:tcPr>
          <w:p>
            <w:pPr>
              <w:jc w:val="center"/>
              <w:rPr>
                <w:rFonts w:hint="eastAsia" w:eastAsiaTheme="minorEastAsia"/>
                <w:vertAlign w:val="baseline"/>
                <w:lang w:val="en-US" w:eastAsia="zh-CN"/>
              </w:rPr>
            </w:pPr>
            <w:r>
              <w:rPr>
                <w:rFonts w:hint="eastAsia"/>
                <w:vertAlign w:val="baseline"/>
                <w:lang w:val="en-US" w:eastAsia="zh-CN"/>
              </w:rPr>
              <w:t>技术参数</w:t>
            </w:r>
          </w:p>
        </w:tc>
        <w:tc>
          <w:tcPr>
            <w:tcW w:w="650" w:type="dxa"/>
            <w:vAlign w:val="center"/>
          </w:tcPr>
          <w:p>
            <w:pPr>
              <w:jc w:val="center"/>
              <w:rPr>
                <w:rFonts w:hint="eastAsia" w:eastAsiaTheme="minorEastAsia"/>
                <w:vertAlign w:val="baseline"/>
                <w:lang w:val="en-US" w:eastAsia="zh-CN"/>
              </w:rPr>
            </w:pPr>
            <w:r>
              <w:rPr>
                <w:rFonts w:hint="eastAsia"/>
                <w:vertAlign w:val="baseline"/>
                <w:lang w:val="en-US" w:eastAsia="zh-CN"/>
              </w:rPr>
              <w:t>数量</w:t>
            </w:r>
          </w:p>
        </w:tc>
        <w:tc>
          <w:tcPr>
            <w:tcW w:w="684" w:type="dxa"/>
            <w:vAlign w:val="center"/>
          </w:tcPr>
          <w:p>
            <w:pPr>
              <w:jc w:val="center"/>
              <w:rPr>
                <w:rFonts w:hint="default"/>
                <w:vertAlign w:val="baseline"/>
                <w:lang w:val="en-US" w:eastAsia="zh-CN"/>
              </w:rPr>
            </w:pPr>
            <w:r>
              <w:rPr>
                <w:rFonts w:hint="eastAsia"/>
                <w:vertAlign w:val="baseline"/>
                <w:lang w:val="en-US" w:eastAsia="zh-CN"/>
              </w:rPr>
              <w:t>单位</w:t>
            </w:r>
          </w:p>
        </w:tc>
        <w:tc>
          <w:tcPr>
            <w:tcW w:w="816" w:type="dxa"/>
            <w:vAlign w:val="center"/>
          </w:tcPr>
          <w:p>
            <w:pPr>
              <w:jc w:val="center"/>
              <w:rPr>
                <w:rFonts w:hint="eastAsia" w:eastAsiaTheme="minorEastAsia"/>
                <w:vertAlign w:val="baseline"/>
                <w:lang w:val="en-US" w:eastAsia="zh-CN"/>
              </w:rPr>
            </w:pPr>
            <w:r>
              <w:rPr>
                <w:rFonts w:hint="eastAsia"/>
                <w:vertAlign w:val="baseline"/>
                <w:lang w:val="en-US" w:eastAsia="zh-CN"/>
              </w:rPr>
              <w:t>单价（元）</w:t>
            </w:r>
          </w:p>
        </w:tc>
        <w:tc>
          <w:tcPr>
            <w:tcW w:w="952" w:type="dxa"/>
            <w:vAlign w:val="center"/>
          </w:tcPr>
          <w:p>
            <w:pPr>
              <w:jc w:val="center"/>
              <w:rPr>
                <w:rFonts w:hint="eastAsia" w:eastAsiaTheme="minorEastAsia"/>
                <w:vertAlign w:val="baseline"/>
                <w:lang w:val="en-US" w:eastAsia="zh-CN"/>
              </w:rPr>
            </w:pPr>
            <w:r>
              <w:rPr>
                <w:rFonts w:hint="eastAsia"/>
                <w:vertAlign w:val="baseline"/>
                <w:lang w:val="en-US" w:eastAsia="zh-CN"/>
              </w:rPr>
              <w:t>金额（元）</w:t>
            </w:r>
          </w:p>
        </w:tc>
        <w:tc>
          <w:tcPr>
            <w:tcW w:w="989" w:type="dxa"/>
            <w:vAlign w:val="center"/>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178" w:type="dxa"/>
            <w:vAlign w:val="center"/>
          </w:tcPr>
          <w:p>
            <w:pPr>
              <w:jc w:val="center"/>
              <w:rPr>
                <w:rFonts w:hint="eastAsia"/>
                <w:vertAlign w:val="baseline"/>
              </w:rPr>
            </w:pPr>
            <w:r>
              <w:rPr>
                <w:rFonts w:hint="eastAsia"/>
                <w:vertAlign w:val="baseline"/>
                <w:lang w:val="en-US" w:eastAsia="zh-CN"/>
              </w:rPr>
              <w:t>美的</w:t>
            </w:r>
            <w:r>
              <w:rPr>
                <w:rFonts w:hint="eastAsia"/>
                <w:vertAlign w:val="baseline"/>
              </w:rPr>
              <w:t>KFR-26GW/G3-1</w:t>
            </w:r>
          </w:p>
          <w:p>
            <w:pPr>
              <w:jc w:val="center"/>
              <w:rPr>
                <w:rFonts w:hint="eastAsia" w:eastAsiaTheme="minorEastAsia"/>
                <w:vertAlign w:val="baseline"/>
                <w:lang w:val="en-US" w:eastAsia="zh-CN"/>
              </w:rPr>
            </w:pPr>
          </w:p>
        </w:tc>
        <w:tc>
          <w:tcPr>
            <w:tcW w:w="3816" w:type="dxa"/>
            <w:vAlign w:val="center"/>
          </w:tcPr>
          <w:p>
            <w:pPr>
              <w:jc w:val="left"/>
              <w:rPr>
                <w:rFonts w:hint="eastAsia"/>
                <w:vertAlign w:val="baseline"/>
              </w:rPr>
            </w:pPr>
            <w:r>
              <w:rPr>
                <w:rFonts w:hint="eastAsia"/>
                <w:vertAlign w:val="baseline"/>
              </w:rPr>
              <w:t>"1、规格：大1匹冷暖变频挂式空调；</w:t>
            </w:r>
          </w:p>
          <w:p>
            <w:pPr>
              <w:jc w:val="left"/>
              <w:rPr>
                <w:rFonts w:hint="eastAsia"/>
                <w:vertAlign w:val="baseline"/>
              </w:rPr>
            </w:pPr>
            <w:r>
              <w:rPr>
                <w:rFonts w:hint="eastAsia"/>
                <w:vertAlign w:val="baseline"/>
              </w:rPr>
              <w:t>2、能效等级：1级；</w:t>
            </w:r>
          </w:p>
          <w:p>
            <w:pPr>
              <w:jc w:val="left"/>
              <w:rPr>
                <w:rFonts w:hint="eastAsia"/>
                <w:vertAlign w:val="baseline"/>
              </w:rPr>
            </w:pPr>
            <w:r>
              <w:rPr>
                <w:rFonts w:hint="eastAsia"/>
                <w:vertAlign w:val="baseline"/>
              </w:rPr>
              <w:t>3、能效比APF：5.67；</w:t>
            </w:r>
          </w:p>
          <w:p>
            <w:pPr>
              <w:jc w:val="left"/>
              <w:rPr>
                <w:rFonts w:hint="eastAsia"/>
                <w:vertAlign w:val="baseline"/>
              </w:rPr>
            </w:pPr>
            <w:r>
              <w:rPr>
                <w:rFonts w:hint="eastAsia"/>
                <w:vertAlign w:val="baseline"/>
              </w:rPr>
              <w:t>4、额定制冷量(W)：2670；</w:t>
            </w:r>
          </w:p>
          <w:p>
            <w:pPr>
              <w:jc w:val="left"/>
              <w:rPr>
                <w:rFonts w:hint="eastAsia"/>
                <w:vertAlign w:val="baseline"/>
              </w:rPr>
            </w:pPr>
            <w:r>
              <w:rPr>
                <w:rFonts w:hint="eastAsia"/>
                <w:vertAlign w:val="baseline"/>
              </w:rPr>
              <w:t>5、额定制热量(W)：4620；</w:t>
            </w:r>
          </w:p>
          <w:p>
            <w:pPr>
              <w:jc w:val="left"/>
              <w:rPr>
                <w:rFonts w:hint="eastAsia"/>
                <w:vertAlign w:val="baseline"/>
              </w:rPr>
            </w:pPr>
            <w:r>
              <w:rPr>
                <w:rFonts w:hint="eastAsia"/>
                <w:vertAlign w:val="baseline"/>
              </w:rPr>
              <w:t>6、额定制冷功率(W)：550；</w:t>
            </w:r>
          </w:p>
          <w:p>
            <w:pPr>
              <w:jc w:val="left"/>
              <w:rPr>
                <w:rFonts w:hint="eastAsia"/>
                <w:vertAlign w:val="baseline"/>
              </w:rPr>
            </w:pPr>
            <w:r>
              <w:rPr>
                <w:rFonts w:hint="eastAsia"/>
                <w:vertAlign w:val="baseline"/>
              </w:rPr>
              <w:t>7、额定制热功率(W)：1120；</w:t>
            </w:r>
          </w:p>
          <w:p>
            <w:pPr>
              <w:jc w:val="left"/>
              <w:rPr>
                <w:rFonts w:hint="eastAsia"/>
                <w:vertAlign w:val="baseline"/>
              </w:rPr>
            </w:pPr>
            <w:r>
              <w:rPr>
                <w:rFonts w:hint="eastAsia"/>
                <w:vertAlign w:val="baseline"/>
              </w:rPr>
              <w:t>8、电辅热(W）：850</w:t>
            </w:r>
          </w:p>
          <w:p>
            <w:pPr>
              <w:jc w:val="left"/>
              <w:rPr>
                <w:rFonts w:hint="eastAsia"/>
                <w:vertAlign w:val="baseline"/>
              </w:rPr>
            </w:pPr>
            <w:r>
              <w:rPr>
                <w:rFonts w:hint="eastAsia"/>
                <w:vertAlign w:val="baseline"/>
              </w:rPr>
              <w:t>9、室内机噪音高风dB(A):34；</w:t>
            </w:r>
          </w:p>
          <w:p>
            <w:pPr>
              <w:jc w:val="left"/>
              <w:rPr>
                <w:rFonts w:hint="eastAsia"/>
                <w:vertAlign w:val="baseline"/>
              </w:rPr>
            </w:pPr>
            <w:r>
              <w:rPr>
                <w:rFonts w:hint="eastAsia"/>
                <w:vertAlign w:val="baseline"/>
              </w:rPr>
              <w:t>10、室外机噪音高风dB(A):50；</w:t>
            </w:r>
          </w:p>
          <w:p>
            <w:pPr>
              <w:jc w:val="left"/>
              <w:rPr>
                <w:rFonts w:hint="eastAsia"/>
                <w:vertAlign w:val="baseline"/>
              </w:rPr>
            </w:pPr>
            <w:r>
              <w:rPr>
                <w:rFonts w:hint="eastAsia"/>
                <w:vertAlign w:val="baseline"/>
              </w:rPr>
              <w:t>11、额定循环风量（m³/h）：730；</w:t>
            </w:r>
          </w:p>
          <w:p>
            <w:pPr>
              <w:jc w:val="left"/>
              <w:rPr>
                <w:vertAlign w:val="baseline"/>
              </w:rPr>
            </w:pPr>
            <w:r>
              <w:rPr>
                <w:rFonts w:hint="eastAsia"/>
                <w:vertAlign w:val="baseline"/>
              </w:rPr>
              <w:t>12、电压/频率（V/Hz）：220V~/50Hz；"</w:t>
            </w:r>
          </w:p>
        </w:tc>
        <w:tc>
          <w:tcPr>
            <w:tcW w:w="650"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684" w:type="dxa"/>
            <w:vAlign w:val="center"/>
          </w:tcPr>
          <w:p>
            <w:pPr>
              <w:jc w:val="center"/>
              <w:rPr>
                <w:rFonts w:hint="eastAsia" w:eastAsiaTheme="minorEastAsia"/>
                <w:vertAlign w:val="baseline"/>
                <w:lang w:val="en-US" w:eastAsia="zh-CN"/>
              </w:rPr>
            </w:pPr>
            <w:r>
              <w:rPr>
                <w:rFonts w:hint="eastAsia"/>
                <w:vertAlign w:val="baseline"/>
                <w:lang w:val="en-US" w:eastAsia="zh-CN"/>
              </w:rPr>
              <w:t>台</w:t>
            </w:r>
          </w:p>
        </w:tc>
        <w:tc>
          <w:tcPr>
            <w:tcW w:w="816" w:type="dxa"/>
            <w:vAlign w:val="center"/>
          </w:tcPr>
          <w:p>
            <w:pPr>
              <w:jc w:val="center"/>
              <w:rPr>
                <w:rFonts w:hint="default"/>
                <w:vertAlign w:val="baseline"/>
                <w:lang w:val="en-US" w:eastAsia="zh-CN"/>
              </w:rPr>
            </w:pPr>
            <w:r>
              <w:rPr>
                <w:rFonts w:hint="eastAsia"/>
                <w:vertAlign w:val="baseline"/>
                <w:lang w:val="en-US" w:eastAsia="zh-CN"/>
              </w:rPr>
              <w:t>3500</w:t>
            </w:r>
          </w:p>
        </w:tc>
        <w:tc>
          <w:tcPr>
            <w:tcW w:w="952" w:type="dxa"/>
            <w:vAlign w:val="center"/>
          </w:tcPr>
          <w:p>
            <w:pPr>
              <w:jc w:val="center"/>
              <w:rPr>
                <w:rFonts w:hint="default" w:eastAsiaTheme="minorEastAsia"/>
                <w:vertAlign w:val="baseline"/>
                <w:lang w:val="en-US" w:eastAsia="zh-CN"/>
              </w:rPr>
            </w:pPr>
            <w:r>
              <w:rPr>
                <w:rFonts w:hint="eastAsia"/>
                <w:vertAlign w:val="baseline"/>
                <w:lang w:val="en-US" w:eastAsia="zh-CN"/>
              </w:rPr>
              <w:t>3500</w:t>
            </w:r>
          </w:p>
        </w:tc>
        <w:tc>
          <w:tcPr>
            <w:tcW w:w="989"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1178" w:type="dxa"/>
            <w:vAlign w:val="center"/>
          </w:tcPr>
          <w:p>
            <w:pPr>
              <w:jc w:val="center"/>
              <w:rPr>
                <w:rFonts w:hint="eastAsia"/>
                <w:vertAlign w:val="baseline"/>
              </w:rPr>
            </w:pPr>
            <w:r>
              <w:rPr>
                <w:rFonts w:hint="eastAsia"/>
                <w:vertAlign w:val="baseline"/>
                <w:lang w:val="en-US" w:eastAsia="zh-CN"/>
              </w:rPr>
              <w:t>美的</w:t>
            </w:r>
            <w:r>
              <w:rPr>
                <w:rFonts w:hint="eastAsia"/>
                <w:vertAlign w:val="baseline"/>
              </w:rPr>
              <w:t>KFR-35GW/G3-1A</w:t>
            </w:r>
          </w:p>
          <w:p>
            <w:pPr>
              <w:jc w:val="center"/>
              <w:rPr>
                <w:rFonts w:hint="eastAsia" w:eastAsiaTheme="minorEastAsia"/>
                <w:vertAlign w:val="baseline"/>
                <w:lang w:val="en-US" w:eastAsia="zh-CN"/>
              </w:rPr>
            </w:pPr>
          </w:p>
        </w:tc>
        <w:tc>
          <w:tcPr>
            <w:tcW w:w="3816" w:type="dxa"/>
            <w:vAlign w:val="center"/>
          </w:tcPr>
          <w:p>
            <w:pPr>
              <w:jc w:val="left"/>
              <w:rPr>
                <w:rFonts w:hint="eastAsia"/>
                <w:vertAlign w:val="baseline"/>
              </w:rPr>
            </w:pPr>
            <w:r>
              <w:rPr>
                <w:rFonts w:hint="eastAsia"/>
                <w:vertAlign w:val="baseline"/>
              </w:rPr>
              <w:t>"1、规格：1.5匹冷暖变频挂式空调；</w:t>
            </w:r>
          </w:p>
          <w:p>
            <w:pPr>
              <w:jc w:val="left"/>
              <w:rPr>
                <w:rFonts w:hint="eastAsia"/>
                <w:vertAlign w:val="baseline"/>
              </w:rPr>
            </w:pPr>
            <w:r>
              <w:rPr>
                <w:rFonts w:hint="eastAsia"/>
                <w:vertAlign w:val="baseline"/>
              </w:rPr>
              <w:t>2、能效等级：1级；</w:t>
            </w:r>
          </w:p>
          <w:p>
            <w:pPr>
              <w:jc w:val="left"/>
              <w:rPr>
                <w:rFonts w:hint="eastAsia"/>
                <w:vertAlign w:val="baseline"/>
              </w:rPr>
            </w:pPr>
            <w:r>
              <w:rPr>
                <w:rFonts w:hint="eastAsia"/>
                <w:vertAlign w:val="baseline"/>
              </w:rPr>
              <w:t>3、能效比APF：5.30；</w:t>
            </w:r>
          </w:p>
          <w:p>
            <w:pPr>
              <w:jc w:val="left"/>
              <w:rPr>
                <w:rFonts w:hint="eastAsia"/>
                <w:vertAlign w:val="baseline"/>
              </w:rPr>
            </w:pPr>
            <w:r>
              <w:rPr>
                <w:rFonts w:hint="eastAsia"/>
                <w:vertAlign w:val="baseline"/>
              </w:rPr>
              <w:t>4、额定制冷量(W)：3510；</w:t>
            </w:r>
          </w:p>
          <w:p>
            <w:pPr>
              <w:jc w:val="left"/>
              <w:rPr>
                <w:rFonts w:hint="eastAsia"/>
                <w:vertAlign w:val="baseline"/>
              </w:rPr>
            </w:pPr>
            <w:r>
              <w:rPr>
                <w:rFonts w:hint="eastAsia"/>
                <w:vertAlign w:val="baseline"/>
              </w:rPr>
              <w:t>5、额定制热量(W)：5010；</w:t>
            </w:r>
          </w:p>
          <w:p>
            <w:pPr>
              <w:jc w:val="left"/>
              <w:rPr>
                <w:rFonts w:hint="eastAsia"/>
                <w:vertAlign w:val="baseline"/>
              </w:rPr>
            </w:pPr>
            <w:r>
              <w:rPr>
                <w:rFonts w:hint="eastAsia"/>
                <w:vertAlign w:val="baseline"/>
              </w:rPr>
              <w:t>6、额定制冷功率(W)：845；</w:t>
            </w:r>
          </w:p>
          <w:p>
            <w:pPr>
              <w:jc w:val="left"/>
              <w:rPr>
                <w:rFonts w:hint="eastAsia"/>
                <w:vertAlign w:val="baseline"/>
              </w:rPr>
            </w:pPr>
            <w:r>
              <w:rPr>
                <w:rFonts w:hint="eastAsia"/>
                <w:vertAlign w:val="baseline"/>
              </w:rPr>
              <w:t>7、额定制热功率(W)：1240；</w:t>
            </w:r>
          </w:p>
          <w:p>
            <w:pPr>
              <w:jc w:val="left"/>
              <w:rPr>
                <w:rFonts w:hint="eastAsia"/>
                <w:vertAlign w:val="baseline"/>
              </w:rPr>
            </w:pPr>
            <w:r>
              <w:rPr>
                <w:rFonts w:hint="eastAsia"/>
                <w:vertAlign w:val="baseline"/>
              </w:rPr>
              <w:t>8、电辅热(W）：1000;</w:t>
            </w:r>
          </w:p>
          <w:p>
            <w:pPr>
              <w:jc w:val="left"/>
              <w:rPr>
                <w:rFonts w:hint="eastAsia"/>
                <w:vertAlign w:val="baseline"/>
              </w:rPr>
            </w:pPr>
            <w:r>
              <w:rPr>
                <w:rFonts w:hint="eastAsia"/>
                <w:vertAlign w:val="baseline"/>
              </w:rPr>
              <w:t>9、室内机噪音高风dB(A):35；</w:t>
            </w:r>
          </w:p>
          <w:p>
            <w:pPr>
              <w:jc w:val="left"/>
              <w:rPr>
                <w:rFonts w:hint="eastAsia"/>
                <w:vertAlign w:val="baseline"/>
              </w:rPr>
            </w:pPr>
            <w:r>
              <w:rPr>
                <w:rFonts w:hint="eastAsia"/>
                <w:vertAlign w:val="baseline"/>
              </w:rPr>
              <w:t>10、室外机噪音高风dB(A):51；</w:t>
            </w:r>
          </w:p>
          <w:p>
            <w:pPr>
              <w:jc w:val="left"/>
              <w:rPr>
                <w:rFonts w:hint="eastAsia"/>
                <w:vertAlign w:val="baseline"/>
              </w:rPr>
            </w:pPr>
            <w:r>
              <w:rPr>
                <w:rFonts w:hint="eastAsia"/>
                <w:vertAlign w:val="baseline"/>
              </w:rPr>
              <w:t>11、额定循环风量（m³/h）：720；</w:t>
            </w:r>
          </w:p>
          <w:p>
            <w:pPr>
              <w:jc w:val="left"/>
              <w:rPr>
                <w:vertAlign w:val="baseline"/>
              </w:rPr>
            </w:pPr>
            <w:r>
              <w:rPr>
                <w:rFonts w:hint="eastAsia"/>
                <w:vertAlign w:val="baseline"/>
              </w:rPr>
              <w:t>12、电压/频率（V/Hz）：220V~/50Hz；"</w:t>
            </w:r>
          </w:p>
        </w:tc>
        <w:tc>
          <w:tcPr>
            <w:tcW w:w="650"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684" w:type="dxa"/>
            <w:vAlign w:val="center"/>
          </w:tcPr>
          <w:p>
            <w:pPr>
              <w:jc w:val="center"/>
              <w:rPr>
                <w:vertAlign w:val="baseline"/>
              </w:rPr>
            </w:pPr>
            <w:r>
              <w:rPr>
                <w:rFonts w:hint="eastAsia"/>
                <w:vertAlign w:val="baseline"/>
                <w:lang w:val="en-US" w:eastAsia="zh-CN"/>
              </w:rPr>
              <w:t>台</w:t>
            </w:r>
          </w:p>
        </w:tc>
        <w:tc>
          <w:tcPr>
            <w:tcW w:w="816" w:type="dxa"/>
            <w:vAlign w:val="center"/>
          </w:tcPr>
          <w:p>
            <w:pPr>
              <w:jc w:val="center"/>
              <w:rPr>
                <w:rFonts w:hint="default"/>
                <w:vertAlign w:val="baseline"/>
                <w:lang w:val="en-US" w:eastAsia="zh-CN"/>
              </w:rPr>
            </w:pPr>
            <w:r>
              <w:rPr>
                <w:rFonts w:hint="eastAsia"/>
                <w:vertAlign w:val="baseline"/>
                <w:lang w:val="en-US" w:eastAsia="zh-CN"/>
              </w:rPr>
              <w:t>3800</w:t>
            </w:r>
          </w:p>
        </w:tc>
        <w:tc>
          <w:tcPr>
            <w:tcW w:w="952" w:type="dxa"/>
            <w:vAlign w:val="center"/>
          </w:tcPr>
          <w:p>
            <w:pPr>
              <w:jc w:val="center"/>
              <w:rPr>
                <w:rFonts w:hint="default" w:eastAsiaTheme="minorEastAsia"/>
                <w:vertAlign w:val="baseline"/>
                <w:lang w:val="en-US" w:eastAsia="zh-CN"/>
              </w:rPr>
            </w:pPr>
            <w:r>
              <w:rPr>
                <w:rFonts w:hint="eastAsia"/>
                <w:vertAlign w:val="baseline"/>
                <w:lang w:val="en-US" w:eastAsia="zh-CN"/>
              </w:rPr>
              <w:t>3800</w:t>
            </w:r>
          </w:p>
        </w:tc>
        <w:tc>
          <w:tcPr>
            <w:tcW w:w="989"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1178" w:type="dxa"/>
            <w:vAlign w:val="center"/>
          </w:tcPr>
          <w:p>
            <w:pPr>
              <w:jc w:val="center"/>
              <w:rPr>
                <w:rFonts w:hint="eastAsia"/>
                <w:vertAlign w:val="baseline"/>
              </w:rPr>
            </w:pPr>
            <w:r>
              <w:rPr>
                <w:rFonts w:hint="eastAsia"/>
                <w:vertAlign w:val="baseline"/>
                <w:lang w:val="en-US" w:eastAsia="zh-CN"/>
              </w:rPr>
              <w:t>美的</w:t>
            </w:r>
            <w:r>
              <w:rPr>
                <w:rFonts w:hint="eastAsia"/>
                <w:vertAlign w:val="baseline"/>
              </w:rPr>
              <w:t>KFR-50GW/G1-1A</w:t>
            </w:r>
          </w:p>
          <w:p>
            <w:pPr>
              <w:jc w:val="center"/>
              <w:rPr>
                <w:vertAlign w:val="baseline"/>
              </w:rPr>
            </w:pPr>
          </w:p>
        </w:tc>
        <w:tc>
          <w:tcPr>
            <w:tcW w:w="3816" w:type="dxa"/>
            <w:vAlign w:val="center"/>
          </w:tcPr>
          <w:p>
            <w:pPr>
              <w:jc w:val="left"/>
              <w:rPr>
                <w:rFonts w:hint="eastAsia"/>
                <w:vertAlign w:val="baseline"/>
              </w:rPr>
            </w:pPr>
            <w:r>
              <w:rPr>
                <w:rFonts w:hint="eastAsia"/>
                <w:vertAlign w:val="baseline"/>
              </w:rPr>
              <w:t>1、规格：2匹冷暖变频挂式空调；</w:t>
            </w:r>
          </w:p>
          <w:p>
            <w:pPr>
              <w:jc w:val="left"/>
              <w:rPr>
                <w:rFonts w:hint="eastAsia"/>
                <w:vertAlign w:val="baseline"/>
              </w:rPr>
            </w:pPr>
            <w:r>
              <w:rPr>
                <w:rFonts w:hint="eastAsia"/>
                <w:vertAlign w:val="baseline"/>
              </w:rPr>
              <w:t>2、能效等级：1级；</w:t>
            </w:r>
          </w:p>
          <w:p>
            <w:pPr>
              <w:jc w:val="left"/>
              <w:rPr>
                <w:rFonts w:hint="eastAsia"/>
                <w:vertAlign w:val="baseline"/>
              </w:rPr>
            </w:pPr>
            <w:r>
              <w:rPr>
                <w:rFonts w:hint="eastAsia"/>
                <w:vertAlign w:val="baseline"/>
              </w:rPr>
              <w:t>3、能效比APF：4.88；</w:t>
            </w:r>
          </w:p>
          <w:p>
            <w:pPr>
              <w:jc w:val="left"/>
              <w:rPr>
                <w:rFonts w:hint="eastAsia"/>
                <w:vertAlign w:val="baseline"/>
              </w:rPr>
            </w:pPr>
            <w:r>
              <w:rPr>
                <w:rFonts w:hint="eastAsia"/>
                <w:vertAlign w:val="baseline"/>
              </w:rPr>
              <w:t>4、额定制冷量(W)：5090；</w:t>
            </w:r>
          </w:p>
          <w:p>
            <w:pPr>
              <w:jc w:val="left"/>
              <w:rPr>
                <w:rFonts w:hint="eastAsia"/>
                <w:vertAlign w:val="baseline"/>
              </w:rPr>
            </w:pPr>
            <w:r>
              <w:rPr>
                <w:rFonts w:hint="eastAsia"/>
                <w:vertAlign w:val="baseline"/>
              </w:rPr>
              <w:t>5、额定制热量(W)：7290；</w:t>
            </w:r>
          </w:p>
          <w:p>
            <w:pPr>
              <w:jc w:val="left"/>
              <w:rPr>
                <w:rFonts w:hint="eastAsia"/>
                <w:vertAlign w:val="baseline"/>
              </w:rPr>
            </w:pPr>
            <w:r>
              <w:rPr>
                <w:rFonts w:hint="eastAsia"/>
                <w:vertAlign w:val="baseline"/>
              </w:rPr>
              <w:t>6、额定制冷功率(W)：1240；</w:t>
            </w:r>
          </w:p>
          <w:p>
            <w:pPr>
              <w:jc w:val="left"/>
              <w:rPr>
                <w:rFonts w:hint="eastAsia"/>
                <w:vertAlign w:val="baseline"/>
              </w:rPr>
            </w:pPr>
            <w:r>
              <w:rPr>
                <w:rFonts w:hint="eastAsia"/>
                <w:vertAlign w:val="baseline"/>
              </w:rPr>
              <w:t>7、额定制热功率(W)：1950；</w:t>
            </w:r>
          </w:p>
          <w:p>
            <w:pPr>
              <w:jc w:val="left"/>
              <w:rPr>
                <w:rFonts w:hint="eastAsia"/>
                <w:vertAlign w:val="baseline"/>
              </w:rPr>
            </w:pPr>
            <w:r>
              <w:rPr>
                <w:rFonts w:hint="eastAsia"/>
                <w:vertAlign w:val="baseline"/>
              </w:rPr>
              <w:t>8、电辅热(W）：1200</w:t>
            </w:r>
          </w:p>
          <w:p>
            <w:pPr>
              <w:jc w:val="left"/>
              <w:rPr>
                <w:rFonts w:hint="eastAsia"/>
                <w:vertAlign w:val="baseline"/>
              </w:rPr>
            </w:pPr>
            <w:r>
              <w:rPr>
                <w:rFonts w:hint="eastAsia"/>
                <w:vertAlign w:val="baseline"/>
              </w:rPr>
              <w:t>9、室内机噪音高风dB(A):37；</w:t>
            </w:r>
          </w:p>
          <w:p>
            <w:pPr>
              <w:jc w:val="left"/>
              <w:rPr>
                <w:rFonts w:hint="eastAsia"/>
                <w:vertAlign w:val="baseline"/>
              </w:rPr>
            </w:pPr>
            <w:r>
              <w:rPr>
                <w:rFonts w:hint="eastAsia"/>
                <w:vertAlign w:val="baseline"/>
              </w:rPr>
              <w:t>10、室外机噪音高风dB(A):53；</w:t>
            </w:r>
          </w:p>
          <w:p>
            <w:pPr>
              <w:jc w:val="left"/>
              <w:rPr>
                <w:rFonts w:hint="eastAsia"/>
                <w:vertAlign w:val="baseline"/>
              </w:rPr>
            </w:pPr>
            <w:r>
              <w:rPr>
                <w:rFonts w:hint="eastAsia"/>
                <w:vertAlign w:val="baseline"/>
              </w:rPr>
              <w:t>11、额定循环风量（m³/h）：1000；</w:t>
            </w:r>
          </w:p>
          <w:p>
            <w:pPr>
              <w:jc w:val="left"/>
              <w:rPr>
                <w:vertAlign w:val="baseline"/>
              </w:rPr>
            </w:pPr>
            <w:r>
              <w:rPr>
                <w:rFonts w:hint="eastAsia"/>
                <w:vertAlign w:val="baseline"/>
              </w:rPr>
              <w:t>12、电压/频率（V/Hz）：220V~/50Hz；</w:t>
            </w:r>
          </w:p>
        </w:tc>
        <w:tc>
          <w:tcPr>
            <w:tcW w:w="650"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684" w:type="dxa"/>
            <w:vAlign w:val="center"/>
          </w:tcPr>
          <w:p>
            <w:pPr>
              <w:jc w:val="center"/>
              <w:rPr>
                <w:vertAlign w:val="baseline"/>
              </w:rPr>
            </w:pPr>
            <w:r>
              <w:rPr>
                <w:rFonts w:hint="eastAsia"/>
                <w:vertAlign w:val="baseline"/>
                <w:lang w:val="en-US" w:eastAsia="zh-CN"/>
              </w:rPr>
              <w:t>台</w:t>
            </w:r>
          </w:p>
        </w:tc>
        <w:tc>
          <w:tcPr>
            <w:tcW w:w="816" w:type="dxa"/>
            <w:vAlign w:val="center"/>
          </w:tcPr>
          <w:p>
            <w:pPr>
              <w:jc w:val="center"/>
              <w:rPr>
                <w:rFonts w:hint="default"/>
                <w:vertAlign w:val="baseline"/>
                <w:lang w:val="en-US" w:eastAsia="zh-CN"/>
              </w:rPr>
            </w:pPr>
            <w:r>
              <w:rPr>
                <w:rFonts w:hint="eastAsia"/>
                <w:vertAlign w:val="baseline"/>
                <w:lang w:val="en-US" w:eastAsia="zh-CN"/>
              </w:rPr>
              <w:t>7000</w:t>
            </w:r>
          </w:p>
        </w:tc>
        <w:tc>
          <w:tcPr>
            <w:tcW w:w="952" w:type="dxa"/>
            <w:vAlign w:val="center"/>
          </w:tcPr>
          <w:p>
            <w:pPr>
              <w:jc w:val="center"/>
              <w:rPr>
                <w:rFonts w:hint="default" w:eastAsiaTheme="minorEastAsia"/>
                <w:vertAlign w:val="baseline"/>
                <w:lang w:val="en-US" w:eastAsia="zh-CN"/>
              </w:rPr>
            </w:pPr>
            <w:r>
              <w:rPr>
                <w:rFonts w:hint="eastAsia"/>
                <w:vertAlign w:val="baseline"/>
                <w:lang w:val="en-US" w:eastAsia="zh-CN"/>
              </w:rPr>
              <w:t>35000</w:t>
            </w:r>
          </w:p>
        </w:tc>
        <w:tc>
          <w:tcPr>
            <w:tcW w:w="989"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1178" w:type="dxa"/>
            <w:vAlign w:val="center"/>
          </w:tcPr>
          <w:p>
            <w:pPr>
              <w:jc w:val="center"/>
              <w:rPr>
                <w:rFonts w:hint="eastAsia"/>
                <w:vertAlign w:val="baseline"/>
              </w:rPr>
            </w:pPr>
            <w:r>
              <w:rPr>
                <w:rFonts w:hint="eastAsia"/>
                <w:vertAlign w:val="baseline"/>
                <w:lang w:val="en-US" w:eastAsia="zh-CN"/>
              </w:rPr>
              <w:t>美的</w:t>
            </w:r>
            <w:r>
              <w:rPr>
                <w:rFonts w:hint="eastAsia"/>
                <w:vertAlign w:val="baseline"/>
              </w:rPr>
              <w:t>KFR-51LW/G3-1（圆柱柜）</w:t>
            </w:r>
          </w:p>
          <w:p>
            <w:pPr>
              <w:jc w:val="center"/>
              <w:rPr>
                <w:rFonts w:hint="eastAsia" w:eastAsiaTheme="minorEastAsia"/>
                <w:vertAlign w:val="baseline"/>
                <w:lang w:val="en-US" w:eastAsia="zh-CN"/>
              </w:rPr>
            </w:pPr>
          </w:p>
        </w:tc>
        <w:tc>
          <w:tcPr>
            <w:tcW w:w="3816" w:type="dxa"/>
            <w:vAlign w:val="center"/>
          </w:tcPr>
          <w:p>
            <w:pPr>
              <w:jc w:val="left"/>
              <w:rPr>
                <w:rFonts w:hint="eastAsia"/>
                <w:vertAlign w:val="baseline"/>
              </w:rPr>
            </w:pPr>
            <w:r>
              <w:rPr>
                <w:rFonts w:hint="eastAsia"/>
                <w:vertAlign w:val="baseline"/>
              </w:rPr>
              <w:t>"1、规格：2匹冷暖变频柜机；</w:t>
            </w:r>
          </w:p>
          <w:p>
            <w:pPr>
              <w:jc w:val="left"/>
              <w:rPr>
                <w:rFonts w:hint="eastAsia"/>
                <w:vertAlign w:val="baseline"/>
              </w:rPr>
            </w:pPr>
            <w:r>
              <w:rPr>
                <w:rFonts w:hint="eastAsia"/>
                <w:vertAlign w:val="baseline"/>
              </w:rPr>
              <w:t>2、能效等级：1级；</w:t>
            </w:r>
          </w:p>
          <w:p>
            <w:pPr>
              <w:jc w:val="left"/>
              <w:rPr>
                <w:rFonts w:hint="eastAsia"/>
                <w:vertAlign w:val="baseline"/>
              </w:rPr>
            </w:pPr>
            <w:r>
              <w:rPr>
                <w:rFonts w:hint="eastAsia"/>
                <w:vertAlign w:val="baseline"/>
              </w:rPr>
              <w:t>3、能效比APF：4.91；</w:t>
            </w:r>
          </w:p>
          <w:p>
            <w:pPr>
              <w:jc w:val="left"/>
              <w:rPr>
                <w:rFonts w:hint="eastAsia"/>
                <w:vertAlign w:val="baseline"/>
              </w:rPr>
            </w:pPr>
            <w:r>
              <w:rPr>
                <w:rFonts w:hint="eastAsia"/>
                <w:vertAlign w:val="baseline"/>
              </w:rPr>
              <w:t>4、额定制冷量(W)：5220；</w:t>
            </w:r>
          </w:p>
          <w:p>
            <w:pPr>
              <w:jc w:val="left"/>
              <w:rPr>
                <w:rFonts w:hint="eastAsia"/>
                <w:vertAlign w:val="baseline"/>
              </w:rPr>
            </w:pPr>
            <w:r>
              <w:rPr>
                <w:rFonts w:hint="eastAsia"/>
                <w:vertAlign w:val="baseline"/>
              </w:rPr>
              <w:t>5、额定制热量(W)：7310；</w:t>
            </w:r>
          </w:p>
          <w:p>
            <w:pPr>
              <w:jc w:val="left"/>
              <w:rPr>
                <w:rFonts w:hint="eastAsia"/>
                <w:vertAlign w:val="baseline"/>
              </w:rPr>
            </w:pPr>
            <w:r>
              <w:rPr>
                <w:rFonts w:hint="eastAsia"/>
                <w:vertAlign w:val="baseline"/>
              </w:rPr>
              <w:t>6、额定制冷功率(W)：1270；</w:t>
            </w:r>
          </w:p>
          <w:p>
            <w:pPr>
              <w:jc w:val="left"/>
              <w:rPr>
                <w:rFonts w:hint="eastAsia"/>
                <w:vertAlign w:val="baseline"/>
              </w:rPr>
            </w:pPr>
            <w:r>
              <w:rPr>
                <w:rFonts w:hint="eastAsia"/>
                <w:vertAlign w:val="baseline"/>
              </w:rPr>
              <w:t>7、额定制热功率(W)：2000；</w:t>
            </w:r>
          </w:p>
          <w:p>
            <w:pPr>
              <w:jc w:val="left"/>
              <w:rPr>
                <w:rFonts w:hint="eastAsia"/>
                <w:vertAlign w:val="baseline"/>
              </w:rPr>
            </w:pPr>
            <w:r>
              <w:rPr>
                <w:rFonts w:hint="eastAsia"/>
                <w:vertAlign w:val="baseline"/>
              </w:rPr>
              <w:t>8、电辅热(W）：2200</w:t>
            </w:r>
          </w:p>
          <w:p>
            <w:pPr>
              <w:jc w:val="left"/>
              <w:rPr>
                <w:rFonts w:hint="eastAsia"/>
                <w:vertAlign w:val="baseline"/>
              </w:rPr>
            </w:pPr>
            <w:r>
              <w:rPr>
                <w:rFonts w:hint="eastAsia"/>
                <w:vertAlign w:val="baseline"/>
              </w:rPr>
              <w:t>9、室内机噪音高风dB(A):38；</w:t>
            </w:r>
          </w:p>
          <w:p>
            <w:pPr>
              <w:jc w:val="left"/>
              <w:rPr>
                <w:rFonts w:hint="eastAsia"/>
                <w:vertAlign w:val="baseline"/>
              </w:rPr>
            </w:pPr>
            <w:r>
              <w:rPr>
                <w:rFonts w:hint="eastAsia"/>
                <w:vertAlign w:val="baseline"/>
              </w:rPr>
              <w:t>10、室外机噪音高风dB(A):54；</w:t>
            </w:r>
          </w:p>
          <w:p>
            <w:pPr>
              <w:jc w:val="left"/>
              <w:rPr>
                <w:rFonts w:hint="eastAsia"/>
                <w:vertAlign w:val="baseline"/>
              </w:rPr>
            </w:pPr>
            <w:r>
              <w:rPr>
                <w:rFonts w:hint="eastAsia"/>
                <w:vertAlign w:val="baseline"/>
              </w:rPr>
              <w:t>11、额定循环风量（m³/h）：1450；</w:t>
            </w:r>
          </w:p>
          <w:p>
            <w:pPr>
              <w:jc w:val="left"/>
              <w:rPr>
                <w:vertAlign w:val="baseline"/>
              </w:rPr>
            </w:pPr>
            <w:r>
              <w:rPr>
                <w:rFonts w:hint="eastAsia"/>
                <w:vertAlign w:val="baseline"/>
              </w:rPr>
              <w:t>12、电压/频率（V/Hz）：220V~/50Hz；"</w:t>
            </w:r>
          </w:p>
        </w:tc>
        <w:tc>
          <w:tcPr>
            <w:tcW w:w="650"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684" w:type="dxa"/>
            <w:vAlign w:val="center"/>
          </w:tcPr>
          <w:p>
            <w:pPr>
              <w:jc w:val="center"/>
              <w:rPr>
                <w:vertAlign w:val="baseline"/>
              </w:rPr>
            </w:pPr>
            <w:r>
              <w:rPr>
                <w:rFonts w:hint="eastAsia"/>
                <w:vertAlign w:val="baseline"/>
                <w:lang w:val="en-US" w:eastAsia="zh-CN"/>
              </w:rPr>
              <w:t>台</w:t>
            </w:r>
          </w:p>
        </w:tc>
        <w:tc>
          <w:tcPr>
            <w:tcW w:w="816" w:type="dxa"/>
            <w:vAlign w:val="center"/>
          </w:tcPr>
          <w:p>
            <w:pPr>
              <w:jc w:val="center"/>
              <w:rPr>
                <w:rFonts w:hint="default"/>
                <w:vertAlign w:val="baseline"/>
                <w:lang w:val="en-US" w:eastAsia="zh-CN"/>
              </w:rPr>
            </w:pPr>
            <w:r>
              <w:rPr>
                <w:rFonts w:hint="eastAsia"/>
                <w:vertAlign w:val="baseline"/>
                <w:lang w:val="en-US" w:eastAsia="zh-CN"/>
              </w:rPr>
              <w:t>7450</w:t>
            </w:r>
          </w:p>
        </w:tc>
        <w:tc>
          <w:tcPr>
            <w:tcW w:w="952" w:type="dxa"/>
            <w:vAlign w:val="center"/>
          </w:tcPr>
          <w:p>
            <w:pPr>
              <w:jc w:val="center"/>
              <w:rPr>
                <w:rFonts w:hint="default" w:eastAsiaTheme="minorEastAsia"/>
                <w:vertAlign w:val="baseline"/>
                <w:lang w:val="en-US" w:eastAsia="zh-CN"/>
              </w:rPr>
            </w:pPr>
            <w:r>
              <w:rPr>
                <w:rFonts w:hint="eastAsia"/>
                <w:vertAlign w:val="baseline"/>
                <w:lang w:val="en-US" w:eastAsia="zh-CN"/>
              </w:rPr>
              <w:t>14500</w:t>
            </w:r>
          </w:p>
        </w:tc>
        <w:tc>
          <w:tcPr>
            <w:tcW w:w="989"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1178" w:type="dxa"/>
            <w:vAlign w:val="center"/>
          </w:tcPr>
          <w:p>
            <w:pPr>
              <w:jc w:val="center"/>
              <w:rPr>
                <w:rFonts w:hint="eastAsia"/>
                <w:vertAlign w:val="baseline"/>
              </w:rPr>
            </w:pPr>
            <w:r>
              <w:rPr>
                <w:rFonts w:hint="eastAsia"/>
                <w:vertAlign w:val="baseline"/>
                <w:lang w:val="en-US" w:eastAsia="zh-CN"/>
              </w:rPr>
              <w:t>美的</w:t>
            </w:r>
            <w:r>
              <w:rPr>
                <w:rFonts w:hint="eastAsia"/>
                <w:vertAlign w:val="baseline"/>
              </w:rPr>
              <w:t>KFR-72LW/G3-1（圆柱柜）</w:t>
            </w:r>
          </w:p>
          <w:p>
            <w:pPr>
              <w:jc w:val="center"/>
              <w:rPr>
                <w:rFonts w:hint="eastAsia" w:eastAsiaTheme="minorEastAsia"/>
                <w:vertAlign w:val="baseline"/>
                <w:lang w:val="en-US" w:eastAsia="zh-CN"/>
              </w:rPr>
            </w:pPr>
          </w:p>
        </w:tc>
        <w:tc>
          <w:tcPr>
            <w:tcW w:w="3816" w:type="dxa"/>
            <w:vAlign w:val="center"/>
          </w:tcPr>
          <w:p>
            <w:pPr>
              <w:jc w:val="left"/>
              <w:rPr>
                <w:rFonts w:hint="eastAsia"/>
                <w:vertAlign w:val="baseline"/>
              </w:rPr>
            </w:pPr>
            <w:r>
              <w:rPr>
                <w:rFonts w:hint="eastAsia"/>
                <w:vertAlign w:val="baseline"/>
              </w:rPr>
              <w:t>"1、规格：3匹冷暖变频柜机；</w:t>
            </w:r>
          </w:p>
          <w:p>
            <w:pPr>
              <w:jc w:val="left"/>
              <w:rPr>
                <w:rFonts w:hint="eastAsia"/>
                <w:vertAlign w:val="baseline"/>
              </w:rPr>
            </w:pPr>
            <w:r>
              <w:rPr>
                <w:rFonts w:hint="eastAsia"/>
                <w:vertAlign w:val="baseline"/>
              </w:rPr>
              <w:t>2、能效等级：1级；</w:t>
            </w:r>
          </w:p>
          <w:p>
            <w:pPr>
              <w:jc w:val="left"/>
              <w:rPr>
                <w:rFonts w:hint="eastAsia"/>
                <w:vertAlign w:val="baseline"/>
              </w:rPr>
            </w:pPr>
            <w:r>
              <w:rPr>
                <w:rFonts w:hint="eastAsia"/>
                <w:vertAlign w:val="baseline"/>
              </w:rPr>
              <w:t>3、能效比APF：4.7；</w:t>
            </w:r>
          </w:p>
          <w:p>
            <w:pPr>
              <w:jc w:val="left"/>
              <w:rPr>
                <w:rFonts w:hint="eastAsia"/>
                <w:vertAlign w:val="baseline"/>
              </w:rPr>
            </w:pPr>
            <w:r>
              <w:rPr>
                <w:rFonts w:hint="eastAsia"/>
                <w:vertAlign w:val="baseline"/>
              </w:rPr>
              <w:t>4、额定制冷量(W)：7330；</w:t>
            </w:r>
          </w:p>
          <w:p>
            <w:pPr>
              <w:jc w:val="left"/>
              <w:rPr>
                <w:rFonts w:hint="eastAsia"/>
                <w:vertAlign w:val="baseline"/>
              </w:rPr>
            </w:pPr>
            <w:r>
              <w:rPr>
                <w:rFonts w:hint="eastAsia"/>
                <w:vertAlign w:val="baseline"/>
              </w:rPr>
              <w:t>5、额定制热量(W)：10000；</w:t>
            </w:r>
          </w:p>
          <w:p>
            <w:pPr>
              <w:jc w:val="left"/>
              <w:rPr>
                <w:rFonts w:hint="eastAsia"/>
                <w:vertAlign w:val="baseline"/>
              </w:rPr>
            </w:pPr>
            <w:r>
              <w:rPr>
                <w:rFonts w:hint="eastAsia"/>
                <w:vertAlign w:val="baseline"/>
              </w:rPr>
              <w:t>6、额定制冷功率(W)：1945；</w:t>
            </w:r>
          </w:p>
          <w:p>
            <w:pPr>
              <w:jc w:val="left"/>
              <w:rPr>
                <w:rFonts w:hint="eastAsia"/>
                <w:vertAlign w:val="baseline"/>
              </w:rPr>
            </w:pPr>
            <w:r>
              <w:rPr>
                <w:rFonts w:hint="eastAsia"/>
                <w:vertAlign w:val="baseline"/>
              </w:rPr>
              <w:t>7、额定制热功率(W)：2850；</w:t>
            </w:r>
          </w:p>
          <w:p>
            <w:pPr>
              <w:jc w:val="left"/>
              <w:rPr>
                <w:rFonts w:hint="eastAsia"/>
                <w:vertAlign w:val="baseline"/>
              </w:rPr>
            </w:pPr>
            <w:r>
              <w:rPr>
                <w:rFonts w:hint="eastAsia"/>
                <w:vertAlign w:val="baseline"/>
              </w:rPr>
              <w:t>8、电辅热(W）：2400</w:t>
            </w:r>
          </w:p>
          <w:p>
            <w:pPr>
              <w:jc w:val="left"/>
              <w:rPr>
                <w:rFonts w:hint="eastAsia"/>
                <w:vertAlign w:val="baseline"/>
              </w:rPr>
            </w:pPr>
            <w:r>
              <w:rPr>
                <w:rFonts w:hint="eastAsia"/>
                <w:vertAlign w:val="baseline"/>
              </w:rPr>
              <w:t>9、室内机噪音高风dB(A):42；</w:t>
            </w:r>
          </w:p>
          <w:p>
            <w:pPr>
              <w:jc w:val="left"/>
              <w:rPr>
                <w:rFonts w:hint="eastAsia"/>
                <w:vertAlign w:val="baseline"/>
              </w:rPr>
            </w:pPr>
            <w:r>
              <w:rPr>
                <w:rFonts w:hint="eastAsia"/>
                <w:vertAlign w:val="baseline"/>
              </w:rPr>
              <w:t>10、室外机噪音高风dB(A):56；</w:t>
            </w:r>
          </w:p>
          <w:p>
            <w:pPr>
              <w:jc w:val="left"/>
              <w:rPr>
                <w:rFonts w:hint="eastAsia"/>
                <w:vertAlign w:val="baseline"/>
              </w:rPr>
            </w:pPr>
            <w:r>
              <w:rPr>
                <w:rFonts w:hint="eastAsia"/>
                <w:vertAlign w:val="baseline"/>
              </w:rPr>
              <w:t>11、额定循环风量（m³/h）：1550；</w:t>
            </w:r>
          </w:p>
          <w:p>
            <w:pPr>
              <w:jc w:val="left"/>
              <w:rPr>
                <w:vertAlign w:val="baseline"/>
              </w:rPr>
            </w:pPr>
            <w:r>
              <w:rPr>
                <w:rFonts w:hint="eastAsia"/>
                <w:vertAlign w:val="baseline"/>
              </w:rPr>
              <w:t>12、电压/频率（V/Hz）：220V~/50Hz；"</w:t>
            </w:r>
          </w:p>
        </w:tc>
        <w:tc>
          <w:tcPr>
            <w:tcW w:w="650" w:type="dxa"/>
            <w:vAlign w:val="center"/>
          </w:tcPr>
          <w:p>
            <w:pPr>
              <w:jc w:val="center"/>
              <w:rPr>
                <w:rFonts w:hint="default" w:eastAsiaTheme="minorEastAsia"/>
                <w:vertAlign w:val="baseline"/>
                <w:lang w:val="en-US" w:eastAsia="zh-CN"/>
              </w:rPr>
            </w:pPr>
            <w:r>
              <w:rPr>
                <w:rFonts w:hint="eastAsia"/>
                <w:vertAlign w:val="baseline"/>
                <w:lang w:val="en-US" w:eastAsia="zh-CN"/>
              </w:rPr>
              <w:t>13</w:t>
            </w:r>
          </w:p>
        </w:tc>
        <w:tc>
          <w:tcPr>
            <w:tcW w:w="684" w:type="dxa"/>
            <w:vAlign w:val="center"/>
          </w:tcPr>
          <w:p>
            <w:pPr>
              <w:jc w:val="center"/>
              <w:rPr>
                <w:vertAlign w:val="baseline"/>
              </w:rPr>
            </w:pPr>
            <w:r>
              <w:rPr>
                <w:rFonts w:hint="eastAsia"/>
                <w:vertAlign w:val="baseline"/>
                <w:lang w:val="en-US" w:eastAsia="zh-CN"/>
              </w:rPr>
              <w:t>台</w:t>
            </w:r>
          </w:p>
        </w:tc>
        <w:tc>
          <w:tcPr>
            <w:tcW w:w="816" w:type="dxa"/>
            <w:vAlign w:val="center"/>
          </w:tcPr>
          <w:p>
            <w:pPr>
              <w:jc w:val="center"/>
              <w:rPr>
                <w:rFonts w:hint="default"/>
                <w:vertAlign w:val="baseline"/>
                <w:lang w:val="en-US" w:eastAsia="zh-CN"/>
              </w:rPr>
            </w:pPr>
            <w:r>
              <w:rPr>
                <w:rFonts w:hint="eastAsia"/>
                <w:vertAlign w:val="baseline"/>
                <w:lang w:val="en-US" w:eastAsia="zh-CN"/>
              </w:rPr>
              <w:t>9600</w:t>
            </w:r>
          </w:p>
        </w:tc>
        <w:tc>
          <w:tcPr>
            <w:tcW w:w="952" w:type="dxa"/>
            <w:vAlign w:val="center"/>
          </w:tcPr>
          <w:p>
            <w:pPr>
              <w:jc w:val="center"/>
              <w:rPr>
                <w:rFonts w:hint="default" w:eastAsiaTheme="minorEastAsia"/>
                <w:vertAlign w:val="baseline"/>
                <w:lang w:val="en-US" w:eastAsia="zh-CN"/>
              </w:rPr>
            </w:pPr>
            <w:r>
              <w:rPr>
                <w:rFonts w:hint="eastAsia"/>
                <w:vertAlign w:val="baseline"/>
                <w:lang w:val="en-US" w:eastAsia="zh-CN"/>
              </w:rPr>
              <w:t>124800</w:t>
            </w:r>
          </w:p>
        </w:tc>
        <w:tc>
          <w:tcPr>
            <w:tcW w:w="989" w:type="dxa"/>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3" w:type="dxa"/>
            <w:gridSpan w:val="5"/>
          </w:tcPr>
          <w:p>
            <w:pPr>
              <w:ind w:firstLine="4006" w:firstLineChars="1900"/>
              <w:rPr>
                <w:rFonts w:hint="default" w:eastAsiaTheme="minorEastAsia"/>
                <w:vertAlign w:val="baseline"/>
                <w:lang w:val="en-US" w:eastAsia="zh-CN"/>
              </w:rPr>
            </w:pPr>
            <w:r>
              <w:rPr>
                <w:rFonts w:hint="eastAsia"/>
                <w:b/>
                <w:bCs/>
                <w:vertAlign w:val="baseline"/>
                <w:lang w:val="en-US" w:eastAsia="zh-CN"/>
              </w:rPr>
              <w:t>总价：￥</w:t>
            </w:r>
            <w:r>
              <w:rPr>
                <w:rFonts w:hint="eastAsia"/>
                <w:vertAlign w:val="baseline"/>
                <w:lang w:val="en-US" w:eastAsia="zh-CN"/>
              </w:rPr>
              <w:t>182000.00</w:t>
            </w:r>
          </w:p>
        </w:tc>
        <w:tc>
          <w:tcPr>
            <w:tcW w:w="816" w:type="dxa"/>
          </w:tcPr>
          <w:p>
            <w:pPr>
              <w:rPr>
                <w:vertAlign w:val="baseline"/>
              </w:rPr>
            </w:pPr>
          </w:p>
        </w:tc>
        <w:tc>
          <w:tcPr>
            <w:tcW w:w="952" w:type="dxa"/>
          </w:tcPr>
          <w:p>
            <w:pPr>
              <w:rPr>
                <w:rFonts w:hint="default" w:eastAsiaTheme="minorEastAsia"/>
                <w:vertAlign w:val="baseline"/>
                <w:lang w:val="en-US" w:eastAsia="zh-CN"/>
              </w:rPr>
            </w:pPr>
          </w:p>
        </w:tc>
        <w:tc>
          <w:tcPr>
            <w:tcW w:w="989"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0" w:type="dxa"/>
            <w:gridSpan w:val="8"/>
          </w:tcPr>
          <w:p>
            <w:pPr>
              <w:rPr>
                <w:vertAlign w:val="baseline"/>
              </w:rPr>
            </w:pPr>
            <w:r>
              <w:rPr>
                <w:rFonts w:ascii="宋体" w:hAnsi="宋体" w:eastAsia="宋体" w:cs="宋体"/>
                <w:b/>
                <w:color w:val="000000"/>
                <w:spacing w:val="0"/>
                <w:position w:val="0"/>
                <w:sz w:val="21"/>
                <w:shd w:val="clear" w:fill="auto"/>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gridSpan w:val="2"/>
          </w:tcPr>
          <w:p>
            <w:pPr>
              <w:spacing w:before="0" w:after="0" w:line="380" w:lineRule="auto"/>
              <w:ind w:left="0" w:right="0" w:firstLine="0"/>
              <w:jc w:val="center"/>
              <w:rPr>
                <w:rFonts w:ascii="宋体" w:hAnsi="宋体" w:eastAsia="宋体" w:cs="宋体"/>
                <w:b/>
                <w:color w:val="000000"/>
                <w:spacing w:val="0"/>
                <w:position w:val="0"/>
                <w:sz w:val="21"/>
                <w:shd w:val="clear" w:fill="auto"/>
              </w:rPr>
            </w:pPr>
            <w:r>
              <w:rPr>
                <w:rFonts w:ascii="宋体" w:hAnsi="宋体" w:eastAsia="宋体" w:cs="宋体"/>
                <w:b/>
                <w:color w:val="000000"/>
                <w:spacing w:val="0"/>
                <w:position w:val="0"/>
                <w:sz w:val="21"/>
                <w:shd w:val="clear" w:fill="auto"/>
              </w:rPr>
              <w:t>质保及服务要求</w:t>
            </w:r>
          </w:p>
          <w:p>
            <w:pPr>
              <w:rPr>
                <w:vertAlign w:val="baseline"/>
              </w:rPr>
            </w:pPr>
          </w:p>
        </w:tc>
        <w:tc>
          <w:tcPr>
            <w:tcW w:w="7907" w:type="dxa"/>
            <w:gridSpan w:val="6"/>
          </w:tcPr>
          <w:p>
            <w:pPr>
              <w:tabs>
                <w:tab w:val="left" w:pos="193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★一、投标人资格</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★（一）满足《中华人民共和国政府采购法》第二十二条规定；</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★（二）落实政府采购政策需满足的资格要求：</w:t>
            </w:r>
            <w:r>
              <w:rPr>
                <w:rFonts w:ascii="Calibri" w:hAnsi="Calibri" w:eastAsia="Calibri" w:cs="Calibri"/>
                <w:color w:val="auto"/>
                <w:spacing w:val="0"/>
                <w:position w:val="0"/>
                <w:sz w:val="18"/>
                <w:shd w:val="clear" w:fill="auto"/>
              </w:rPr>
              <w:t xml:space="preserve"> 1.</w:t>
            </w:r>
            <w:r>
              <w:rPr>
                <w:rFonts w:ascii="宋体" w:hAnsi="宋体" w:eastAsia="宋体" w:cs="宋体"/>
                <w:color w:val="auto"/>
                <w:spacing w:val="0"/>
                <w:position w:val="0"/>
                <w:sz w:val="18"/>
                <w:shd w:val="clear" w:fill="auto"/>
              </w:rPr>
              <w:t>落实强制采购节能产品、鼓励节能政策：对国家公布的节能产品政府采购品目清单（财库〔</w:t>
            </w:r>
            <w:r>
              <w:rPr>
                <w:rFonts w:ascii="Calibri" w:hAnsi="Calibri" w:eastAsia="Calibri" w:cs="Calibri"/>
                <w:color w:val="auto"/>
                <w:spacing w:val="0"/>
                <w:position w:val="0"/>
                <w:sz w:val="18"/>
                <w:shd w:val="clear" w:fill="auto"/>
              </w:rPr>
              <w:t>2019</w:t>
            </w:r>
            <w:r>
              <w:rPr>
                <w:rFonts w:ascii="宋体" w:hAnsi="宋体" w:eastAsia="宋体" w:cs="宋体"/>
                <w:color w:val="auto"/>
                <w:spacing w:val="0"/>
                <w:position w:val="0"/>
                <w:sz w:val="18"/>
                <w:shd w:val="clear" w:fill="auto"/>
              </w:rPr>
              <w:t>〕</w:t>
            </w:r>
            <w:r>
              <w:rPr>
                <w:rFonts w:ascii="Calibri" w:hAnsi="Calibri" w:eastAsia="Calibri" w:cs="Calibri"/>
                <w:color w:val="auto"/>
                <w:spacing w:val="0"/>
                <w:position w:val="0"/>
                <w:sz w:val="18"/>
                <w:shd w:val="clear" w:fill="auto"/>
              </w:rPr>
              <w:t>19</w:t>
            </w:r>
            <w:r>
              <w:rPr>
                <w:rFonts w:ascii="宋体" w:hAnsi="宋体" w:eastAsia="宋体" w:cs="宋体"/>
                <w:color w:val="auto"/>
                <w:spacing w:val="0"/>
                <w:position w:val="0"/>
                <w:sz w:val="18"/>
                <w:shd w:val="clear" w:fill="auto"/>
              </w:rPr>
              <w:t>号）中属于强制采购的品目，予以强制采购节能产品。属于非强制采购的品目，在技术、服务等指标同等条件下，予以优先采购节能产品。</w:t>
            </w:r>
            <w:r>
              <w:rPr>
                <w:rFonts w:ascii="Calibri" w:hAnsi="Calibri" w:eastAsia="Calibri" w:cs="Calibri"/>
                <w:color w:val="auto"/>
                <w:spacing w:val="0"/>
                <w:position w:val="0"/>
                <w:sz w:val="18"/>
                <w:shd w:val="clear" w:fill="auto"/>
              </w:rPr>
              <w:t xml:space="preserve"> 2.</w:t>
            </w:r>
            <w:r>
              <w:rPr>
                <w:rFonts w:ascii="宋体" w:hAnsi="宋体" w:eastAsia="宋体" w:cs="宋体"/>
                <w:color w:val="auto"/>
                <w:spacing w:val="0"/>
                <w:position w:val="0"/>
                <w:sz w:val="18"/>
                <w:shd w:val="clear" w:fill="auto"/>
              </w:rPr>
              <w:t>鼓励环保政策：在性能、技术、服务等指标同等条件下，对国家公布的环境标志产品政府采购品目清单（财库〔</w:t>
            </w:r>
            <w:r>
              <w:rPr>
                <w:rFonts w:ascii="Calibri" w:hAnsi="Calibri" w:eastAsia="Calibri" w:cs="Calibri"/>
                <w:color w:val="auto"/>
                <w:spacing w:val="0"/>
                <w:position w:val="0"/>
                <w:sz w:val="18"/>
                <w:shd w:val="clear" w:fill="auto"/>
              </w:rPr>
              <w:t>2019</w:t>
            </w:r>
            <w:r>
              <w:rPr>
                <w:rFonts w:ascii="宋体" w:hAnsi="宋体" w:eastAsia="宋体" w:cs="宋体"/>
                <w:color w:val="auto"/>
                <w:spacing w:val="0"/>
                <w:position w:val="0"/>
                <w:sz w:val="18"/>
                <w:shd w:val="clear" w:fill="auto"/>
              </w:rPr>
              <w:t>〕</w:t>
            </w:r>
            <w:r>
              <w:rPr>
                <w:rFonts w:ascii="Calibri" w:hAnsi="Calibri" w:eastAsia="Calibri" w:cs="Calibri"/>
                <w:color w:val="auto"/>
                <w:spacing w:val="0"/>
                <w:position w:val="0"/>
                <w:sz w:val="18"/>
                <w:shd w:val="clear" w:fill="auto"/>
              </w:rPr>
              <w:t>18</w:t>
            </w:r>
            <w:r>
              <w:rPr>
                <w:rFonts w:ascii="宋体" w:hAnsi="宋体" w:eastAsia="宋体" w:cs="宋体"/>
                <w:color w:val="auto"/>
                <w:spacing w:val="0"/>
                <w:position w:val="0"/>
                <w:sz w:val="18"/>
                <w:shd w:val="clear" w:fill="auto"/>
              </w:rPr>
              <w:t>号）内的，实行优先采购环境标志产品。</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三）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四）被列入失信被执行人、重大税收违法案件当事人名单、政府采购严重违法失信行为记录名单及其他不符合《中华人民共和国政府采购法》第二十二条规定条件的供应商，将被拒绝其参与本次政府采购活动（以评标阶段在“信用中国”网站（</w:t>
            </w:r>
            <w:r>
              <w:rPr>
                <w:rFonts w:ascii="Calibri" w:hAnsi="Calibri" w:eastAsia="Calibri" w:cs="Calibri"/>
                <w:color w:val="auto"/>
                <w:spacing w:val="0"/>
                <w:position w:val="0"/>
                <w:sz w:val="18"/>
                <w:shd w:val="clear" w:fill="auto"/>
              </w:rPr>
              <w:t>www.creditchina.gov.cn</w:t>
            </w:r>
            <w:r>
              <w:rPr>
                <w:rFonts w:ascii="宋体" w:hAnsi="宋体" w:eastAsia="宋体" w:cs="宋体"/>
                <w:color w:val="auto"/>
                <w:spacing w:val="0"/>
                <w:position w:val="0"/>
                <w:sz w:val="18"/>
                <w:shd w:val="clear" w:fill="auto"/>
              </w:rPr>
              <w:t>）或中国政府采购网（</w:t>
            </w:r>
            <w:r>
              <w:rPr>
                <w:rFonts w:ascii="Calibri" w:hAnsi="Calibri" w:eastAsia="Calibri" w:cs="Calibri"/>
                <w:color w:val="auto"/>
                <w:spacing w:val="0"/>
                <w:position w:val="0"/>
                <w:sz w:val="18"/>
                <w:shd w:val="clear" w:fill="auto"/>
              </w:rPr>
              <w:t>www.ccgp.gov.cn</w:t>
            </w:r>
            <w:r>
              <w:rPr>
                <w:rFonts w:ascii="宋体" w:hAnsi="宋体" w:eastAsia="宋体" w:cs="宋体"/>
                <w:color w:val="auto"/>
                <w:spacing w:val="0"/>
                <w:position w:val="0"/>
                <w:sz w:val="18"/>
                <w:shd w:val="clear" w:fill="auto"/>
              </w:rPr>
              <w:t>）的信用记录查询结果为准）。</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w:t>
            </w:r>
            <w:r>
              <w:rPr>
                <w:rFonts w:hint="eastAsia" w:ascii="宋体" w:hAnsi="宋体" w:eastAsia="宋体" w:cs="宋体"/>
                <w:color w:val="auto"/>
                <w:spacing w:val="0"/>
                <w:position w:val="0"/>
                <w:sz w:val="18"/>
                <w:shd w:val="clear" w:fill="auto"/>
                <w:lang w:val="en-US" w:eastAsia="zh-CN"/>
              </w:rPr>
              <w:t>五</w:t>
            </w:r>
            <w:r>
              <w:rPr>
                <w:rFonts w:ascii="宋体" w:hAnsi="宋体" w:eastAsia="宋体" w:cs="宋体"/>
                <w:color w:val="auto"/>
                <w:spacing w:val="0"/>
                <w:position w:val="0"/>
                <w:sz w:val="18"/>
                <w:shd w:val="clear" w:fill="auto"/>
              </w:rPr>
              <w:t>）为提高售后的时效，中标方在采购方附近须有中标品牌厂家授权维修服务点或有中标品牌厂家授权稳定合作协议的售后维修服务点。中标人必须提供运维服务人员名单、联系电话，供货时在所供应设备上粘贴保修信息标签。</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w:t>
            </w:r>
            <w:r>
              <w:rPr>
                <w:rFonts w:hint="eastAsia" w:ascii="宋体" w:hAnsi="宋体" w:eastAsia="宋体" w:cs="宋体"/>
                <w:color w:val="auto"/>
                <w:spacing w:val="0"/>
                <w:position w:val="0"/>
                <w:sz w:val="18"/>
                <w:shd w:val="clear" w:fill="auto"/>
                <w:lang w:val="en-US" w:eastAsia="zh-CN"/>
              </w:rPr>
              <w:t>六</w:t>
            </w:r>
            <w:r>
              <w:rPr>
                <w:rFonts w:ascii="宋体" w:hAnsi="宋体" w:eastAsia="宋体" w:cs="宋体"/>
                <w:color w:val="auto"/>
                <w:spacing w:val="0"/>
                <w:position w:val="0"/>
                <w:sz w:val="18"/>
                <w:shd w:val="clear" w:fill="auto"/>
              </w:rPr>
              <w:t>）为确保我方权益，我方要求签订合同前审查相关资质，必须能够满足产品参数要求，为确保正品，签订合同前必须提交所投产品生产厂商针对本项目的原厂授权书、原厂供货承诺书、原厂售后服务承诺书原件，未能提供相关证明材料，我单位将按“供应商虚假响应”向上报相关主管部门处理，所造成的损失由成交供应商自行承担。</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w:t>
            </w:r>
            <w:r>
              <w:rPr>
                <w:rFonts w:hint="eastAsia" w:ascii="宋体" w:hAnsi="宋体" w:eastAsia="宋体" w:cs="宋体"/>
                <w:color w:val="auto"/>
                <w:spacing w:val="0"/>
                <w:position w:val="0"/>
                <w:sz w:val="18"/>
                <w:shd w:val="clear" w:fill="auto"/>
                <w:lang w:val="en-US" w:eastAsia="zh-CN"/>
              </w:rPr>
              <w:t>七</w:t>
            </w:r>
            <w:r>
              <w:rPr>
                <w:rFonts w:ascii="宋体" w:hAnsi="宋体" w:eastAsia="宋体" w:cs="宋体"/>
                <w:color w:val="auto"/>
                <w:spacing w:val="0"/>
                <w:position w:val="0"/>
                <w:sz w:val="18"/>
                <w:shd w:val="clear" w:fill="auto"/>
              </w:rPr>
              <w:t>）本项目为反向竞价，所有设备的品牌、型号、规格、技术参数已确定，不得做任何变更，否则视为不响应本采购要求；参数如有任意一项负偏离的，视为实质不响应文件要求，其竞标无效（设备详细配置需求详见询价商品清单）。</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★二、质量要求</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★（一）产品供货验收通过后，产品质保期</w:t>
            </w:r>
            <w:r>
              <w:rPr>
                <w:rFonts w:ascii="Calibri" w:hAnsi="Calibri" w:eastAsia="Calibri" w:cs="Calibri"/>
                <w:color w:val="auto"/>
                <w:spacing w:val="0"/>
                <w:position w:val="0"/>
                <w:sz w:val="18"/>
                <w:shd w:val="clear" w:fill="auto"/>
              </w:rPr>
              <w:t>6</w:t>
            </w:r>
            <w:r>
              <w:rPr>
                <w:rFonts w:ascii="宋体" w:hAnsi="宋体" w:eastAsia="宋体" w:cs="宋体"/>
                <w:color w:val="auto"/>
                <w:spacing w:val="0"/>
                <w:position w:val="0"/>
                <w:sz w:val="18"/>
                <w:shd w:val="clear" w:fill="auto"/>
              </w:rPr>
              <w:t>年（含质保期），质保期内一旦发生质量问题，中标人保证在接到通知半小响应，</w:t>
            </w:r>
            <w:r>
              <w:rPr>
                <w:rFonts w:ascii="Calibri" w:hAnsi="Calibri" w:eastAsia="Calibri" w:cs="Calibri"/>
                <w:color w:val="auto"/>
                <w:spacing w:val="0"/>
                <w:position w:val="0"/>
                <w:sz w:val="18"/>
                <w:shd w:val="clear" w:fill="auto"/>
              </w:rPr>
              <w:t>24</w:t>
            </w:r>
            <w:r>
              <w:rPr>
                <w:rFonts w:ascii="宋体" w:hAnsi="宋体" w:eastAsia="宋体" w:cs="宋体"/>
                <w:color w:val="auto"/>
                <w:spacing w:val="0"/>
                <w:position w:val="0"/>
                <w:sz w:val="18"/>
                <w:shd w:val="clear" w:fill="auto"/>
              </w:rPr>
              <w:t>小时内进行免费修理或更换。</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★（二）空调质量维修需要更换的零配件必须是故障设备的原厂零配件，每次更换配件应同时填写有关保修卡交采购单位保管，如部分零配件没有保修卡，应出具供应商的维护期保证书加盖公章，所有的零配件</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含制冷剂</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保修期不少于配件生产厂家承诺的保修期限，以方便日后维护。</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三、付款方式</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Calibri" w:hAnsi="Calibri" w:eastAsia="Calibri" w:cs="Calibri"/>
                <w:color w:val="auto"/>
                <w:spacing w:val="0"/>
                <w:position w:val="0"/>
                <w:sz w:val="18"/>
                <w:shd w:val="clear" w:fill="auto"/>
              </w:rPr>
              <w:t xml:space="preserve">  </w:t>
            </w:r>
            <w:r>
              <w:rPr>
                <w:rFonts w:ascii="宋体" w:hAnsi="宋体" w:eastAsia="宋体" w:cs="宋体"/>
                <w:color w:val="auto"/>
                <w:spacing w:val="0"/>
                <w:position w:val="0"/>
                <w:sz w:val="18"/>
                <w:shd w:val="clear" w:fill="auto"/>
              </w:rPr>
              <w:t>无预付款</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全部货物验收且无质量问题后</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待安装结束调试无任何安装、质量问题，一次性付清合同总金额。</w:t>
            </w:r>
            <w:r>
              <w:rPr>
                <w:rFonts w:ascii="Calibri" w:hAnsi="Calibri" w:eastAsia="Calibri" w:cs="Calibri"/>
                <w:color w:val="auto"/>
                <w:spacing w:val="0"/>
                <w:position w:val="0"/>
                <w:sz w:val="18"/>
                <w:shd w:val="clear" w:fill="auto"/>
              </w:rPr>
              <w:t xml:space="preserve">    </w:t>
            </w:r>
            <w:r>
              <w:rPr>
                <w:rFonts w:hint="eastAsia" w:ascii="Calibri" w:hAnsi="Calibri" w:eastAsia="宋体" w:cs="Calibri"/>
                <w:color w:val="auto"/>
                <w:spacing w:val="0"/>
                <w:position w:val="0"/>
                <w:sz w:val="18"/>
                <w:shd w:val="clear" w:fill="auto"/>
                <w:lang w:val="en-US" w:eastAsia="zh-CN"/>
              </w:rPr>
              <w:t xml:space="preserve">                                                                            </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b w:val="0"/>
                <w:bCs w:val="0"/>
                <w:sz w:val="18"/>
                <w:szCs w:val="18"/>
              </w:rPr>
              <w:t>四、</w:t>
            </w:r>
            <w:r>
              <w:rPr>
                <w:rFonts w:hint="eastAsia" w:asciiTheme="minorEastAsia" w:hAnsiTheme="minorEastAsia" w:eastAsiaTheme="minorEastAsia" w:cstheme="minorEastAsia"/>
                <w:b w:val="0"/>
                <w:bCs w:val="0"/>
                <w:kern w:val="0"/>
                <w:sz w:val="18"/>
                <w:szCs w:val="18"/>
              </w:rPr>
              <w:t>竞标报价包含产品运输、安装、搬运、标识制作（含设计、安装）、人工、调试、检测、验收费用及其它一切相关费用；投标人应根据配送地点自行考虑运输等费用，中标后不得以任何理由向采购人增加运输、搬运、人工、售后等费用。</w:t>
            </w:r>
            <w:r>
              <w:rPr>
                <w:rFonts w:ascii="Calibri" w:hAnsi="Calibri" w:eastAsia="Calibri" w:cs="Calibri"/>
                <w:b w:val="0"/>
                <w:bCs w:val="0"/>
                <w:color w:val="auto"/>
                <w:spacing w:val="0"/>
                <w:position w:val="0"/>
                <w:sz w:val="18"/>
                <w:shd w:val="clear" w:fill="auto"/>
              </w:rPr>
              <w:t xml:space="preserve">           </w:t>
            </w:r>
            <w:r>
              <w:rPr>
                <w:rFonts w:ascii="Calibri" w:hAnsi="Calibri" w:eastAsia="Calibri" w:cs="Calibri"/>
                <w:color w:val="auto"/>
                <w:spacing w:val="0"/>
                <w:position w:val="0"/>
                <w:sz w:val="18"/>
                <w:shd w:val="clear" w:fill="auto"/>
              </w:rPr>
              <w:t xml:space="preserve">               </w:t>
            </w:r>
          </w:p>
          <w:p>
            <w:pPr>
              <w:tabs>
                <w:tab w:val="left" w:pos="2475"/>
              </w:tabs>
              <w:spacing w:before="0" w:after="0" w:line="240" w:lineRule="auto"/>
              <w:ind w:left="0" w:right="0" w:firstLine="0"/>
              <w:jc w:val="left"/>
              <w:rPr>
                <w:rFonts w:ascii="Calibri" w:hAnsi="Calibri" w:eastAsia="Calibri" w:cs="Calibri"/>
                <w:color w:val="auto"/>
                <w:spacing w:val="0"/>
                <w:position w:val="0"/>
                <w:sz w:val="18"/>
                <w:shd w:val="clear" w:fill="auto"/>
              </w:rPr>
            </w:pPr>
            <w:r>
              <w:rPr>
                <w:rFonts w:ascii="宋体" w:hAnsi="宋体" w:eastAsia="宋体" w:cs="宋体"/>
                <w:color w:val="auto"/>
                <w:spacing w:val="0"/>
                <w:position w:val="0"/>
                <w:sz w:val="18"/>
                <w:shd w:val="clear" w:fill="auto"/>
              </w:rPr>
              <w:t>★</w:t>
            </w:r>
            <w:r>
              <w:rPr>
                <w:rFonts w:hint="eastAsia" w:ascii="宋体" w:hAnsi="宋体" w:eastAsia="宋体" w:cs="宋体"/>
                <w:color w:val="auto"/>
                <w:spacing w:val="0"/>
                <w:position w:val="0"/>
                <w:sz w:val="18"/>
                <w:shd w:val="clear" w:fill="auto"/>
                <w:lang w:val="en-US" w:eastAsia="zh-CN"/>
              </w:rPr>
              <w:t>五</w:t>
            </w:r>
            <w:r>
              <w:rPr>
                <w:rFonts w:ascii="宋体" w:hAnsi="宋体" w:eastAsia="宋体" w:cs="宋体"/>
                <w:color w:val="auto"/>
                <w:spacing w:val="0"/>
                <w:position w:val="0"/>
                <w:sz w:val="18"/>
                <w:shd w:val="clear" w:fill="auto"/>
              </w:rPr>
              <w:t>、供应商要求：标注“★”部份必须满足。</w:t>
            </w:r>
          </w:p>
          <w:p>
            <w:pPr>
              <w:rPr>
                <w:vertAlign w:val="baseline"/>
              </w:rPr>
            </w:pPr>
            <w:r>
              <w:rPr>
                <w:rFonts w:ascii="Calibri" w:hAnsi="Calibri" w:eastAsia="Calibri" w:cs="Calibri"/>
                <w:color w:val="auto"/>
                <w:spacing w:val="0"/>
                <w:position w:val="0"/>
                <w:sz w:val="18"/>
                <w:shd w:val="clear" w:fill="auto"/>
              </w:rPr>
              <w:t xml:space="preserve">     </w:t>
            </w:r>
            <w:r>
              <w:rPr>
                <w:rFonts w:ascii="宋体" w:hAnsi="宋体" w:eastAsia="宋体" w:cs="宋体"/>
                <w:color w:val="auto"/>
                <w:spacing w:val="0"/>
                <w:position w:val="0"/>
                <w:sz w:val="18"/>
                <w:shd w:val="clear" w:fill="auto"/>
              </w:rPr>
              <w:t>请供应商在报价前仔细评估自身履约能力，谢绝恶意低价</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不按要求报价</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中标后无故放弃</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不按合同履行等违约行为。对出现此类行为的预中标供应商，将根据在线竞价违约处理规则，依法依规提请政采云平台进行处罚，处罚内容包括停止推送报价信息</w:t>
            </w:r>
            <w:r>
              <w:rPr>
                <w:rFonts w:ascii="Calibri" w:hAnsi="Calibri" w:eastAsia="Calibri" w:cs="Calibri"/>
                <w:color w:val="auto"/>
                <w:spacing w:val="0"/>
                <w:position w:val="0"/>
                <w:sz w:val="18"/>
                <w:shd w:val="clear" w:fill="auto"/>
              </w:rPr>
              <w:t>.</w:t>
            </w:r>
            <w:r>
              <w:rPr>
                <w:rFonts w:ascii="宋体" w:hAnsi="宋体" w:eastAsia="宋体" w:cs="宋体"/>
                <w:color w:val="auto"/>
                <w:spacing w:val="0"/>
                <w:position w:val="0"/>
                <w:sz w:val="18"/>
                <w:shd w:val="clear" w:fill="auto"/>
              </w:rPr>
              <w:t>禁止报价等，并记入政府采购诚信档案。采购单位有权将询价单中的商务要求列入合同条款，否则有权拒签合同。</w:t>
            </w:r>
            <w:r>
              <w:rPr>
                <w:rFonts w:ascii="Calibri" w:hAnsi="Calibri" w:eastAsia="Calibri" w:cs="Calibri"/>
                <w:color w:val="auto"/>
                <w:spacing w:val="0"/>
                <w:position w:val="0"/>
                <w:sz w:val="18"/>
                <w:shd w:val="clear" w:fill="auto"/>
              </w:rPr>
              <w:t xml:space="preserve">  </w:t>
            </w:r>
          </w:p>
        </w:tc>
      </w:tr>
    </w:tbl>
    <w:p>
      <w:pPr>
        <w:sectPr>
          <w:pgSz w:w="11906" w:h="16838"/>
          <w:pgMar w:top="1440" w:right="1800" w:bottom="1440" w:left="1800" w:header="851" w:footer="992" w:gutter="0"/>
          <w:cols w:space="425" w:num="1"/>
          <w:docGrid w:type="lines" w:linePitch="312" w:charSpace="0"/>
        </w:sectPr>
      </w:pPr>
    </w:p>
    <w:p>
      <w:pPr>
        <w:pStyle w:val="9"/>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pPr>
        <w:spacing w:line="300" w:lineRule="auto"/>
        <w:jc w:val="center"/>
        <w:rPr>
          <w:rStyle w:val="10"/>
          <w:rFonts w:hint="eastAsia" w:ascii="仿宋_GB2312" w:hAnsi="宋体" w:eastAsia="仿宋_GB2312"/>
          <w:b/>
          <w:bCs/>
          <w:sz w:val="32"/>
          <w:szCs w:val="32"/>
          <w:highlight w:val="none"/>
        </w:rPr>
      </w:pPr>
      <w:r>
        <w:rPr>
          <w:rStyle w:val="10"/>
          <w:rFonts w:hint="eastAsia" w:ascii="仿宋_GB2312" w:hAnsi="宋体" w:eastAsia="仿宋_GB2312"/>
          <w:b/>
          <w:bCs/>
          <w:sz w:val="32"/>
          <w:szCs w:val="32"/>
          <w:highlight w:val="none"/>
        </w:rPr>
        <w:t>商务、技术响应、偏离情况说明表</w:t>
      </w:r>
    </w:p>
    <w:p>
      <w:pPr>
        <w:spacing w:line="300" w:lineRule="auto"/>
        <w:rPr>
          <w:rStyle w:val="10"/>
          <w:rFonts w:hint="eastAsia" w:ascii="宋体" w:hAnsi="宋体"/>
          <w:highlight w:val="none"/>
        </w:rPr>
      </w:pPr>
      <w:r>
        <w:rPr>
          <w:rStyle w:val="10"/>
          <w:rFonts w:hint="eastAsia" w:ascii="宋体" w:hAnsi="宋体" w:eastAsia="宋体"/>
          <w:highlight w:val="none"/>
        </w:rPr>
        <w:t xml:space="preserve"> </w:t>
      </w:r>
    </w:p>
    <w:p>
      <w:pPr>
        <w:spacing w:line="500" w:lineRule="exact"/>
        <w:rPr>
          <w:rStyle w:val="10"/>
          <w:rFonts w:hint="eastAsia" w:ascii="宋体" w:hAnsi="宋体"/>
          <w:highlight w:val="none"/>
          <w:u w:val="single"/>
        </w:rPr>
      </w:pPr>
      <w:r>
        <w:rPr>
          <w:rStyle w:val="10"/>
          <w:rFonts w:hint="eastAsia" w:ascii="宋体" w:hAnsi="宋体" w:eastAsia="宋体"/>
          <w:highlight w:val="none"/>
        </w:rPr>
        <w:t>项目名称:</w:t>
      </w:r>
      <w:r>
        <w:rPr>
          <w:rStyle w:val="10"/>
          <w:rFonts w:hint="eastAsia" w:ascii="宋体" w:hAnsi="宋体" w:eastAsia="宋体"/>
          <w:highlight w:val="none"/>
          <w:u w:val="single"/>
        </w:rPr>
        <w:t xml:space="preserve">                    </w:t>
      </w:r>
    </w:p>
    <w:p>
      <w:pPr>
        <w:spacing w:line="500" w:lineRule="exact"/>
        <w:rPr>
          <w:rStyle w:val="10"/>
          <w:rFonts w:hint="eastAsia" w:ascii="宋体" w:hAnsi="宋体"/>
          <w:highlight w:val="none"/>
        </w:rPr>
      </w:pPr>
      <w:r>
        <w:rPr>
          <w:rStyle w:val="10"/>
          <w:rFonts w:hint="eastAsia" w:ascii="宋体" w:hAnsi="宋体" w:eastAsia="宋体"/>
          <w:highlight w:val="none"/>
        </w:rPr>
        <w:t xml:space="preserve">项目编号: </w:t>
      </w:r>
      <w:r>
        <w:rPr>
          <w:rStyle w:val="10"/>
          <w:rFonts w:hint="eastAsia" w:ascii="宋体" w:hAnsi="宋体" w:eastAsia="宋体"/>
          <w:highlight w:val="none"/>
          <w:u w:val="single"/>
        </w:rPr>
        <w:t xml:space="preserve">                   </w:t>
      </w:r>
      <w:r>
        <w:rPr>
          <w:rStyle w:val="10"/>
          <w:rFonts w:hint="eastAsia" w:ascii="宋体" w:hAnsi="宋体" w:eastAsia="宋体"/>
          <w:highlight w:val="none"/>
        </w:rPr>
        <w:t xml:space="preserve">   </w:t>
      </w:r>
    </w:p>
    <w:p>
      <w:pPr>
        <w:pStyle w:val="5"/>
        <w:rPr>
          <w:rFonts w:hint="eastAsia"/>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62"/>
        <w:gridCol w:w="2606"/>
        <w:gridCol w:w="2732"/>
        <w:gridCol w:w="1358"/>
        <w:gridCol w:w="12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bookmarkStart w:id="0" w:name="_Toc173066401"/>
            <w:r>
              <w:rPr>
                <w:rFonts w:hint="eastAsia" w:ascii="宋体" w:hAnsi="宋体"/>
                <w:highlight w:val="none"/>
              </w:rPr>
              <w:t>序号</w:t>
            </w:r>
            <w:bookmarkEnd w:id="0"/>
          </w:p>
        </w:tc>
        <w:tc>
          <w:tcPr>
            <w:tcW w:w="1529"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bookmarkStart w:id="1" w:name="_Toc173066402"/>
            <w:r>
              <w:rPr>
                <w:rFonts w:hint="eastAsia" w:ascii="宋体" w:hAnsi="宋体"/>
                <w:highlight w:val="none"/>
                <w:lang w:val="en-US" w:eastAsia="zh-CN"/>
              </w:rPr>
              <w:t>采购</w:t>
            </w:r>
            <w:r>
              <w:rPr>
                <w:rFonts w:hint="eastAsia" w:ascii="宋体" w:hAnsi="宋体"/>
                <w:highlight w:val="none"/>
              </w:rPr>
              <w:t>文件要求</w:t>
            </w:r>
            <w:bookmarkEnd w:id="1"/>
          </w:p>
        </w:tc>
        <w:tc>
          <w:tcPr>
            <w:tcW w:w="1603"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bookmarkStart w:id="2" w:name="_Toc173066403"/>
            <w:r>
              <w:rPr>
                <w:rFonts w:hint="eastAsia" w:ascii="宋体" w:hAnsi="宋体"/>
                <w:highlight w:val="none"/>
              </w:rPr>
              <w:t>响应文件具体响应</w:t>
            </w:r>
            <w:bookmarkEnd w:id="2"/>
          </w:p>
        </w:tc>
        <w:tc>
          <w:tcPr>
            <w:tcW w:w="797"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bookmarkStart w:id="3" w:name="_Toc173066404"/>
            <w:r>
              <w:rPr>
                <w:rFonts w:hint="eastAsia" w:ascii="宋体" w:hAnsi="宋体"/>
                <w:highlight w:val="none"/>
              </w:rPr>
              <w:t>响应/偏离</w:t>
            </w:r>
            <w:bookmarkEnd w:id="3"/>
          </w:p>
        </w:tc>
        <w:tc>
          <w:tcPr>
            <w:tcW w:w="741" w:type="pct"/>
            <w:tcBorders>
              <w:top w:val="single" w:color="auto" w:sz="4"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bookmarkStart w:id="4" w:name="_Toc173066405"/>
            <w:r>
              <w:rPr>
                <w:rFonts w:hint="eastAsia" w:ascii="宋体" w:hAnsi="宋体"/>
                <w:highlight w:val="none"/>
              </w:rPr>
              <w:t>说明</w:t>
            </w:r>
            <w:bookmarkEnd w:id="4"/>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5000" w:type="pct"/>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r>
              <w:rPr>
                <w:rFonts w:hint="eastAsia" w:ascii="宋体" w:hAnsi="宋体"/>
                <w:highlight w:val="none"/>
              </w:rPr>
              <w:t>商务部分</w:t>
            </w:r>
            <w:r>
              <w:rPr>
                <w:rFonts w:hint="eastAsia"/>
                <w:highlight w:val="none"/>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bookmarkStart w:id="5" w:name="_Toc173066406"/>
            <w:r>
              <w:rPr>
                <w:rFonts w:hint="eastAsia" w:ascii="宋体" w:hAnsi="宋体"/>
                <w:highlight w:val="none"/>
              </w:rPr>
              <w:t>1</w:t>
            </w:r>
            <w:bookmarkEnd w:id="5"/>
          </w:p>
        </w:tc>
        <w:tc>
          <w:tcPr>
            <w:tcW w:w="152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bookmarkStart w:id="6" w:name="_Toc173066407"/>
            <w:r>
              <w:rPr>
                <w:rFonts w:hint="eastAsia" w:ascii="宋体" w:hAnsi="宋体"/>
                <w:highlight w:val="none"/>
              </w:rPr>
              <w:t>2</w:t>
            </w:r>
            <w:bookmarkEnd w:id="6"/>
          </w:p>
        </w:tc>
        <w:tc>
          <w:tcPr>
            <w:tcW w:w="152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firstLine="420" w:firstLineChars="200"/>
              <w:jc w:val="center"/>
              <w:textAlignment w:val="baseline"/>
              <w:outlineLvl w:val="0"/>
              <w:rPr>
                <w:rFonts w:ascii="宋体" w:hAnsi="宋体"/>
                <w:highlight w:val="none"/>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bookmarkStart w:id="7" w:name="_Toc173066408"/>
            <w:r>
              <w:rPr>
                <w:rFonts w:hint="eastAsia" w:ascii="宋体" w:hAnsi="宋体"/>
                <w:highlight w:val="none"/>
              </w:rPr>
              <w:t>3</w:t>
            </w:r>
            <w:bookmarkEnd w:id="7"/>
          </w:p>
        </w:tc>
        <w:tc>
          <w:tcPr>
            <w:tcW w:w="152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r>
              <w:rPr>
                <w:rFonts w:hint="eastAsia" w:ascii="宋体" w:hAnsi="宋体"/>
                <w:highlight w:val="none"/>
              </w:rPr>
              <w:t>…</w:t>
            </w:r>
          </w:p>
        </w:tc>
        <w:tc>
          <w:tcPr>
            <w:tcW w:w="152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highlight w:val="none"/>
              </w:rPr>
            </w:pPr>
            <w:r>
              <w:rPr>
                <w:rFonts w:hint="eastAsia" w:ascii="宋体" w:hAnsi="宋体"/>
                <w:highlight w:val="none"/>
              </w:rPr>
              <w:t>…</w:t>
            </w:r>
          </w:p>
        </w:tc>
        <w:tc>
          <w:tcPr>
            <w:tcW w:w="1529" w:type="pct"/>
            <w:tcBorders>
              <w:top w:val="single" w:color="auto" w:sz="6" w:space="0"/>
              <w:left w:val="single" w:color="auto" w:sz="6"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highlight w:val="none"/>
              </w:rPr>
            </w:pPr>
            <w:r>
              <w:rPr>
                <w:rFonts w:hint="eastAsia" w:ascii="宋体" w:hAnsi="宋体"/>
                <w:highlight w:val="none"/>
              </w:rPr>
              <w:t>…</w:t>
            </w: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5000" w:type="pct"/>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r>
              <w:rPr>
                <w:rFonts w:hint="eastAsia" w:ascii="宋体" w:hAnsi="宋体"/>
                <w:highlight w:val="none"/>
              </w:rPr>
              <w:t>技术部分</w:t>
            </w:r>
            <w:r>
              <w:rPr>
                <w:rFonts w:hint="eastAsia"/>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r>
              <w:rPr>
                <w:rFonts w:hint="eastAsia" w:ascii="宋体" w:hAnsi="宋体"/>
                <w:highlight w:val="none"/>
              </w:rPr>
              <w:t>1</w:t>
            </w:r>
          </w:p>
        </w:tc>
        <w:tc>
          <w:tcPr>
            <w:tcW w:w="152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highlight w:val="none"/>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r>
              <w:rPr>
                <w:rFonts w:hint="eastAsia" w:ascii="宋体" w:hAnsi="宋体"/>
              </w:rPr>
              <w:t>2</w:t>
            </w:r>
          </w:p>
        </w:tc>
        <w:tc>
          <w:tcPr>
            <w:tcW w:w="152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30"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r>
              <w:rPr>
                <w:rFonts w:hint="eastAsia" w:ascii="宋体" w:hAnsi="宋体"/>
              </w:rPr>
              <w:t>3</w:t>
            </w:r>
          </w:p>
        </w:tc>
        <w:tc>
          <w:tcPr>
            <w:tcW w:w="152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30" w:type="pct"/>
            <w:tcBorders>
              <w:top w:val="single" w:color="auto" w:sz="6" w:space="0"/>
              <w:left w:val="single" w:color="auto" w:sz="4"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rPr>
            </w:pPr>
            <w:r>
              <w:rPr>
                <w:rFonts w:hint="eastAsia" w:ascii="宋体" w:hAnsi="宋体"/>
              </w:rPr>
              <w:t>…</w:t>
            </w:r>
          </w:p>
        </w:tc>
        <w:tc>
          <w:tcPr>
            <w:tcW w:w="1529" w:type="pct"/>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1603" w:type="pct"/>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rPr>
            </w:pPr>
          </w:p>
        </w:tc>
        <w:tc>
          <w:tcPr>
            <w:tcW w:w="797" w:type="pct"/>
            <w:tcBorders>
              <w:top w:val="single" w:color="auto" w:sz="6" w:space="0"/>
              <w:left w:val="single" w:color="auto" w:sz="6" w:space="0"/>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rPr>
            </w:pPr>
          </w:p>
        </w:tc>
        <w:tc>
          <w:tcPr>
            <w:tcW w:w="741" w:type="pct"/>
            <w:tcBorders>
              <w:top w:val="single" w:color="auto" w:sz="6" w:space="0"/>
              <w:left w:val="nil"/>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rPr>
            </w:pPr>
          </w:p>
        </w:tc>
      </w:tr>
    </w:tbl>
    <w:p>
      <w:pPr>
        <w:spacing w:line="360" w:lineRule="exact"/>
        <w:rPr>
          <w:rFonts w:hint="eastAsia" w:ascii="宋体" w:hAnsi="宋体"/>
          <w:color w:val="auto"/>
          <w:szCs w:val="21"/>
          <w:highlight w:val="none"/>
        </w:rPr>
      </w:pPr>
    </w:p>
    <w:p>
      <w:pPr>
        <w:spacing w:line="360" w:lineRule="exact"/>
        <w:rPr>
          <w:rFonts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highlight w:val="none"/>
        </w:rPr>
        <w:t>1、应写明</w:t>
      </w:r>
      <w:r>
        <w:rPr>
          <w:rFonts w:hint="eastAsia" w:ascii="宋体" w:hAnsi="宋体"/>
          <w:color w:val="auto"/>
          <w:szCs w:val="21"/>
          <w:highlight w:val="none"/>
        </w:rPr>
        <w:t>响应文件对</w:t>
      </w:r>
      <w:r>
        <w:rPr>
          <w:rFonts w:hint="eastAsia"/>
          <w:color w:val="auto"/>
          <w:highlight w:val="none"/>
        </w:rPr>
        <w:t>商务</w:t>
      </w:r>
      <w:r>
        <w:rPr>
          <w:rFonts w:hint="eastAsia" w:ascii="宋体" w:hAnsi="宋体"/>
          <w:color w:val="auto"/>
          <w:highlight w:val="none"/>
        </w:rPr>
        <w:t>与技术要求的</w:t>
      </w:r>
      <w:r>
        <w:rPr>
          <w:rFonts w:hint="eastAsia" w:ascii="宋体" w:hAnsi="宋体"/>
          <w:color w:val="auto"/>
          <w:szCs w:val="21"/>
          <w:highlight w:val="none"/>
        </w:rPr>
        <w:t>响应和偏离情况</w:t>
      </w:r>
      <w:r>
        <w:rPr>
          <w:rFonts w:hint="eastAsia"/>
          <w:bCs/>
          <w:color w:val="auto"/>
          <w:szCs w:val="21"/>
          <w:highlight w:val="none"/>
        </w:rPr>
        <w:t>；</w:t>
      </w:r>
    </w:p>
    <w:p>
      <w:pPr>
        <w:pStyle w:val="11"/>
        <w:numPr>
          <w:ilvl w:val="0"/>
          <w:numId w:val="1"/>
        </w:numPr>
        <w:spacing w:line="360" w:lineRule="exact"/>
        <w:rPr>
          <w:rStyle w:val="10"/>
          <w:rFonts w:hint="eastAsia" w:hAnsi="宋体"/>
          <w:lang w:eastAsia="zh-CN"/>
        </w:rPr>
      </w:pPr>
      <w:r>
        <w:rPr>
          <w:rFonts w:hint="eastAsia" w:ascii="宋体" w:hAnsi="宋体" w:eastAsia="宋体"/>
          <w:color w:val="auto"/>
          <w:sz w:val="21"/>
          <w:szCs w:val="21"/>
          <w:highlight w:val="none"/>
        </w:rPr>
        <w:t>应对照</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文件“技术规格、参数及要求”，逐条说明所提供货物和服务已对</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w:t>
      </w:r>
      <w:r>
        <w:rPr>
          <w:rFonts w:hint="eastAsia" w:ascii="宋体" w:hAnsi="宋体" w:eastAsia="宋体"/>
          <w:b w:val="0"/>
          <w:bCs w:val="0"/>
          <w:color w:val="auto"/>
          <w:sz w:val="21"/>
          <w:szCs w:val="21"/>
          <w:highlight w:val="none"/>
        </w:rPr>
        <w:t>，供应商必须提供对应的详细应答。如</w:t>
      </w:r>
      <w:r>
        <w:rPr>
          <w:rFonts w:hint="eastAsia" w:ascii="宋体" w:hAnsi="宋体" w:eastAsia="宋体"/>
          <w:color w:val="auto"/>
          <w:sz w:val="21"/>
          <w:szCs w:val="21"/>
          <w:highlight w:val="none"/>
        </w:rPr>
        <w:t>果仅注明“符合”、“满足”或简单复制</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文件要求，将</w:t>
      </w:r>
      <w:r>
        <w:rPr>
          <w:rFonts w:hint="eastAsia" w:ascii="宋体" w:hAnsi="宋体" w:eastAsia="宋体"/>
          <w:color w:val="auto"/>
          <w:sz w:val="21"/>
          <w:szCs w:val="21"/>
          <w:highlight w:val="none"/>
          <w:lang w:eastAsia="zh-CN"/>
        </w:rPr>
        <w:t>有可能</w:t>
      </w:r>
      <w:r>
        <w:rPr>
          <w:rFonts w:hint="eastAsia" w:ascii="宋体" w:hAnsi="宋体" w:eastAsia="宋体"/>
          <w:color w:val="auto"/>
          <w:sz w:val="21"/>
          <w:szCs w:val="21"/>
          <w:highlight w:val="none"/>
        </w:rPr>
        <w:t>导致</w:t>
      </w:r>
      <w:r>
        <w:rPr>
          <w:rFonts w:hint="eastAsia" w:ascii="宋体" w:hAnsi="宋体" w:eastAsia="宋体"/>
          <w:color w:val="auto"/>
          <w:sz w:val="21"/>
          <w:szCs w:val="21"/>
          <w:highlight w:val="none"/>
          <w:lang w:val="en-US" w:eastAsia="zh-CN"/>
        </w:rPr>
        <w:t>竞价</w:t>
      </w:r>
      <w:r>
        <w:rPr>
          <w:rFonts w:hint="eastAsia" w:ascii="宋体" w:hAnsi="宋体" w:eastAsia="宋体"/>
          <w:color w:val="auto"/>
          <w:sz w:val="21"/>
          <w:szCs w:val="21"/>
          <w:highlight w:val="none"/>
        </w:rPr>
        <w:t>被拒绝</w:t>
      </w:r>
      <w:r>
        <w:rPr>
          <w:rStyle w:val="10"/>
          <w:rFonts w:hAnsi="宋体"/>
        </w:rPr>
        <w:t xml:space="preserve"> </w:t>
      </w:r>
      <w:r>
        <w:rPr>
          <w:rStyle w:val="10"/>
          <w:rFonts w:hint="eastAsia" w:hAnsi="宋体"/>
          <w:lang w:eastAsia="zh-CN"/>
        </w:rPr>
        <w:t>。</w:t>
      </w:r>
    </w:p>
    <w:p>
      <w:pPr>
        <w:pStyle w:val="11"/>
        <w:numPr>
          <w:ilvl w:val="0"/>
          <w:numId w:val="0"/>
        </w:numPr>
        <w:spacing w:line="360" w:lineRule="exact"/>
        <w:rPr>
          <w:rStyle w:val="10"/>
          <w:rFonts w:hint="eastAsia" w:hAnsi="宋体"/>
          <w:lang w:eastAsia="zh-CN"/>
        </w:rPr>
      </w:pPr>
    </w:p>
    <w:p>
      <w:pPr>
        <w:pStyle w:val="11"/>
        <w:numPr>
          <w:ilvl w:val="0"/>
          <w:numId w:val="0"/>
        </w:numPr>
        <w:spacing w:line="360" w:lineRule="exact"/>
        <w:rPr>
          <w:rStyle w:val="10"/>
          <w:rFonts w:hint="eastAsia" w:hAnsi="宋体"/>
          <w:lang w:eastAsia="zh-CN"/>
        </w:rPr>
      </w:pPr>
    </w:p>
    <w:p>
      <w:pPr>
        <w:pStyle w:val="11"/>
        <w:numPr>
          <w:ilvl w:val="0"/>
          <w:numId w:val="0"/>
        </w:numPr>
        <w:spacing w:line="360" w:lineRule="exact"/>
        <w:rPr>
          <w:rStyle w:val="10"/>
          <w:rFonts w:hint="eastAsia" w:hAnsi="宋体"/>
          <w:lang w:eastAsia="zh-CN"/>
        </w:rPr>
      </w:pPr>
    </w:p>
    <w:p>
      <w:pPr>
        <w:pStyle w:val="11"/>
        <w:spacing w:line="360" w:lineRule="exact"/>
        <w:rPr>
          <w:rStyle w:val="10"/>
          <w:rFonts w:hint="eastAsia" w:hAnsi="宋体"/>
        </w:rPr>
      </w:pPr>
    </w:p>
    <w:p>
      <w:pPr>
        <w:pStyle w:val="4"/>
        <w:spacing w:line="360" w:lineRule="exact"/>
        <w:ind w:firstLine="1470"/>
        <w:rPr>
          <w:sz w:val="21"/>
          <w:szCs w:val="22"/>
        </w:rPr>
      </w:pPr>
      <w:r>
        <w:rPr>
          <w:rFonts w:hint="eastAsia"/>
          <w:sz w:val="21"/>
          <w:szCs w:val="22"/>
        </w:rPr>
        <w:t>法定代表人或委托代理人签字:</w:t>
      </w:r>
      <w:r>
        <w:rPr>
          <w:rFonts w:hint="eastAsia"/>
          <w:sz w:val="21"/>
          <w:szCs w:val="22"/>
          <w:u w:val="single"/>
        </w:rPr>
        <w:t xml:space="preserve">                          </w:t>
      </w:r>
      <w:r>
        <w:rPr>
          <w:rFonts w:hint="eastAsia"/>
          <w:sz w:val="21"/>
          <w:szCs w:val="22"/>
        </w:rPr>
        <w:t xml:space="preserve">  </w:t>
      </w:r>
    </w:p>
    <w:p>
      <w:pPr>
        <w:pStyle w:val="4"/>
        <w:spacing w:line="500" w:lineRule="exact"/>
        <w:ind w:firstLine="1470"/>
        <w:rPr>
          <w:sz w:val="21"/>
          <w:szCs w:val="22"/>
          <w:u w:val="single"/>
        </w:rPr>
      </w:pPr>
      <w:r>
        <w:rPr>
          <w:rFonts w:hint="eastAsia"/>
          <w:sz w:val="21"/>
          <w:szCs w:val="22"/>
        </w:rPr>
        <w:t>供应商名称（盖章）：</w:t>
      </w:r>
      <w:r>
        <w:rPr>
          <w:rFonts w:hint="eastAsia"/>
          <w:sz w:val="21"/>
          <w:szCs w:val="22"/>
          <w:u w:val="single"/>
        </w:rPr>
        <w:t xml:space="preserve">                              </w:t>
      </w:r>
    </w:p>
    <w:p>
      <w:pPr>
        <w:pStyle w:val="4"/>
        <w:spacing w:line="360" w:lineRule="exact"/>
        <w:ind w:firstLine="4935"/>
        <w:rPr>
          <w:sz w:val="21"/>
          <w:szCs w:val="22"/>
          <w:u w:val="single"/>
        </w:rPr>
      </w:pPr>
    </w:p>
    <w:p>
      <w:pPr>
        <w:pStyle w:val="4"/>
        <w:spacing w:line="360" w:lineRule="exact"/>
        <w:ind w:firstLine="4935"/>
      </w:pPr>
      <w:r>
        <w:rPr>
          <w:rFonts w:hint="eastAsia"/>
          <w:sz w:val="21"/>
          <w:szCs w:val="22"/>
          <w:u w:val="single"/>
        </w:rPr>
        <w:t xml:space="preserve">      </w:t>
      </w:r>
      <w:r>
        <w:rPr>
          <w:rFonts w:hint="eastAsia"/>
          <w:sz w:val="21"/>
          <w:szCs w:val="22"/>
        </w:rPr>
        <w:t>年</w:t>
      </w:r>
      <w:r>
        <w:rPr>
          <w:rFonts w:hint="eastAsia"/>
          <w:sz w:val="21"/>
          <w:szCs w:val="22"/>
          <w:u w:val="single"/>
        </w:rPr>
        <w:t xml:space="preserve">   </w:t>
      </w:r>
      <w:r>
        <w:rPr>
          <w:rFonts w:hint="eastAsia"/>
          <w:sz w:val="21"/>
          <w:szCs w:val="22"/>
        </w:rPr>
        <w:t>月</w:t>
      </w:r>
      <w:r>
        <w:rPr>
          <w:rFonts w:hint="eastAsia"/>
          <w:sz w:val="21"/>
          <w:szCs w:val="22"/>
          <w:u w:val="single"/>
        </w:rPr>
        <w:t xml:space="preserve">   </w:t>
      </w:r>
      <w:r>
        <w:rPr>
          <w:rFonts w:hint="eastAsia"/>
          <w:sz w:val="21"/>
          <w:szCs w:val="22"/>
        </w:rPr>
        <w:t>日</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1A38"/>
    <w:multiLevelType w:val="singleLevel"/>
    <w:tmpl w:val="FBFD1A3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MmI5OTQxMGJlODY1ZDkwYWFlNzZiZDcwNTUxZWQifQ=="/>
  </w:docVars>
  <w:rsids>
    <w:rsidRoot w:val="448C3B32"/>
    <w:rsid w:val="024D1657"/>
    <w:rsid w:val="08651E2B"/>
    <w:rsid w:val="0B23136B"/>
    <w:rsid w:val="0D2C40B7"/>
    <w:rsid w:val="2E6557AD"/>
    <w:rsid w:val="448C3B32"/>
    <w:rsid w:val="7BD6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lang w:val="en-US" w:eastAsia="zh-CN" w:bidi="ar-SA"/>
    </w:rPr>
  </w:style>
  <w:style w:type="paragraph" w:styleId="3">
    <w:name w:val="heading 2"/>
    <w:next w:val="1"/>
    <w:qFormat/>
    <w:uiPriority w:val="0"/>
    <w:pPr>
      <w:keepNext/>
      <w:keepLines/>
      <w:widowControl w:val="0"/>
      <w:spacing w:before="260" w:after="260" w:line="415" w:lineRule="auto"/>
      <w:jc w:val="both"/>
      <w:outlineLvl w:val="1"/>
    </w:pPr>
    <w:rPr>
      <w:rFonts w:ascii="Arial" w:hAnsi="Arial" w:eastAsia="黑体" w:cstheme="minorBidi"/>
      <w:b/>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next w:val="2"/>
    <w:qFormat/>
    <w:uiPriority w:val="0"/>
    <w:pPr>
      <w:widowControl w:val="0"/>
      <w:jc w:val="both"/>
    </w:pPr>
    <w:rPr>
      <w:rFonts w:ascii="宋体" w:hAnsi="Courier New" w:eastAsiaTheme="minorEastAsia" w:cstheme="minorBidi"/>
      <w:kern w:val="0"/>
      <w:sz w:val="20"/>
      <w:szCs w:val="21"/>
      <w:lang w:val="en-US" w:eastAsia="zh-CN" w:bidi="ar-SA"/>
    </w:rPr>
  </w:style>
  <w:style w:type="paragraph" w:styleId="5">
    <w:name w:val="toc 1"/>
    <w:next w:val="1"/>
    <w:unhideWhenUsed/>
    <w:qFormat/>
    <w:uiPriority w:val="39"/>
    <w:pPr>
      <w:widowControl w:val="0"/>
      <w:jc w:val="both"/>
    </w:pPr>
    <w:rPr>
      <w:rFonts w:asciiTheme="minorHAnsi" w:hAnsiTheme="minorHAnsi" w:eastAsiaTheme="minorEastAsia" w:cstheme="minorBidi"/>
      <w:kern w:val="2"/>
      <w:sz w:val="21"/>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1-1章"/>
    <w:qFormat/>
    <w:uiPriority w:val="0"/>
    <w:pPr>
      <w:widowControl w:val="0"/>
      <w:spacing w:line="480" w:lineRule="exact"/>
      <w:jc w:val="center"/>
      <w:outlineLvl w:val="0"/>
    </w:pPr>
    <w:rPr>
      <w:rFonts w:ascii="黑体" w:hAnsi="黑体" w:eastAsia="黑体" w:cstheme="minorBidi"/>
      <w:b/>
      <w:bCs/>
      <w:kern w:val="2"/>
      <w:sz w:val="36"/>
      <w:szCs w:val="36"/>
      <w:lang w:val="en-US" w:eastAsia="zh-CN" w:bidi="ar-SA"/>
    </w:rPr>
  </w:style>
  <w:style w:type="character" w:customStyle="1" w:styleId="10">
    <w:name w:val="15"/>
    <w:qFormat/>
    <w:uiPriority w:val="0"/>
    <w:rPr>
      <w:rFonts w:hint="default" w:ascii="Times New Roman" w:hAnsi="Times New Roman" w:cs="Times New Roman"/>
    </w:rPr>
  </w:style>
  <w:style w:type="paragraph" w:customStyle="1" w:styleId="11">
    <w:name w:val="PlainText"/>
    <w:qFormat/>
    <w:uiPriority w:val="0"/>
    <w:pPr>
      <w:widowControl/>
      <w:jc w:val="both"/>
      <w:textAlignment w:val="baseline"/>
    </w:pPr>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2196</Words>
  <Characters>2666</Characters>
  <Lines>0</Lines>
  <Paragraphs>0</Paragraphs>
  <TotalTime>0</TotalTime>
  <ScaleCrop>false</ScaleCrop>
  <LinksUpToDate>false</LinksUpToDate>
  <CharactersWithSpaces>2910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2026-05-08T09:01:00Z</dcterms:created>
  <dc:creator>Seasen</dc:creator>
  <cp:lastModifiedBy>lenovo</cp:lastModifiedBy>
  <dcterms:modified xsi:type="dcterms:W3CDTF">2026-05-29T10:04:06Z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F47D9461925E4667828B5CD14B924034</vt:lpwstr>
  </property>
  <property fmtid="{D5CDD505-2E9C-101B-9397-08002B2CF9AE}" pid="4" name="KSOTemplateDocerSaveRecord">
    <vt:lpwstr>eyJoZGlkIjoiZjJlM2Q4NTBjMmZhMDc1NjVhOGRiNmI3ODlkZmQ2NjMiLCJ1c2VySWQiOiIxMzA1NDQwMDEwIn0=</vt:lpwstr>
  </property>
</Properties>
</file>