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5"/>
        <w:gridCol w:w="736"/>
        <w:gridCol w:w="727"/>
        <w:gridCol w:w="5558"/>
        <w:gridCol w:w="645"/>
        <w:gridCol w:w="600"/>
        <w:gridCol w:w="690"/>
        <w:gridCol w:w="1095"/>
        <w:gridCol w:w="660"/>
        <w:gridCol w:w="3434"/>
        <w:gridCol w:w="531"/>
      </w:tblGrid>
      <w:tr w14:paraId="7550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038" w:type="dxa"/>
            <w:gridSpan w:val="3"/>
            <w:tcBorders>
              <w:top w:val="nil"/>
              <w:left w:val="nil"/>
              <w:bottom w:val="single" w:color="auto" w:sz="4" w:space="0"/>
              <w:right w:val="nil"/>
            </w:tcBorders>
            <w:vAlign w:val="top"/>
          </w:tcPr>
          <w:p w14:paraId="0BAA0DB8">
            <w:pPr>
              <w:widowControl/>
              <w:spacing w:line="276" w:lineRule="auto"/>
              <w:jc w:val="left"/>
              <w:rPr>
                <w:rFonts w:ascii="宋体" w:hAnsi="宋体"/>
                <w:sz w:val="18"/>
                <w:szCs w:val="18"/>
                <w:highlight w:val="none"/>
                <w:u w:val="single"/>
              </w:rPr>
            </w:pPr>
          </w:p>
        </w:tc>
        <w:tc>
          <w:tcPr>
            <w:tcW w:w="13213" w:type="dxa"/>
            <w:gridSpan w:val="8"/>
            <w:tcBorders>
              <w:top w:val="nil"/>
              <w:left w:val="nil"/>
              <w:bottom w:val="single" w:color="auto" w:sz="4" w:space="0"/>
              <w:right w:val="nil"/>
            </w:tcBorders>
            <w:noWrap/>
            <w:vAlign w:val="top"/>
          </w:tcPr>
          <w:p w14:paraId="0EB1B57F">
            <w:pPr>
              <w:widowControl/>
              <w:spacing w:line="276" w:lineRule="auto"/>
              <w:jc w:val="left"/>
              <w:rPr>
                <w:rFonts w:ascii="宋体" w:hAnsi="宋体"/>
                <w:b/>
                <w:sz w:val="28"/>
                <w:szCs w:val="28"/>
                <w:highlight w:val="none"/>
              </w:rPr>
            </w:pPr>
            <w:r>
              <w:rPr>
                <w:rFonts w:hint="eastAsia" w:ascii="宋体" w:hAnsi="宋体"/>
                <w:b/>
                <w:sz w:val="28"/>
                <w:szCs w:val="28"/>
                <w:highlight w:val="none"/>
              </w:rPr>
              <w:t xml:space="preserve">   广西中医药大学</w:t>
            </w:r>
            <w:r>
              <w:rPr>
                <w:rFonts w:hint="eastAsia" w:ascii="宋体" w:hAnsi="宋体"/>
                <w:b/>
                <w:sz w:val="28"/>
                <w:szCs w:val="28"/>
                <w:highlight w:val="none"/>
                <w:lang w:val="en-US" w:eastAsia="zh-CN"/>
              </w:rPr>
              <w:t>仙葫校区学生宿舍家具采购项目政府采购在线询价</w:t>
            </w:r>
            <w:r>
              <w:rPr>
                <w:rFonts w:hint="eastAsia" w:ascii="宋体" w:hAnsi="宋体"/>
                <w:b/>
                <w:sz w:val="28"/>
                <w:szCs w:val="28"/>
                <w:highlight w:val="none"/>
              </w:rPr>
              <w:t>采购文件</w:t>
            </w:r>
          </w:p>
          <w:p w14:paraId="7D231E24">
            <w:pPr>
              <w:widowControl/>
              <w:spacing w:line="276" w:lineRule="auto"/>
              <w:jc w:val="left"/>
              <w:rPr>
                <w:rFonts w:ascii="宋体" w:hAnsi="宋体"/>
                <w:szCs w:val="21"/>
                <w:highlight w:val="none"/>
              </w:rPr>
            </w:pPr>
            <w:r>
              <w:rPr>
                <w:rFonts w:hint="eastAsia" w:ascii="宋体" w:hAnsi="宋体"/>
                <w:szCs w:val="21"/>
                <w:highlight w:val="none"/>
              </w:rPr>
              <w:t>说明：</w:t>
            </w:r>
          </w:p>
          <w:p w14:paraId="42D47326">
            <w:pPr>
              <w:widowControl/>
              <w:spacing w:line="276" w:lineRule="auto"/>
              <w:jc w:val="left"/>
              <w:rPr>
                <w:rFonts w:ascii="宋体" w:hAnsi="宋体"/>
                <w:szCs w:val="21"/>
                <w:highlight w:val="none"/>
              </w:rPr>
            </w:pPr>
            <w:r>
              <w:rPr>
                <w:rFonts w:hint="eastAsia" w:ascii="宋体" w:hAnsi="宋体"/>
                <w:szCs w:val="21"/>
                <w:highlight w:val="none"/>
              </w:rPr>
              <w:t>1.投标人须根据技术参数及性能配置要求提供一一对应的技术响应偏离表。</w:t>
            </w:r>
          </w:p>
          <w:p w14:paraId="69131E00">
            <w:pPr>
              <w:widowControl/>
              <w:spacing w:line="276" w:lineRule="auto"/>
              <w:jc w:val="left"/>
              <w:rPr>
                <w:rFonts w:ascii="宋体" w:hAnsi="宋体"/>
                <w:sz w:val="18"/>
                <w:szCs w:val="18"/>
                <w:highlight w:val="none"/>
              </w:rPr>
            </w:pPr>
            <w:r>
              <w:rPr>
                <w:rFonts w:hint="eastAsia" w:ascii="宋体" w:hAnsi="宋体"/>
                <w:szCs w:val="21"/>
                <w:highlight w:val="none"/>
              </w:rPr>
              <w:t>2.本章中带</w:t>
            </w:r>
            <w:r>
              <w:rPr>
                <w:rFonts w:hint="eastAsia"/>
                <w:color w:val="000000" w:themeColor="text1"/>
                <w:highlight w:val="none"/>
                <w14:textFill>
                  <w14:solidFill>
                    <w14:schemeClr w14:val="tx1"/>
                  </w14:solidFill>
                </w14:textFill>
              </w:rPr>
              <w:t>▲</w:t>
            </w:r>
            <w:r>
              <w:rPr>
                <w:rFonts w:hint="eastAsia" w:ascii="宋体" w:hAnsi="宋体"/>
                <w:szCs w:val="21"/>
                <w:highlight w:val="none"/>
              </w:rPr>
              <w:t>号条款为实质性内容要求，投标时必须满足。</w:t>
            </w:r>
          </w:p>
        </w:tc>
      </w:tr>
      <w:tr w14:paraId="701D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575" w:type="dxa"/>
            <w:tcBorders>
              <w:top w:val="single" w:color="auto" w:sz="4" w:space="0"/>
            </w:tcBorders>
            <w:vAlign w:val="center"/>
          </w:tcPr>
          <w:p w14:paraId="3C3DB681">
            <w:pPr>
              <w:jc w:val="center"/>
              <w:rPr>
                <w:rFonts w:ascii="宋体" w:hAnsi="宋体"/>
                <w:sz w:val="18"/>
                <w:szCs w:val="18"/>
                <w:highlight w:val="none"/>
              </w:rPr>
            </w:pPr>
            <w:r>
              <w:rPr>
                <w:rFonts w:hint="eastAsia" w:ascii="宋体" w:hAnsi="宋体"/>
                <w:sz w:val="18"/>
                <w:szCs w:val="18"/>
                <w:highlight w:val="none"/>
              </w:rPr>
              <w:t>序号</w:t>
            </w:r>
          </w:p>
        </w:tc>
        <w:tc>
          <w:tcPr>
            <w:tcW w:w="736" w:type="dxa"/>
            <w:tcBorders>
              <w:top w:val="single" w:color="auto" w:sz="4" w:space="0"/>
            </w:tcBorders>
            <w:vAlign w:val="center"/>
          </w:tcPr>
          <w:p w14:paraId="24A3CDAE">
            <w:pPr>
              <w:jc w:val="center"/>
              <w:rPr>
                <w:rFonts w:ascii="宋体" w:hAnsi="宋体"/>
                <w:sz w:val="18"/>
                <w:szCs w:val="18"/>
                <w:highlight w:val="none"/>
              </w:rPr>
            </w:pPr>
            <w:r>
              <w:rPr>
                <w:rFonts w:hint="eastAsia" w:ascii="宋体" w:hAnsi="宋体"/>
                <w:sz w:val="18"/>
                <w:szCs w:val="18"/>
                <w:highlight w:val="none"/>
              </w:rPr>
              <w:t>采购品目</w:t>
            </w:r>
          </w:p>
        </w:tc>
        <w:tc>
          <w:tcPr>
            <w:tcW w:w="727" w:type="dxa"/>
            <w:tcBorders>
              <w:top w:val="single" w:color="auto" w:sz="4" w:space="0"/>
            </w:tcBorders>
            <w:vAlign w:val="center"/>
          </w:tcPr>
          <w:p w14:paraId="79E5157D">
            <w:pPr>
              <w:jc w:val="center"/>
              <w:rPr>
                <w:rFonts w:ascii="宋体" w:hAnsi="宋体"/>
                <w:sz w:val="18"/>
                <w:szCs w:val="18"/>
                <w:highlight w:val="none"/>
              </w:rPr>
            </w:pPr>
            <w:r>
              <w:rPr>
                <w:rFonts w:hint="eastAsia" w:ascii="宋体" w:hAnsi="宋体"/>
                <w:sz w:val="18"/>
                <w:szCs w:val="18"/>
                <w:highlight w:val="none"/>
                <w:lang w:val="en-US" w:eastAsia="zh-CN"/>
              </w:rPr>
              <w:t>参考</w:t>
            </w:r>
            <w:r>
              <w:rPr>
                <w:rFonts w:hint="eastAsia" w:ascii="宋体" w:hAnsi="宋体"/>
                <w:sz w:val="18"/>
                <w:szCs w:val="18"/>
                <w:highlight w:val="none"/>
              </w:rPr>
              <w:t>品牌</w:t>
            </w:r>
          </w:p>
        </w:tc>
        <w:tc>
          <w:tcPr>
            <w:tcW w:w="5558" w:type="dxa"/>
            <w:tcBorders>
              <w:top w:val="single" w:color="auto" w:sz="4" w:space="0"/>
            </w:tcBorders>
            <w:vAlign w:val="center"/>
          </w:tcPr>
          <w:p w14:paraId="6E984B5D">
            <w:pPr>
              <w:jc w:val="center"/>
              <w:rPr>
                <w:rFonts w:ascii="宋体" w:hAnsi="宋体"/>
                <w:sz w:val="18"/>
                <w:szCs w:val="18"/>
                <w:highlight w:val="none"/>
              </w:rPr>
            </w:pPr>
            <w:r>
              <w:rPr>
                <w:rFonts w:hint="eastAsia"/>
                <w:color w:val="000000" w:themeColor="text1"/>
                <w:highlight w:val="none"/>
                <w14:textFill>
                  <w14:solidFill>
                    <w14:schemeClr w14:val="tx1"/>
                  </w14:solidFill>
                </w14:textFill>
              </w:rPr>
              <w:t>▲</w:t>
            </w:r>
            <w:r>
              <w:rPr>
                <w:rFonts w:hint="eastAsia" w:ascii="宋体" w:hAnsi="宋体"/>
                <w:sz w:val="18"/>
                <w:szCs w:val="18"/>
                <w:highlight w:val="none"/>
              </w:rPr>
              <w:t>参数配置</w:t>
            </w:r>
          </w:p>
        </w:tc>
        <w:tc>
          <w:tcPr>
            <w:tcW w:w="645" w:type="dxa"/>
            <w:tcBorders>
              <w:top w:val="single" w:color="auto" w:sz="4" w:space="0"/>
            </w:tcBorders>
            <w:vAlign w:val="center"/>
          </w:tcPr>
          <w:p w14:paraId="68B1F301">
            <w:pPr>
              <w:jc w:val="center"/>
              <w:rPr>
                <w:rFonts w:ascii="宋体" w:hAnsi="宋体"/>
                <w:sz w:val="18"/>
                <w:szCs w:val="18"/>
                <w:highlight w:val="none"/>
              </w:rPr>
            </w:pPr>
            <w:r>
              <w:rPr>
                <w:rFonts w:hint="eastAsia" w:ascii="宋体" w:hAnsi="宋体"/>
                <w:sz w:val="18"/>
                <w:szCs w:val="18"/>
                <w:highlight w:val="none"/>
              </w:rPr>
              <w:t>单位</w:t>
            </w:r>
          </w:p>
        </w:tc>
        <w:tc>
          <w:tcPr>
            <w:tcW w:w="600" w:type="dxa"/>
            <w:tcBorders>
              <w:top w:val="single" w:color="auto" w:sz="4" w:space="0"/>
            </w:tcBorders>
            <w:vAlign w:val="center"/>
          </w:tcPr>
          <w:p w14:paraId="1FBB9B45">
            <w:pPr>
              <w:jc w:val="center"/>
              <w:rPr>
                <w:rFonts w:ascii="宋体" w:hAnsi="宋体"/>
                <w:sz w:val="18"/>
                <w:szCs w:val="18"/>
                <w:highlight w:val="none"/>
              </w:rPr>
            </w:pPr>
            <w:r>
              <w:rPr>
                <w:rFonts w:hint="eastAsia" w:ascii="宋体" w:hAnsi="宋体"/>
                <w:sz w:val="18"/>
                <w:szCs w:val="18"/>
                <w:highlight w:val="none"/>
              </w:rPr>
              <w:t>数量</w:t>
            </w:r>
          </w:p>
        </w:tc>
        <w:tc>
          <w:tcPr>
            <w:tcW w:w="690" w:type="dxa"/>
            <w:tcBorders>
              <w:top w:val="single" w:color="auto" w:sz="4" w:space="0"/>
            </w:tcBorders>
            <w:vAlign w:val="center"/>
          </w:tcPr>
          <w:p w14:paraId="3C95755B">
            <w:pPr>
              <w:jc w:val="center"/>
              <w:rPr>
                <w:rFonts w:hint="eastAsia" w:ascii="宋体" w:hAnsi="宋体"/>
                <w:sz w:val="18"/>
                <w:szCs w:val="18"/>
                <w:highlight w:val="none"/>
              </w:rPr>
            </w:pPr>
            <w:r>
              <w:rPr>
                <w:rFonts w:hint="eastAsia" w:ascii="宋体" w:hAnsi="宋体"/>
                <w:sz w:val="18"/>
                <w:szCs w:val="18"/>
                <w:highlight w:val="none"/>
              </w:rPr>
              <w:t>参考单价</w:t>
            </w:r>
          </w:p>
          <w:p w14:paraId="79E5F55D">
            <w:pPr>
              <w:jc w:val="center"/>
              <w:rPr>
                <w:rFonts w:ascii="宋体" w:hAnsi="宋体"/>
                <w:sz w:val="18"/>
                <w:szCs w:val="18"/>
                <w:highlight w:val="none"/>
              </w:rPr>
            </w:pPr>
            <w:r>
              <w:rPr>
                <w:rFonts w:hint="eastAsia" w:ascii="宋体" w:hAnsi="宋体"/>
                <w:sz w:val="18"/>
                <w:szCs w:val="18"/>
                <w:highlight w:val="none"/>
              </w:rPr>
              <w:t>（元）</w:t>
            </w:r>
          </w:p>
        </w:tc>
        <w:tc>
          <w:tcPr>
            <w:tcW w:w="1095" w:type="dxa"/>
            <w:tcBorders>
              <w:top w:val="single" w:color="auto" w:sz="4" w:space="0"/>
            </w:tcBorders>
            <w:vAlign w:val="center"/>
          </w:tcPr>
          <w:p w14:paraId="45660DDA">
            <w:pPr>
              <w:jc w:val="center"/>
              <w:rPr>
                <w:rFonts w:hint="eastAsia" w:ascii="宋体" w:hAnsi="宋体"/>
                <w:sz w:val="18"/>
                <w:szCs w:val="18"/>
                <w:highlight w:val="none"/>
              </w:rPr>
            </w:pPr>
            <w:r>
              <w:rPr>
                <w:rFonts w:hint="eastAsia" w:ascii="宋体" w:hAnsi="宋体"/>
                <w:sz w:val="18"/>
                <w:szCs w:val="18"/>
                <w:highlight w:val="none"/>
              </w:rPr>
              <w:t>合计金额</w:t>
            </w:r>
          </w:p>
          <w:p w14:paraId="5F7BC51F">
            <w:pPr>
              <w:jc w:val="center"/>
              <w:rPr>
                <w:rFonts w:ascii="宋体" w:hAnsi="宋体"/>
                <w:sz w:val="18"/>
                <w:szCs w:val="18"/>
                <w:highlight w:val="none"/>
              </w:rPr>
            </w:pPr>
            <w:r>
              <w:rPr>
                <w:rFonts w:hint="eastAsia" w:ascii="宋体" w:hAnsi="宋体"/>
                <w:sz w:val="18"/>
                <w:szCs w:val="18"/>
                <w:highlight w:val="none"/>
              </w:rPr>
              <w:t>（元）</w:t>
            </w:r>
          </w:p>
        </w:tc>
        <w:tc>
          <w:tcPr>
            <w:tcW w:w="660" w:type="dxa"/>
            <w:tcBorders>
              <w:top w:val="single" w:color="auto" w:sz="4" w:space="0"/>
            </w:tcBorders>
            <w:vAlign w:val="center"/>
          </w:tcPr>
          <w:p w14:paraId="7F03C0B0">
            <w:pPr>
              <w:jc w:val="center"/>
              <w:rPr>
                <w:rFonts w:ascii="宋体" w:hAnsi="宋体"/>
                <w:sz w:val="18"/>
                <w:szCs w:val="18"/>
                <w:highlight w:val="none"/>
              </w:rPr>
            </w:pPr>
            <w:r>
              <w:rPr>
                <w:rFonts w:hint="eastAsia" w:ascii="宋体" w:hAnsi="宋体"/>
                <w:sz w:val="18"/>
                <w:szCs w:val="18"/>
                <w:highlight w:val="none"/>
              </w:rPr>
              <w:t>是否进口产品</w:t>
            </w:r>
          </w:p>
        </w:tc>
        <w:tc>
          <w:tcPr>
            <w:tcW w:w="3434" w:type="dxa"/>
            <w:tcBorders>
              <w:top w:val="single" w:color="auto" w:sz="4" w:space="0"/>
            </w:tcBorders>
            <w:vAlign w:val="center"/>
          </w:tcPr>
          <w:p w14:paraId="58C59F80">
            <w:pPr>
              <w:jc w:val="center"/>
              <w:rPr>
                <w:rFonts w:ascii="宋体" w:hAnsi="宋体"/>
                <w:sz w:val="18"/>
                <w:szCs w:val="18"/>
                <w:highlight w:val="none"/>
              </w:rPr>
            </w:pPr>
            <w:r>
              <w:rPr>
                <w:rFonts w:hint="eastAsia" w:ascii="宋体" w:hAnsi="宋体"/>
                <w:sz w:val="18"/>
                <w:szCs w:val="18"/>
                <w:highlight w:val="none"/>
              </w:rPr>
              <w:t>参考图片</w:t>
            </w:r>
          </w:p>
        </w:tc>
        <w:tc>
          <w:tcPr>
            <w:tcW w:w="531" w:type="dxa"/>
            <w:tcBorders>
              <w:top w:val="single" w:color="auto" w:sz="4" w:space="0"/>
            </w:tcBorders>
            <w:vAlign w:val="center"/>
          </w:tcPr>
          <w:p w14:paraId="492F7E45">
            <w:pPr>
              <w:jc w:val="center"/>
              <w:rPr>
                <w:rFonts w:ascii="宋体" w:hAnsi="宋体"/>
                <w:sz w:val="18"/>
                <w:szCs w:val="18"/>
                <w:highlight w:val="none"/>
              </w:rPr>
            </w:pPr>
            <w:r>
              <w:rPr>
                <w:rFonts w:hint="eastAsia" w:ascii="宋体" w:hAnsi="宋体"/>
                <w:sz w:val="18"/>
                <w:szCs w:val="18"/>
                <w:highlight w:val="none"/>
              </w:rPr>
              <w:t>备注</w:t>
            </w:r>
          </w:p>
        </w:tc>
      </w:tr>
      <w:tr w14:paraId="0EDD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5" w:type="dxa"/>
            <w:vAlign w:val="center"/>
          </w:tcPr>
          <w:p w14:paraId="77E0EE18">
            <w:p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w:t>
            </w:r>
          </w:p>
        </w:tc>
        <w:tc>
          <w:tcPr>
            <w:tcW w:w="736" w:type="dxa"/>
            <w:vAlign w:val="center"/>
          </w:tcPr>
          <w:p w14:paraId="373EC1C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上下铺钢架床</w:t>
            </w:r>
          </w:p>
        </w:tc>
        <w:tc>
          <w:tcPr>
            <w:tcW w:w="727" w:type="dxa"/>
            <w:vAlign w:val="center"/>
          </w:tcPr>
          <w:p w14:paraId="37DDED6C">
            <w:pP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瑞丽家具、政扬办公家具、信佳家居</w:t>
            </w:r>
          </w:p>
        </w:tc>
        <w:tc>
          <w:tcPr>
            <w:tcW w:w="5558" w:type="dxa"/>
            <w:vAlign w:val="top"/>
          </w:tcPr>
          <w:p w14:paraId="28667527">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一、双层钢架床外观尺寸:2000 x 900 x 1800mm</w:t>
            </w:r>
          </w:p>
          <w:p w14:paraId="37D7CBA0">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FF"/>
                <w:spacing w:val="0"/>
                <w:w w:val="100"/>
                <w:kern w:val="2"/>
                <w:sz w:val="21"/>
                <w:szCs w:val="21"/>
                <w:highlight w:val="none"/>
                <w:lang w:val="en-US" w:eastAsia="zh-CN" w:bidi="ar-SA"/>
              </w:rPr>
            </w:pPr>
            <w:r>
              <w:rPr>
                <w:rStyle w:val="27"/>
                <w:rFonts w:hint="eastAsia" w:ascii="宋体" w:hAnsi="宋体" w:eastAsia="宋体" w:cs="宋体"/>
                <w:b w:val="0"/>
                <w:bCs/>
                <w:i w:val="0"/>
                <w:caps w:val="0"/>
                <w:color w:val="0000FF"/>
                <w:spacing w:val="0"/>
                <w:w w:val="100"/>
                <w:kern w:val="2"/>
                <w:sz w:val="21"/>
                <w:szCs w:val="21"/>
                <w:highlight w:val="none"/>
                <w:lang w:val="en-US" w:eastAsia="zh-CN" w:bidi="ar-SA"/>
              </w:rPr>
              <w:t>二、颜色:灰白垂纹色</w:t>
            </w:r>
            <w:r>
              <w:rPr>
                <w:rStyle w:val="27"/>
                <w:rFonts w:hint="eastAsia" w:ascii="宋体" w:hAnsi="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（参考“参考图片”）</w:t>
            </w:r>
          </w:p>
          <w:p w14:paraId="5050F080">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三、钢架床，采用三孔榫插卡式连接方式，床立柱和横梁的链接不采用任何螺栓螺丝。</w:t>
            </w:r>
          </w:p>
          <w:p w14:paraId="1D3E6D62">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四、焊接采用二氧化碳保护焊接，型材表面经除油、去锈、酸洗、表调、陶化后，床立柱、横梁需双面静电喷塑，高温固化而成，盐雾试验达到300个小时。</w:t>
            </w:r>
          </w:p>
          <w:p w14:paraId="43722E87">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五、床立柱：选用国标优质冷轧钢板经成型机一次轧制而成闭口型材管，成型后截面尺寸不小于：70＊70mm材料厚</w:t>
            </w:r>
            <w:r>
              <w:rPr>
                <w:rStyle w:val="27"/>
                <w:rFonts w:hint="eastAsia" w:ascii="宋体" w:hAnsi="宋体" w:eastAsia="宋体" w:cs="宋体"/>
                <w:b w:val="0"/>
                <w:bCs/>
                <w:i w:val="0"/>
                <w:caps w:val="0"/>
                <w:color w:val="0000FF"/>
                <w:spacing w:val="0"/>
                <w:w w:val="100"/>
                <w:kern w:val="2"/>
                <w:sz w:val="21"/>
                <w:szCs w:val="21"/>
                <w:highlight w:val="none"/>
                <w:lang w:val="en-US" w:eastAsia="zh-CN" w:bidi="ar-SA"/>
              </w:rPr>
              <w:t>≥</w:t>
            </w:r>
            <w:r>
              <w:rPr>
                <w:rStyle w:val="27"/>
                <w:rFonts w:hint="eastAsia" w:ascii="宋体" w:hAnsi="宋体" w:cs="宋体"/>
                <w:b w:val="0"/>
                <w:bCs/>
                <w:i w:val="0"/>
                <w:caps w:val="0"/>
                <w:color w:val="0000FF"/>
                <w:spacing w:val="0"/>
                <w:w w:val="100"/>
                <w:kern w:val="2"/>
                <w:sz w:val="21"/>
                <w:szCs w:val="21"/>
                <w:highlight w:val="none"/>
                <w:lang w:val="en-US" w:eastAsia="zh-CN" w:bidi="ar-SA"/>
              </w:rPr>
              <w:t>1</w:t>
            </w:r>
            <w:r>
              <w:rPr>
                <w:rStyle w:val="27"/>
                <w:rFonts w:hint="eastAsia" w:ascii="宋体" w:hAnsi="宋体" w:eastAsia="宋体" w:cs="宋体"/>
                <w:b w:val="0"/>
                <w:bCs/>
                <w:i w:val="0"/>
                <w:caps w:val="0"/>
                <w:color w:val="0000FF"/>
                <w:spacing w:val="0"/>
                <w:w w:val="100"/>
                <w:kern w:val="2"/>
                <w:sz w:val="21"/>
                <w:szCs w:val="21"/>
                <w:highlight w:val="none"/>
                <w:lang w:val="en-US" w:eastAsia="zh-CN" w:bidi="ar-SA"/>
              </w:rPr>
              <w:t>.</w:t>
            </w:r>
            <w:r>
              <w:rPr>
                <w:rStyle w:val="27"/>
                <w:rFonts w:hint="eastAsia" w:ascii="宋体" w:hAnsi="宋体" w:cs="宋体"/>
                <w:b w:val="0"/>
                <w:bCs/>
                <w:i w:val="0"/>
                <w:caps w:val="0"/>
                <w:color w:val="0000FF"/>
                <w:spacing w:val="0"/>
                <w:w w:val="100"/>
                <w:kern w:val="2"/>
                <w:sz w:val="21"/>
                <w:szCs w:val="21"/>
                <w:highlight w:val="none"/>
                <w:lang w:val="en-US" w:eastAsia="zh-CN" w:bidi="ar-SA"/>
              </w:rPr>
              <w:t>0</w:t>
            </w:r>
            <w:r>
              <w:rPr>
                <w:rStyle w:val="27"/>
                <w:rFonts w:hint="eastAsia" w:ascii="宋体" w:hAnsi="宋体" w:eastAsia="宋体" w:cs="宋体"/>
                <w:b w:val="0"/>
                <w:bCs/>
                <w:i w:val="0"/>
                <w:caps w:val="0"/>
                <w:color w:val="0000FF"/>
                <w:spacing w:val="0"/>
                <w:w w:val="100"/>
                <w:kern w:val="2"/>
                <w:sz w:val="21"/>
                <w:szCs w:val="21"/>
                <w:highlight w:val="none"/>
                <w:lang w:val="en-US" w:eastAsia="zh-CN" w:bidi="ar-SA"/>
              </w:rPr>
              <w:t>mm</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成型后外立面为弧形设计，弧面设计不少于2个加强筋和2个凹槽，内角为L型直角，增加立柱强度，防棱角碰撞，高频焊接成闭口型材管。管材表面光滑无颗粒。立柱上下均采用PP塑料的静音脚套，PP塑料有害物质（邻苯二甲酸酯）符合GB18584-2024标准要求。所有管材闭合成型，焊接均匀牢固，无虚焊、漏焊、夹渣等缺陷，立柱整体抗弯、抗压性能符合学生公寓家具安全使用标准。</w:t>
            </w:r>
          </w:p>
          <w:p w14:paraId="37D4EA37">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六、</w:t>
            </w:r>
            <w:r>
              <w:rPr>
                <w:rFonts w:hint="eastAsia" w:ascii="宋体" w:hAnsi="宋体" w:eastAsia="宋体" w:cs="宋体"/>
                <w:color w:val="FF0000"/>
                <w:sz w:val="21"/>
                <w:szCs w:val="21"/>
                <w:highlight w:val="none"/>
              </w:rPr>
              <w:t>床</w:t>
            </w:r>
            <w:r>
              <w:rPr>
                <w:rFonts w:hint="eastAsia" w:ascii="宋体" w:hAnsi="宋体" w:cs="宋体"/>
                <w:color w:val="FF0000"/>
                <w:sz w:val="21"/>
                <w:szCs w:val="21"/>
                <w:highlight w:val="none"/>
                <w:lang w:val="en-US" w:eastAsia="zh-CN"/>
              </w:rPr>
              <w:t>横梁</w:t>
            </w: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床横梁采用优质冷轧钢板经轧压线辊压成型，高频焊接成闭口型材，成型后截面尺寸不小于83＊42mm（±2mm）的闭口P型管，厚度为≥0.9mm厚，管材设计安装床铺板的直角台阶；正面≥2条加强筋，横梁P型管底面为圆弧形设计，增加安全且防碰撞。耐冷热循环应无裂纹、鼓泡、变色、起皱；重金属（可溶性铅、可溶性镉、可溶性铬、可溶性汞）含量为零。</w:t>
            </w:r>
          </w:p>
          <w:p w14:paraId="65992BBD">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七、床铺支撑横档：</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规格为20mm＊30mm方管；采用厚度≥1.0mm优质国标钢材制作。床板支撑梁采用从上往下嵌入式床横梁固定连接；每个床铺支撑横梁数量采用不低于5根并设有消音件。</w:t>
            </w:r>
          </w:p>
          <w:p w14:paraId="1519347F">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八、床厅前护栏：</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花栏采用Ф19mm≥1.0mm，优质圆钢管弯制焊接，高度≥250mm（床板上沿到护栏上沿高度）,整体护栏美观大方，安全实用。前护拦需符合国家标准QB／T 3828-1999《轻工产品金属镀层和化学处理层的耐腐蚀试验方法铜盐加速乙酸盐雾实验法（CASS）法》。</w:t>
            </w:r>
          </w:p>
          <w:p w14:paraId="77052E90">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九、床挂件：</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采用国标优质钢板经冲压拉伸成型，成型后外形规格约为L状与立柱匹配，卡件≥长200mm＊宽28mm＊厚2.0mm．卡件与立柱进深≥20mm，挂件经拉伸成型≥3个接触面并带3个挂齿，挂齿由导向段和锁紧段组成。</w:t>
            </w:r>
          </w:p>
          <w:p w14:paraId="07EA3553">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FF0000"/>
                <w:spacing w:val="0"/>
                <w:w w:val="100"/>
                <w:kern w:val="2"/>
                <w:sz w:val="21"/>
                <w:szCs w:val="21"/>
                <w:highlight w:val="none"/>
                <w:lang w:val="en-US" w:eastAsia="zh-CN" w:bidi="ar-SA"/>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十、床爬梯：采用20 x 30mm 厚度≥1.0mm优质矩管制作。</w:t>
            </w:r>
          </w:p>
          <w:p w14:paraId="4BC1DC2C">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十一、床爬梯踏板：</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246*55mm厚度≥1.2mm双面圆弧一次冲压成型，带有防滑凸纹。</w:t>
            </w:r>
          </w:p>
          <w:p w14:paraId="534CE5A6">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十二、立柱脚套：边立柱脚套采用PP工程塑料全新料一次注塑成型，为防止松动，脚套应有三个外凸（≥R14mm）等弧边半圆，规格与立柱必须吻合，增加牢固性；</w:t>
            </w:r>
          </w:p>
          <w:p w14:paraId="775E78D0">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FF0000"/>
                <w:spacing w:val="0"/>
                <w:w w:val="100"/>
                <w:kern w:val="2"/>
                <w:sz w:val="21"/>
                <w:szCs w:val="21"/>
                <w:highlight w:val="none"/>
                <w:lang w:val="en-US" w:eastAsia="zh-CN" w:bidi="ar-SA"/>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十三、床板：按铁床实际空间制作，采用≥15mm厚多层</w:t>
            </w:r>
            <w:r>
              <w:rPr>
                <w:rStyle w:val="27"/>
                <w:rFonts w:hint="eastAsia" w:ascii="宋体" w:hAnsi="宋体" w:cs="宋体"/>
                <w:b w:val="0"/>
                <w:bCs/>
                <w:i w:val="0"/>
                <w:caps w:val="0"/>
                <w:color w:val="FF0000"/>
                <w:spacing w:val="0"/>
                <w:w w:val="100"/>
                <w:kern w:val="2"/>
                <w:sz w:val="21"/>
                <w:szCs w:val="21"/>
                <w:highlight w:val="none"/>
                <w:lang w:val="en-US" w:eastAsia="zh-CN" w:bidi="ar-SA"/>
              </w:rPr>
              <w:t>实木</w:t>
            </w: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板，床板长宽尺寸必须符合床的规格要求，床板安装后与床挺上沿平齐。</w:t>
            </w:r>
          </w:p>
          <w:p w14:paraId="359F7F58">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十四、床下柜</w:t>
            </w:r>
            <w:r>
              <w:rPr>
                <w:rStyle w:val="27"/>
                <w:rFonts w:hint="eastAsia" w:ascii="宋体" w:hAnsi="宋体" w:cs="宋体"/>
                <w:b w:val="0"/>
                <w:bCs/>
                <w:i w:val="0"/>
                <w:caps w:val="0"/>
                <w:color w:val="FF0000"/>
                <w:spacing w:val="0"/>
                <w:w w:val="100"/>
                <w:kern w:val="2"/>
                <w:sz w:val="21"/>
                <w:szCs w:val="21"/>
                <w:highlight w:val="none"/>
                <w:lang w:val="en-US" w:eastAsia="zh-CN" w:bidi="ar-SA"/>
              </w:rPr>
              <w:t>（2个）</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：规格尺寸：长×宽×高＝400mm×400mm×380mm （单节），柜体采用厚度≥0.6mm，采用优质冷轧钢板，粉末静电喷涂，焊接牢固、酸洗除锈，酸洗磷化后粉末喷涂。表面处理工艺程序：工作水洗→脱脂→水洗→除锈→水洗→表调→磷化→水洗→烘烤→喷粉→固化→喷塑产品，不易变形，抗冲击力强，韧度强，经久耐用。底部配4个调节脚，柜体左右对称摆放，中间放一鞋架，鞋架尺寸1000mm*360mm，鞋架采用10*20厚度≥0.9mm优质方管制作。</w:t>
            </w:r>
          </w:p>
          <w:p w14:paraId="3B67E276">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FF0000"/>
                <w:spacing w:val="0"/>
                <w:w w:val="100"/>
                <w:kern w:val="2"/>
                <w:sz w:val="21"/>
                <w:szCs w:val="21"/>
                <w:highlight w:val="none"/>
                <w:lang w:val="en-US" w:eastAsia="zh-CN" w:bidi="ar-SA"/>
              </w:rPr>
            </w:pPr>
            <w:r>
              <w:rPr>
                <w:rStyle w:val="27"/>
                <w:rFonts w:hint="eastAsia" w:ascii="宋体" w:hAnsi="宋体" w:eastAsia="宋体" w:cs="宋体"/>
                <w:b w:val="0"/>
                <w:bCs/>
                <w:i w:val="0"/>
                <w:caps w:val="0"/>
                <w:color w:val="FF0000"/>
                <w:spacing w:val="0"/>
                <w:w w:val="100"/>
                <w:kern w:val="2"/>
                <w:sz w:val="21"/>
                <w:szCs w:val="21"/>
                <w:highlight w:val="none"/>
                <w:lang w:val="en-US" w:eastAsia="zh-CN" w:bidi="ar-SA"/>
              </w:rPr>
              <w:t>十五、蚊帐杆：采用Φ16mm×0.9mm壁厚的圆管为支撑</w:t>
            </w:r>
          </w:p>
          <w:p w14:paraId="1D200A72">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十六、质量要求：</w:t>
            </w:r>
          </w:p>
          <w:p w14:paraId="338D6A62">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①：产品参照国标</w:t>
            </w:r>
            <w:r>
              <w:rPr>
                <w:rStyle w:val="27"/>
                <w:rFonts w:hint="eastAsia" w:ascii="宋体" w:hAnsi="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钢材</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GB／T 11253-2019《碳素结构钢冷轧钢板及钢带》标准。</w:t>
            </w:r>
          </w:p>
          <w:p w14:paraId="473F7C48">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②床架焊接要求及颜色：钢材所有钢材焊接方式为二氧化碳保护焊，焊接表面波纹均匀，焊接处无夹渣、气孔、焊瘤、焊丝头咬边飞溅，并保证无脱焊，虚焊及焊空穿等现象；桔纹乳白色，喷涂面平整、光滑、无颗粒、气泡、渣点。钢件表面经物理抛丸有机酸除锈、无磷脱脂、硅烷、陶化等工序处理，静电喷涂及高温固化，粉末涂料产品符合GB／T21866-2008《抗菌涂料（漆膜）抗菌性测定法和抗菌效果》、HG／T 2006-2022《热固性粉末涂料》。</w:t>
            </w:r>
          </w:p>
          <w:p w14:paraId="4F037030">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③双层床产品参照GB／T 3325-2017《金属家具通用技术条件》等标准，产品形状和位置公差、外观要求，力学性能有害物质限量优于行业标准。</w:t>
            </w:r>
          </w:p>
          <w:p w14:paraId="0705AC57">
            <w:pPr>
              <w:tabs>
                <w:tab w:val="left" w:pos="425"/>
              </w:tabs>
              <w:snapToGrid/>
              <w:spacing w:before="0" w:beforeAutospacing="0" w:after="0" w:afterAutospacing="0" w:line="360" w:lineRule="auto"/>
              <w:ind w:right="76"/>
              <w:jc w:val="left"/>
              <w:textAlignment w:val="baseline"/>
              <w:rPr>
                <w:rStyle w:val="27"/>
                <w:rFonts w:hint="eastAsia" w:ascii="宋体" w:hAnsi="宋体" w:eastAsia="宋体" w:cs="宋体"/>
                <w:b/>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27"/>
                <w:rFonts w:hint="eastAsia" w:ascii="宋体" w:hAnsi="宋体" w:eastAsia="宋体" w:cs="宋体"/>
                <w:b/>
                <w:i w:val="0"/>
                <w:caps w:val="0"/>
                <w:color w:val="000000" w:themeColor="text1"/>
                <w:spacing w:val="0"/>
                <w:w w:val="100"/>
                <w:kern w:val="2"/>
                <w:sz w:val="21"/>
                <w:szCs w:val="21"/>
                <w:highlight w:val="none"/>
                <w:lang w:val="en-US" w:eastAsia="zh-CN" w:bidi="ar-SA"/>
                <w14:textFill>
                  <w14:solidFill>
                    <w14:schemeClr w14:val="tx1"/>
                  </w14:solidFill>
                </w14:textFill>
              </w:rPr>
              <w:t>其他说明：</w:t>
            </w:r>
          </w:p>
          <w:p w14:paraId="3818F455">
            <w:pPr>
              <w:tabs>
                <w:tab w:val="left" w:pos="425"/>
              </w:tabs>
              <w:snapToGrid/>
              <w:spacing w:before="0" w:beforeAutospacing="0" w:after="0" w:afterAutospacing="0" w:line="360" w:lineRule="auto"/>
              <w:ind w:right="76"/>
              <w:jc w:val="left"/>
              <w:textAlignment w:val="baseline"/>
              <w:rPr>
                <w:rFonts w:hint="eastAsia" w:ascii="宋体" w:hAnsi="宋体" w:eastAsia="宋体" w:cs="宋体"/>
                <w:color w:val="FF0000"/>
                <w:highlight w:val="none"/>
                <w:lang w:val="en-US" w:eastAsia="zh-CN"/>
              </w:rPr>
            </w:pPr>
            <w:r>
              <w:rPr>
                <w:rStyle w:val="2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1.货物的各项参数以“技术参数及性能（配置）要求”中给出的数据为准，采购人提供的图样仅供投标人作为参考，产品设计及制作由投标人自行完成</w:t>
            </w:r>
            <w:r>
              <w:rPr>
                <w:rStyle w:val="2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w:t>
            </w:r>
            <w:r>
              <w:rPr>
                <w:rStyle w:val="2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如投标人因对参考图样中的信息理解不当导致产品出现偏差或错误，其后果与采购人无关。</w:t>
            </w:r>
          </w:p>
        </w:tc>
        <w:tc>
          <w:tcPr>
            <w:tcW w:w="645" w:type="dxa"/>
            <w:vAlign w:val="center"/>
          </w:tcPr>
          <w:p w14:paraId="5A156950">
            <w:pPr>
              <w:jc w:val="center"/>
              <w:rPr>
                <w:rFonts w:hint="eastAsia" w:ascii="宋体" w:hAnsi="宋体" w:eastAsia="宋体" w:cs="宋体"/>
                <w:color w:val="000000"/>
                <w:sz w:val="18"/>
                <w:szCs w:val="18"/>
                <w:highlight w:val="none"/>
                <w:u w:val="single"/>
                <w:lang w:val="en-US" w:eastAsia="zh-CN"/>
              </w:rPr>
            </w:pPr>
            <w:r>
              <w:rPr>
                <w:rFonts w:hint="eastAsia" w:ascii="宋体" w:hAnsi="宋体" w:eastAsia="宋体" w:cs="宋体"/>
                <w:color w:val="000000"/>
                <w:sz w:val="18"/>
                <w:szCs w:val="18"/>
                <w:highlight w:val="none"/>
                <w:u w:val="single"/>
                <w:lang w:val="en-US" w:eastAsia="zh-CN"/>
              </w:rPr>
              <w:t>张</w:t>
            </w:r>
          </w:p>
        </w:tc>
        <w:tc>
          <w:tcPr>
            <w:tcW w:w="600" w:type="dxa"/>
            <w:vAlign w:val="center"/>
          </w:tcPr>
          <w:p w14:paraId="0F385A9A">
            <w:pPr>
              <w:jc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243</w:t>
            </w:r>
          </w:p>
        </w:tc>
        <w:tc>
          <w:tcPr>
            <w:tcW w:w="690" w:type="dxa"/>
            <w:vAlign w:val="center"/>
          </w:tcPr>
          <w:p w14:paraId="4C53D522">
            <w:pPr>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800</w:t>
            </w:r>
          </w:p>
        </w:tc>
        <w:tc>
          <w:tcPr>
            <w:tcW w:w="1095" w:type="dxa"/>
            <w:vAlign w:val="center"/>
          </w:tcPr>
          <w:p w14:paraId="0FE1A98B">
            <w:pPr>
              <w:jc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194400</w:t>
            </w:r>
          </w:p>
        </w:tc>
        <w:tc>
          <w:tcPr>
            <w:tcW w:w="660" w:type="dxa"/>
            <w:vAlign w:val="center"/>
          </w:tcPr>
          <w:p w14:paraId="05E6A06A">
            <w:pPr>
              <w:jc w:val="center"/>
              <w:rPr>
                <w:rFonts w:hint="eastAsia" w:ascii="宋体" w:hAnsi="宋体" w:eastAsia="宋体" w:cs="宋体"/>
                <w:color w:val="000000"/>
                <w:sz w:val="18"/>
                <w:szCs w:val="18"/>
                <w:highlight w:val="none"/>
                <w:u w:val="single"/>
                <w:lang w:val="en-US" w:eastAsia="zh-CN"/>
              </w:rPr>
            </w:pPr>
            <w:r>
              <w:rPr>
                <w:rFonts w:hint="eastAsia" w:ascii="宋体" w:hAnsi="宋体" w:eastAsia="宋体" w:cs="宋体"/>
                <w:color w:val="000000"/>
                <w:sz w:val="18"/>
                <w:szCs w:val="18"/>
                <w:highlight w:val="none"/>
                <w:u w:val="single"/>
                <w:lang w:val="en-US" w:eastAsia="zh-CN"/>
              </w:rPr>
              <w:t>否</w:t>
            </w:r>
          </w:p>
        </w:tc>
        <w:tc>
          <w:tcPr>
            <w:tcW w:w="3434" w:type="dxa"/>
            <w:vAlign w:val="center"/>
          </w:tcPr>
          <w:p w14:paraId="5BFC6566">
            <w:pPr>
              <w:jc w:val="center"/>
              <w:rPr>
                <w:rFonts w:hint="eastAsia" w:ascii="宋体" w:hAnsi="宋体" w:eastAsia="宋体" w:cs="宋体"/>
                <w:color w:val="000000"/>
                <w:sz w:val="18"/>
                <w:szCs w:val="18"/>
                <w:highlight w:val="none"/>
                <w:u w:val="single"/>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drawing>
                <wp:inline distT="0" distB="0" distL="114300" distR="114300">
                  <wp:extent cx="1181100" cy="938530"/>
                  <wp:effectExtent l="0" t="0" r="0" b="13970"/>
                  <wp:docPr id="1" name="图片 1" descr="175029360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0293609713"/>
                          <pic:cNvPicPr>
                            <a:picLocks noChangeAspect="1"/>
                          </pic:cNvPicPr>
                        </pic:nvPicPr>
                        <pic:blipFill>
                          <a:blip r:embed="rId5"/>
                          <a:stretch>
                            <a:fillRect/>
                          </a:stretch>
                        </pic:blipFill>
                        <pic:spPr>
                          <a:xfrm>
                            <a:off x="0" y="0"/>
                            <a:ext cx="1181100" cy="938530"/>
                          </a:xfrm>
                          <a:prstGeom prst="rect">
                            <a:avLst/>
                          </a:prstGeom>
                        </pic:spPr>
                      </pic:pic>
                    </a:graphicData>
                  </a:graphic>
                </wp:inline>
              </w:drawing>
            </w:r>
          </w:p>
        </w:tc>
        <w:tc>
          <w:tcPr>
            <w:tcW w:w="531" w:type="dxa"/>
            <w:vAlign w:val="center"/>
          </w:tcPr>
          <w:p w14:paraId="12F91436">
            <w:pPr>
              <w:jc w:val="center"/>
              <w:rPr>
                <w:rFonts w:hint="eastAsia" w:ascii="宋体" w:hAnsi="宋体" w:eastAsia="宋体" w:cs="宋体"/>
                <w:sz w:val="18"/>
                <w:szCs w:val="18"/>
                <w:highlight w:val="none"/>
                <w:u w:val="single"/>
              </w:rPr>
            </w:pPr>
          </w:p>
        </w:tc>
      </w:tr>
      <w:tr w14:paraId="5D63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5" w:type="dxa"/>
            <w:vAlign w:val="center"/>
          </w:tcPr>
          <w:p w14:paraId="67B8F22D">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2</w:t>
            </w:r>
          </w:p>
        </w:tc>
        <w:tc>
          <w:tcPr>
            <w:tcW w:w="736" w:type="dxa"/>
            <w:vAlign w:val="center"/>
          </w:tcPr>
          <w:p w14:paraId="1C51D20A">
            <w:pPr>
              <w:jc w:val="center"/>
              <w:rPr>
                <w:rFonts w:hint="eastAsia" w:ascii="宋体" w:hAnsi="宋体"/>
                <w:sz w:val="18"/>
                <w:szCs w:val="18"/>
                <w:highlight w:val="none"/>
              </w:rPr>
            </w:pPr>
            <w:r>
              <w:rPr>
                <w:rFonts w:hint="eastAsia" w:ascii="宋体" w:hAnsi="宋体"/>
                <w:sz w:val="18"/>
                <w:szCs w:val="18"/>
                <w:highlight w:val="none"/>
              </w:rPr>
              <w:t>单斗书桌、椅子</w:t>
            </w:r>
          </w:p>
        </w:tc>
        <w:tc>
          <w:tcPr>
            <w:tcW w:w="727" w:type="dxa"/>
            <w:vAlign w:val="center"/>
          </w:tcPr>
          <w:p w14:paraId="3CF5F3C3">
            <w:pPr>
              <w:rPr>
                <w:rFonts w:hint="eastAsia" w:ascii="宋体" w:hAnsi="宋体"/>
                <w:sz w:val="18"/>
                <w:szCs w:val="18"/>
                <w:highlight w:val="none"/>
              </w:rPr>
            </w:pPr>
            <w:r>
              <w:rPr>
                <w:rFonts w:hint="eastAsia" w:ascii="宋体" w:hAnsi="宋体" w:cs="宋体"/>
                <w:sz w:val="18"/>
                <w:szCs w:val="18"/>
                <w:highlight w:val="none"/>
                <w:lang w:val="en-US" w:eastAsia="zh-CN"/>
              </w:rPr>
              <w:t>瑞丽家具、政扬办公家具、信佳家居</w:t>
            </w:r>
          </w:p>
        </w:tc>
        <w:tc>
          <w:tcPr>
            <w:tcW w:w="5558" w:type="dxa"/>
            <w:vAlign w:val="top"/>
          </w:tcPr>
          <w:p w14:paraId="1085DEF6">
            <w:pPr>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规格尺寸：</w:t>
            </w:r>
            <w:r>
              <w:rPr>
                <w:rFonts w:hint="eastAsia" w:ascii="宋体" w:hAnsi="宋体" w:eastAsia="宋体" w:cs="宋体"/>
                <w:b w:val="0"/>
                <w:bCs w:val="0"/>
                <w:color w:val="000000" w:themeColor="text1"/>
                <w:sz w:val="21"/>
                <w:szCs w:val="21"/>
                <w:highlight w:val="none"/>
                <w14:textFill>
                  <w14:solidFill>
                    <w14:schemeClr w14:val="tx1"/>
                  </w14:solidFill>
                </w14:textFill>
              </w:rPr>
              <w:t>学生桌高760mm</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深400mm</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宽600mm，学生椅座面高440mm</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后靠高760mm。</w:t>
            </w:r>
          </w:p>
          <w:p w14:paraId="18C14E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1、学生课桌的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立柱</w:t>
            </w:r>
            <w:r>
              <w:rPr>
                <w:rFonts w:hint="eastAsia" w:ascii="宋体" w:hAnsi="宋体" w:eastAsia="宋体" w:cs="宋体"/>
                <w:b w:val="0"/>
                <w:bCs w:val="0"/>
                <w:color w:val="000000" w:themeColor="text1"/>
                <w:sz w:val="21"/>
                <w:szCs w:val="21"/>
                <w:highlight w:val="none"/>
                <w14:textFill>
                  <w14:solidFill>
                    <w14:schemeClr w14:val="tx1"/>
                  </w14:solidFill>
                </w14:textFill>
              </w:rPr>
              <w:t>管采用尺寸不小于20mm×40mm、管壁厚度不小于1.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mm的椭圆管。桌斗用厚度不小于0.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mm的优质冷轧钢板一次性成型,桌斗高度不小于14.5cm；</w:t>
            </w:r>
          </w:p>
          <w:p w14:paraId="6CC20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桌斗托杆采用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20mm</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20mm（或15mm</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20mm）</w:t>
            </w:r>
            <w:r>
              <w:rPr>
                <w:rFonts w:hint="eastAsia" w:ascii="宋体" w:hAnsi="宋体" w:eastAsia="宋体" w:cs="宋体"/>
                <w:b w:val="0"/>
                <w:bCs w:val="0"/>
                <w:color w:val="000000" w:themeColor="text1"/>
                <w:sz w:val="21"/>
                <w:szCs w:val="21"/>
                <w:highlight w:val="none"/>
                <w14:textFill>
                  <w14:solidFill>
                    <w14:schemeClr w14:val="tx1"/>
                  </w14:solidFill>
                </w14:textFill>
              </w:rPr>
              <w:t>冷轧钢管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21A9BF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、课桌桌面采用15mm厚优质多层板，易清洁，耐磨损，防霉，防潮，油漆边，甲醛释放量不大于E1级的9层（或9层以上）普通胶合板，桌面采用木纹贴面防火板。课桌面板须四个角适当倒圆角。</w:t>
            </w:r>
          </w:p>
          <w:p w14:paraId="0EE81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、学生座椅的金属管件采用尺寸不小于20mm×40mm、管壁厚度不小于1.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mm的椭圆管，椅背金属管件进深不小于座面有效深的1/3，且不大于座面有效深的1/2。</w:t>
            </w:r>
          </w:p>
          <w:p w14:paraId="1B91A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、座椅座面采用厚度不小于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mm，甲醛释放量不大于E1级的7层（或7层以上）普通胶合板，座板</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采</w:t>
            </w:r>
            <w:r>
              <w:rPr>
                <w:rFonts w:hint="eastAsia" w:ascii="宋体" w:hAnsi="宋体" w:eastAsia="宋体" w:cs="宋体"/>
                <w:b w:val="0"/>
                <w:bCs w:val="0"/>
                <w:color w:val="000000" w:themeColor="text1"/>
                <w:sz w:val="21"/>
                <w:szCs w:val="21"/>
                <w:highlight w:val="none"/>
                <w14:textFill>
                  <w14:solidFill>
                    <w14:schemeClr w14:val="tx1"/>
                  </w14:solidFill>
                </w14:textFill>
              </w:rPr>
              <w:t>用木纹贴面防火板。</w:t>
            </w:r>
          </w:p>
          <w:p w14:paraId="7FE7C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、座椅靠背面采用厚度不小于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mm，甲醛释放量不大于E1级的7层（或7层以上）普通胶合板，靠背板采用木纹贴面防火板。</w:t>
            </w:r>
          </w:p>
          <w:p w14:paraId="46E5A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、桌椅铁架必须经过酸洗、除油、除锈、 清水、磷化处理后，采用流水生产线“喷塑”再进行200℃度高温焗漆固化。</w:t>
            </w:r>
          </w:p>
          <w:p w14:paraId="6CF5EA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在桌椅设置挂钩，挂钩采用直径不小于Φ5mm的冷拉普通钢丝或采用厚度不小于1.0mm的钢片制作，并应焊接在金属管件上。</w:t>
            </w:r>
          </w:p>
          <w:p w14:paraId="0BF204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、学生课桌、椅面高、外形长度、宽度尺寸和其他尺寸须符合国家标准。</w:t>
            </w:r>
          </w:p>
          <w:p w14:paraId="226B3B4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为确保采购项目的完成质量和维护公平的竞争及合同的正常履行，防止虚假应标，投标厂家投标文件中必需提供下列检测报告，原件备查;检测报告的送检单位必须是投标人或生产厂家，检测内容必须符合，否则竞标无效：</w:t>
            </w:r>
          </w:p>
          <w:p w14:paraId="5E47FE10">
            <w:pPr>
              <w:spacing w:line="360" w:lineRule="auto"/>
              <w:rPr>
                <w:rFonts w:hint="eastAsia"/>
                <w:color w:val="auto"/>
                <w:highlight w:val="none"/>
                <w:lang w:val="en-US" w:eastAsia="zh-CN"/>
              </w:rPr>
            </w:pPr>
            <w:r>
              <w:rPr>
                <w:rFonts w:hint="eastAsia"/>
                <w:color w:val="auto"/>
                <w:highlight w:val="none"/>
                <w:lang w:val="en-US" w:eastAsia="zh-CN"/>
              </w:rPr>
              <w:t>1、“钢木课桌”第三方检测机构出具符合参数要求的检测报告：检验依据包含但不限于：GB 18584-2001《室内装饰装修材料 木家具中有害物质限量》，检测项目包含但不限于：家具涂层可迁移元素:铅、镉、铬、汞、锑、钡、硒、砷，所检项目符合相关规定。</w:t>
            </w:r>
          </w:p>
          <w:p w14:paraId="44FF697A">
            <w:pPr>
              <w:widowControl/>
              <w:spacing w:line="276" w:lineRule="auto"/>
              <w:jc w:val="left"/>
              <w:rPr>
                <w:rStyle w:val="27"/>
                <w:rFonts w:ascii="宋体" w:hAnsi="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color w:val="auto"/>
                <w:highlight w:val="none"/>
                <w:lang w:val="en-US" w:eastAsia="zh-CN"/>
              </w:rPr>
              <w:t>2、“多层实木板（胶合板）”第三方检测机构出具符合参数要求的检测报告：检验依据包含但不限于：GB/T9846-2015《普通胶合板》、，检测项目包含但不限于：规格尺寸及其偏差、外观质量、含水率、胶合强度、浸渍剥离、静曲强度、弹性模量、甲醛释放量分级要求、挥发性有机化合物(72h)，所检项目符合相关规定。</w:t>
            </w:r>
          </w:p>
        </w:tc>
        <w:tc>
          <w:tcPr>
            <w:tcW w:w="645" w:type="dxa"/>
            <w:vAlign w:val="center"/>
          </w:tcPr>
          <w:p w14:paraId="495CC371">
            <w:pPr>
              <w:jc w:val="center"/>
              <w:rPr>
                <w:rFonts w:hint="eastAsia" w:ascii="宋体" w:hAnsi="宋体"/>
                <w:color w:val="000000"/>
                <w:sz w:val="18"/>
                <w:szCs w:val="18"/>
                <w:highlight w:val="none"/>
                <w:u w:val="single"/>
                <w:lang w:val="en-US" w:eastAsia="zh-CN"/>
              </w:rPr>
            </w:pPr>
            <w:r>
              <w:rPr>
                <w:rFonts w:hint="eastAsia" w:ascii="宋体" w:hAnsi="宋体"/>
                <w:color w:val="000000"/>
                <w:sz w:val="18"/>
                <w:szCs w:val="18"/>
                <w:highlight w:val="none"/>
                <w:u w:val="single"/>
                <w:lang w:val="en-US" w:eastAsia="zh-CN"/>
              </w:rPr>
              <w:t>套</w:t>
            </w:r>
          </w:p>
        </w:tc>
        <w:tc>
          <w:tcPr>
            <w:tcW w:w="600" w:type="dxa"/>
            <w:vAlign w:val="center"/>
          </w:tcPr>
          <w:p w14:paraId="37763736">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485</w:t>
            </w:r>
          </w:p>
        </w:tc>
        <w:tc>
          <w:tcPr>
            <w:tcW w:w="690" w:type="dxa"/>
            <w:vAlign w:val="center"/>
          </w:tcPr>
          <w:p w14:paraId="7A7070F7">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450</w:t>
            </w:r>
          </w:p>
        </w:tc>
        <w:tc>
          <w:tcPr>
            <w:tcW w:w="1095" w:type="dxa"/>
            <w:vAlign w:val="center"/>
          </w:tcPr>
          <w:p w14:paraId="436F695B">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218250</w:t>
            </w:r>
          </w:p>
        </w:tc>
        <w:tc>
          <w:tcPr>
            <w:tcW w:w="660" w:type="dxa"/>
            <w:vAlign w:val="center"/>
          </w:tcPr>
          <w:p w14:paraId="68C698F8">
            <w:pPr>
              <w:jc w:val="center"/>
              <w:rPr>
                <w:rFonts w:hint="default" w:ascii="宋体" w:hAnsi="宋体"/>
                <w:color w:val="000000"/>
                <w:sz w:val="18"/>
                <w:szCs w:val="18"/>
                <w:highlight w:val="none"/>
                <w:u w:val="single"/>
                <w:lang w:val="en-US" w:eastAsia="zh-CN"/>
              </w:rPr>
            </w:pPr>
            <w:r>
              <w:rPr>
                <w:rFonts w:hint="eastAsia" w:ascii="宋体" w:hAnsi="宋体"/>
                <w:color w:val="000000"/>
                <w:sz w:val="18"/>
                <w:szCs w:val="18"/>
                <w:highlight w:val="none"/>
                <w:u w:val="single"/>
                <w:lang w:val="en-US" w:eastAsia="zh-CN"/>
              </w:rPr>
              <w:t>否</w:t>
            </w:r>
          </w:p>
        </w:tc>
        <w:tc>
          <w:tcPr>
            <w:tcW w:w="3434" w:type="dxa"/>
            <w:vAlign w:val="center"/>
          </w:tcPr>
          <w:p w14:paraId="2B34641D">
            <w:pPr>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drawing>
                <wp:inline distT="0" distB="0" distL="114300" distR="114300">
                  <wp:extent cx="1178560" cy="1470660"/>
                  <wp:effectExtent l="0" t="0" r="2540" b="15240"/>
                  <wp:docPr id="7" name="图片 7" descr="175029362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0293624968"/>
                          <pic:cNvPicPr>
                            <a:picLocks noChangeAspect="1"/>
                          </pic:cNvPicPr>
                        </pic:nvPicPr>
                        <pic:blipFill>
                          <a:blip r:embed="rId6"/>
                          <a:stretch>
                            <a:fillRect/>
                          </a:stretch>
                        </pic:blipFill>
                        <pic:spPr>
                          <a:xfrm>
                            <a:off x="0" y="0"/>
                            <a:ext cx="1178560" cy="1470660"/>
                          </a:xfrm>
                          <a:prstGeom prst="rect">
                            <a:avLst/>
                          </a:prstGeom>
                        </pic:spPr>
                      </pic:pic>
                    </a:graphicData>
                  </a:graphic>
                </wp:inline>
              </w:drawing>
            </w:r>
          </w:p>
        </w:tc>
        <w:tc>
          <w:tcPr>
            <w:tcW w:w="531" w:type="dxa"/>
            <w:vAlign w:val="center"/>
          </w:tcPr>
          <w:p w14:paraId="65E97DDF">
            <w:pPr>
              <w:jc w:val="center"/>
              <w:rPr>
                <w:rFonts w:ascii="宋体" w:hAnsi="宋体"/>
                <w:sz w:val="18"/>
                <w:szCs w:val="18"/>
                <w:highlight w:val="none"/>
                <w:u w:val="single"/>
              </w:rPr>
            </w:pPr>
          </w:p>
        </w:tc>
      </w:tr>
      <w:tr w14:paraId="2A64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75" w:type="dxa"/>
            <w:vAlign w:val="center"/>
          </w:tcPr>
          <w:p w14:paraId="32242D35">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3</w:t>
            </w:r>
          </w:p>
        </w:tc>
        <w:tc>
          <w:tcPr>
            <w:tcW w:w="736" w:type="dxa"/>
            <w:vAlign w:val="center"/>
          </w:tcPr>
          <w:p w14:paraId="478F21D9">
            <w:pPr>
              <w:jc w:val="center"/>
              <w:rPr>
                <w:rFonts w:hint="eastAsia" w:ascii="宋体" w:hAnsi="宋体"/>
                <w:sz w:val="18"/>
                <w:szCs w:val="18"/>
                <w:highlight w:val="none"/>
              </w:rPr>
            </w:pPr>
            <w:r>
              <w:rPr>
                <w:rFonts w:hint="eastAsia" w:ascii="宋体" w:hAnsi="宋体"/>
                <w:sz w:val="18"/>
                <w:szCs w:val="18"/>
                <w:highlight w:val="none"/>
              </w:rPr>
              <w:t>学生储物简易布艺衣柜</w:t>
            </w:r>
          </w:p>
        </w:tc>
        <w:tc>
          <w:tcPr>
            <w:tcW w:w="727" w:type="dxa"/>
            <w:vAlign w:val="center"/>
          </w:tcPr>
          <w:p w14:paraId="03732F15">
            <w:pPr>
              <w:rPr>
                <w:rFonts w:hint="eastAsia" w:ascii="宋体" w:hAnsi="宋体"/>
                <w:sz w:val="18"/>
                <w:szCs w:val="18"/>
                <w:highlight w:val="none"/>
              </w:rPr>
            </w:pPr>
            <w:r>
              <w:rPr>
                <w:rFonts w:hint="eastAsia" w:ascii="宋体" w:hAnsi="宋体" w:cs="宋体"/>
                <w:sz w:val="18"/>
                <w:szCs w:val="18"/>
                <w:highlight w:val="none"/>
                <w:lang w:val="en-US" w:eastAsia="zh-CN"/>
              </w:rPr>
              <w:t>瑞丽家具、政扬办公家具、信佳家居</w:t>
            </w:r>
          </w:p>
        </w:tc>
        <w:tc>
          <w:tcPr>
            <w:tcW w:w="5558" w:type="dxa"/>
            <w:vAlign w:val="top"/>
          </w:tcPr>
          <w:p w14:paraId="4E0D4319">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1.尺寸规格参数</w:t>
            </w:r>
          </w:p>
          <w:p w14:paraId="605C083B">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整体外形尺寸：长850mm × 宽（深度）450mm × 高1700mm。</w:t>
            </w:r>
          </w:p>
          <w:p w14:paraId="28DD60B9">
            <w:pPr>
              <w:widowControl/>
              <w:spacing w:line="276" w:lineRule="auto"/>
              <w:jc w:val="left"/>
              <w:rPr>
                <w:rFonts w:hint="default"/>
                <w:color w:val="auto"/>
                <w:sz w:val="21"/>
                <w:szCs w:val="21"/>
                <w:highlight w:val="none"/>
                <w:lang w:val="en-US" w:eastAsia="zh-CN"/>
              </w:rPr>
            </w:pPr>
            <w:r>
              <w:rPr>
                <w:rFonts w:hint="eastAsia"/>
                <w:color w:val="auto"/>
                <w:sz w:val="21"/>
                <w:szCs w:val="21"/>
                <w:highlight w:val="none"/>
                <w:lang w:val="en-US" w:eastAsia="zh-CN"/>
              </w:rPr>
              <w:t xml:space="preserve">2.内部空间划分：设上层叠放区，下部悬挂/叠放混合区。（1）上层叠放区为长850mm × 宽（深度）450mm × </w:t>
            </w:r>
            <w:r>
              <w:rPr>
                <w:rFonts w:hint="eastAsia"/>
                <w:color w:val="auto"/>
                <w:sz w:val="21"/>
                <w:szCs w:val="21"/>
                <w:highlight w:val="none"/>
                <w:lang w:val="en-US" w:eastAsia="zh-CN"/>
              </w:rPr>
              <w:t>高450mm，</w:t>
            </w:r>
            <w:r>
              <w:rPr>
                <w:rFonts w:hint="eastAsia"/>
                <w:color w:val="auto"/>
                <w:sz w:val="21"/>
                <w:szCs w:val="21"/>
                <w:highlight w:val="none"/>
                <w:lang w:val="en-US" w:eastAsia="zh-CN"/>
              </w:rPr>
              <w:t>分区顶部和底部分隔层都配置6根平行</w:t>
            </w:r>
            <w:r>
              <w:rPr>
                <w:rFonts w:hint="eastAsia"/>
                <w:color w:val="auto"/>
                <w:sz w:val="21"/>
                <w:szCs w:val="21"/>
                <w:highlight w:val="none"/>
                <w:lang w:val="en-US" w:eastAsia="zh-CN"/>
              </w:rPr>
              <w:t>加厚镀锌钢管做横向支撑，表面做抛光抗氧化防锈处理；6根镀锌钢管沿宽度方向均匀分布</w:t>
            </w:r>
            <w:r>
              <w:rPr>
                <w:rFonts w:hint="eastAsia"/>
                <w:color w:val="auto"/>
                <w:sz w:val="21"/>
                <w:szCs w:val="21"/>
                <w:highlight w:val="none"/>
                <w:lang w:val="en-US" w:eastAsia="zh-CN"/>
              </w:rPr>
              <w:t>，相邻条间距≤80mm，整体承重力≥20kg，叠放区底部横向支撑面上整块铺设‌5mm厚全新PP塑料板‌做承托面，边缘做倒圆角处理； 塑料板无异味、防腐蚀、防潮防水，长期承托不变形。</w:t>
            </w:r>
          </w:p>
          <w:p w14:paraId="3A55C881">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（2）下层悬挂/叠放混合区为长850mm × 宽（深度）450mm × 高1100mm，配置1根加厚防滑挂衣杆，挂衣杆承重力≥20kg，卡扣固定。此分区底部与衣柜底座之间配置6根平行加厚镀锌钢管做底部支撑，参数同上，整体承重力≥20kg。悬挂/叠放混合区底部横向支撑面上整块铺设‌5mm厚全新PP塑料板‌做承托面，边缘做倒圆角处理； 塑料板无异味、防腐蚀、防潮防水，长期承托不变形。</w:t>
            </w:r>
          </w:p>
          <w:p w14:paraId="6BDBFA0E">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3.柜门结构：双开门设计</w:t>
            </w:r>
          </w:p>
          <w:p w14:paraId="27BFB315">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4.材质工艺参数</w:t>
            </w:r>
          </w:p>
          <w:p w14:paraId="34846E94">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外罩面料：采用加厚涤棉布艺面料，无异味、不褪色、防泼溅，支持整体拆卸清洗，花色适配学生宿舍简约风格</w:t>
            </w:r>
          </w:p>
          <w:p w14:paraId="272EE892">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支撑框架：选用优质加厚镀锌钢管框架，</w:t>
            </w:r>
            <w:r>
              <w:rPr>
                <w:rFonts w:hint="eastAsia"/>
                <w:color w:val="auto"/>
                <w:highlight w:val="none"/>
                <w:lang w:val="en-US" w:eastAsia="zh-CN"/>
              </w:rPr>
              <w:t>钢管壁厚不低于0.8mm，</w:t>
            </w:r>
            <w:r>
              <w:rPr>
                <w:rFonts w:hint="eastAsia"/>
                <w:color w:val="auto"/>
                <w:sz w:val="21"/>
                <w:szCs w:val="21"/>
                <w:highlight w:val="none"/>
                <w:lang w:val="en-US" w:eastAsia="zh-CN"/>
              </w:rPr>
              <w:t>所有钢管切口做打磨钝化处理，无毛刺尖角，避免划伤衣物和使用者；表面做抗氧化防锈处理，适配广西地区潮湿气候使用，</w:t>
            </w:r>
            <w:r>
              <w:rPr>
                <w:rFonts w:hint="eastAsia"/>
                <w:color w:val="auto"/>
                <w:highlight w:val="none"/>
                <w:lang w:val="en-US" w:eastAsia="zh-CN"/>
              </w:rPr>
              <w:t>整体承重力不低于50kg</w:t>
            </w:r>
          </w:p>
          <w:p w14:paraId="2DD59F23">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衔接工艺：接口处采用防滑卡扣加固结构，拼接稳固，不易变形晃动；整体采用组装式结构，方便搬运安装</w:t>
            </w:r>
          </w:p>
          <w:p w14:paraId="0AD3885F">
            <w:pPr>
              <w:widowControl/>
              <w:spacing w:line="276"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封边处理：布艺轮廓采用锁边工艺，边缘平整不脱线。</w:t>
            </w:r>
          </w:p>
          <w:p w14:paraId="14914DFD">
            <w:pPr>
              <w:widowControl/>
              <w:spacing w:line="276" w:lineRule="auto"/>
              <w:jc w:val="left"/>
              <w:rPr>
                <w:rFonts w:hint="default"/>
                <w:color w:val="auto"/>
                <w:highlight w:val="none"/>
                <w:lang w:val="en-US" w:eastAsia="zh-CN"/>
              </w:rPr>
            </w:pPr>
            <w:r>
              <w:rPr>
                <w:rFonts w:hint="eastAsia"/>
                <w:color w:val="auto"/>
                <w:sz w:val="21"/>
                <w:szCs w:val="21"/>
                <w:highlight w:val="none"/>
                <w:lang w:val="en-US" w:eastAsia="zh-CN"/>
              </w:rPr>
              <w:t>拉链：拉滑顺畅，开合轻松，全封闭式金属拉链。</w:t>
            </w:r>
          </w:p>
        </w:tc>
        <w:tc>
          <w:tcPr>
            <w:tcW w:w="645" w:type="dxa"/>
            <w:vAlign w:val="center"/>
          </w:tcPr>
          <w:p w14:paraId="52694E83">
            <w:pPr>
              <w:jc w:val="center"/>
              <w:rPr>
                <w:rFonts w:hint="default" w:ascii="宋体" w:hAnsi="宋体"/>
                <w:color w:val="000000"/>
                <w:sz w:val="18"/>
                <w:szCs w:val="18"/>
                <w:highlight w:val="none"/>
                <w:u w:val="single"/>
                <w:lang w:val="en-US" w:eastAsia="zh-CN"/>
              </w:rPr>
            </w:pPr>
            <w:r>
              <w:rPr>
                <w:rFonts w:hint="eastAsia" w:ascii="宋体" w:hAnsi="宋体"/>
                <w:color w:val="000000"/>
                <w:sz w:val="18"/>
                <w:szCs w:val="18"/>
                <w:highlight w:val="none"/>
                <w:u w:val="single"/>
                <w:lang w:val="en-US" w:eastAsia="zh-CN"/>
              </w:rPr>
              <w:t>个</w:t>
            </w:r>
          </w:p>
        </w:tc>
        <w:tc>
          <w:tcPr>
            <w:tcW w:w="600" w:type="dxa"/>
            <w:vAlign w:val="center"/>
          </w:tcPr>
          <w:p w14:paraId="573316FB">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485</w:t>
            </w:r>
          </w:p>
        </w:tc>
        <w:tc>
          <w:tcPr>
            <w:tcW w:w="690" w:type="dxa"/>
            <w:vAlign w:val="center"/>
          </w:tcPr>
          <w:p w14:paraId="1EF27CCC">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100</w:t>
            </w:r>
          </w:p>
        </w:tc>
        <w:tc>
          <w:tcPr>
            <w:tcW w:w="1095" w:type="dxa"/>
            <w:vAlign w:val="center"/>
          </w:tcPr>
          <w:p w14:paraId="5E609D79">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48500</w:t>
            </w:r>
          </w:p>
        </w:tc>
        <w:tc>
          <w:tcPr>
            <w:tcW w:w="660" w:type="dxa"/>
            <w:vAlign w:val="center"/>
          </w:tcPr>
          <w:p w14:paraId="3B95854A">
            <w:pPr>
              <w:jc w:val="center"/>
              <w:rPr>
                <w:rFonts w:hint="eastAsia" w:ascii="宋体" w:hAnsi="宋体"/>
                <w:color w:val="000000"/>
                <w:sz w:val="18"/>
                <w:szCs w:val="18"/>
                <w:highlight w:val="none"/>
                <w:u w:val="single"/>
                <w:lang w:val="en-US" w:eastAsia="zh-CN"/>
              </w:rPr>
            </w:pPr>
          </w:p>
        </w:tc>
        <w:tc>
          <w:tcPr>
            <w:tcW w:w="3434" w:type="dxa"/>
            <w:vAlign w:val="center"/>
          </w:tcPr>
          <w:p w14:paraId="7B7A222D">
            <w:pPr>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drawing>
                <wp:inline distT="0" distB="0" distL="114300" distR="114300">
                  <wp:extent cx="2040890" cy="3063875"/>
                  <wp:effectExtent l="0" t="0" r="3810" b="9525"/>
                  <wp:docPr id="2" name="图片 2" descr="微信图片_20260611182545_321_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611182545_321_368(1)"/>
                          <pic:cNvPicPr>
                            <a:picLocks noChangeAspect="1"/>
                          </pic:cNvPicPr>
                        </pic:nvPicPr>
                        <pic:blipFill>
                          <a:blip r:embed="rId7"/>
                          <a:stretch>
                            <a:fillRect/>
                          </a:stretch>
                        </pic:blipFill>
                        <pic:spPr>
                          <a:xfrm>
                            <a:off x="0" y="0"/>
                            <a:ext cx="2040890" cy="3063875"/>
                          </a:xfrm>
                          <a:prstGeom prst="rect">
                            <a:avLst/>
                          </a:prstGeom>
                        </pic:spPr>
                      </pic:pic>
                    </a:graphicData>
                  </a:graphic>
                </wp:inline>
              </w:drawing>
            </w:r>
          </w:p>
        </w:tc>
        <w:tc>
          <w:tcPr>
            <w:tcW w:w="531" w:type="dxa"/>
            <w:vAlign w:val="center"/>
          </w:tcPr>
          <w:p w14:paraId="47955F64">
            <w:pPr>
              <w:jc w:val="center"/>
              <w:rPr>
                <w:rFonts w:ascii="宋体" w:hAnsi="宋体"/>
                <w:sz w:val="18"/>
                <w:szCs w:val="18"/>
                <w:highlight w:val="none"/>
                <w:u w:val="single"/>
              </w:rPr>
            </w:pPr>
          </w:p>
        </w:tc>
      </w:tr>
      <w:tr w14:paraId="1BD52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9531" w:type="dxa"/>
            <w:gridSpan w:val="7"/>
            <w:noWrap/>
            <w:vAlign w:val="center"/>
          </w:tcPr>
          <w:p w14:paraId="7C6E37D4">
            <w:pPr>
              <w:jc w:val="center"/>
              <w:rPr>
                <w:rFonts w:ascii="宋体" w:hAnsi="宋体"/>
                <w:sz w:val="18"/>
                <w:szCs w:val="18"/>
                <w:highlight w:val="none"/>
              </w:rPr>
            </w:pPr>
            <w:r>
              <w:rPr>
                <w:rFonts w:hint="eastAsia" w:ascii="仿宋" w:hAnsi="仿宋" w:eastAsia="仿宋" w:cs="仿宋"/>
                <w:sz w:val="24"/>
                <w:szCs w:val="24"/>
                <w:highlight w:val="none"/>
              </w:rPr>
              <w:t>合计金额</w:t>
            </w:r>
          </w:p>
        </w:tc>
        <w:tc>
          <w:tcPr>
            <w:tcW w:w="1095" w:type="dxa"/>
            <w:noWrap/>
            <w:vAlign w:val="center"/>
          </w:tcPr>
          <w:p w14:paraId="41E7DDB5">
            <w:pPr>
              <w:jc w:val="center"/>
              <w:rPr>
                <w:rFonts w:hint="default" w:ascii="宋体" w:hAnsi="宋体"/>
                <w:color w:val="000000"/>
                <w:sz w:val="18"/>
                <w:szCs w:val="18"/>
                <w:highlight w:val="none"/>
                <w:lang w:val="en-US"/>
              </w:rPr>
            </w:pPr>
            <w:r>
              <w:rPr>
                <w:rFonts w:hint="eastAsia" w:ascii="宋体" w:hAnsi="宋体"/>
                <w:color w:val="000000"/>
                <w:sz w:val="18"/>
                <w:szCs w:val="18"/>
                <w:highlight w:val="none"/>
                <w:lang w:val="en-US" w:eastAsia="zh-CN"/>
              </w:rPr>
              <w:t>461150</w:t>
            </w:r>
          </w:p>
        </w:tc>
        <w:tc>
          <w:tcPr>
            <w:tcW w:w="660" w:type="dxa"/>
            <w:noWrap/>
            <w:vAlign w:val="top"/>
          </w:tcPr>
          <w:p w14:paraId="6EDFE582">
            <w:pPr>
              <w:rPr>
                <w:rFonts w:ascii="宋体" w:hAnsi="宋体"/>
                <w:sz w:val="18"/>
                <w:szCs w:val="18"/>
                <w:highlight w:val="none"/>
              </w:rPr>
            </w:pPr>
            <w:r>
              <w:rPr>
                <w:rFonts w:hint="eastAsia" w:ascii="宋体" w:hAnsi="宋体"/>
                <w:sz w:val="18"/>
                <w:szCs w:val="18"/>
                <w:highlight w:val="none"/>
              </w:rPr>
              <w:t>　</w:t>
            </w:r>
          </w:p>
        </w:tc>
        <w:tc>
          <w:tcPr>
            <w:tcW w:w="3434" w:type="dxa"/>
            <w:vAlign w:val="top"/>
          </w:tcPr>
          <w:p w14:paraId="790AB96B">
            <w:pPr>
              <w:rPr>
                <w:rFonts w:ascii="宋体" w:hAnsi="宋体"/>
                <w:sz w:val="18"/>
                <w:szCs w:val="18"/>
                <w:highlight w:val="none"/>
                <w:u w:val="single"/>
              </w:rPr>
            </w:pPr>
          </w:p>
        </w:tc>
        <w:tc>
          <w:tcPr>
            <w:tcW w:w="531" w:type="dxa"/>
            <w:noWrap/>
            <w:vAlign w:val="top"/>
          </w:tcPr>
          <w:p w14:paraId="5B4A75A7">
            <w:pPr>
              <w:rPr>
                <w:rFonts w:ascii="宋体" w:hAnsi="宋体"/>
                <w:sz w:val="18"/>
                <w:szCs w:val="18"/>
                <w:highlight w:val="none"/>
                <w:u w:val="single"/>
              </w:rPr>
            </w:pPr>
          </w:p>
        </w:tc>
      </w:tr>
    </w:tbl>
    <w:p w14:paraId="78F0B811">
      <w:pPr>
        <w:rPr>
          <w:rFonts w:ascii="宋体" w:hAnsi="宋体"/>
          <w:szCs w:val="21"/>
        </w:rPr>
      </w:pPr>
    </w:p>
    <w:tbl>
      <w:tblPr>
        <w:tblStyle w:val="12"/>
        <w:tblpPr w:leftFromText="180" w:rightFromText="180" w:vertAnchor="text" w:horzAnchor="margin" w:tblpX="-4" w:tblpY="4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2"/>
        <w:gridCol w:w="1559"/>
        <w:gridCol w:w="11656"/>
      </w:tblGrid>
      <w:tr w14:paraId="1D1D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127" w:type="dxa"/>
            <w:gridSpan w:val="3"/>
            <w:vAlign w:val="top"/>
          </w:tcPr>
          <w:p w14:paraId="3CBF4A3B">
            <w:pPr>
              <w:jc w:val="center"/>
              <w:rPr>
                <w:rFonts w:hint="eastAsia" w:ascii="仿宋" w:hAnsi="仿宋" w:eastAsia="仿宋" w:cs="仿宋"/>
                <w:b/>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sz w:val="24"/>
                <w:szCs w:val="24"/>
              </w:rPr>
              <w:t>商务条款</w:t>
            </w:r>
          </w:p>
        </w:tc>
      </w:tr>
      <w:tr w14:paraId="021F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12" w:type="dxa"/>
            <w:vAlign w:val="center"/>
          </w:tcPr>
          <w:p w14:paraId="6877DB2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59" w:type="dxa"/>
            <w:vAlign w:val="center"/>
          </w:tcPr>
          <w:p w14:paraId="1E578F11">
            <w:pPr>
              <w:jc w:val="center"/>
              <w:rPr>
                <w:rFonts w:hint="eastAsia" w:ascii="仿宋" w:hAnsi="仿宋" w:eastAsia="仿宋" w:cs="仿宋"/>
                <w:sz w:val="24"/>
                <w:szCs w:val="24"/>
              </w:rPr>
            </w:pPr>
            <w:r>
              <w:rPr>
                <w:rFonts w:hint="eastAsia" w:ascii="仿宋" w:hAnsi="仿宋" w:eastAsia="仿宋" w:cs="仿宋"/>
                <w:sz w:val="24"/>
                <w:szCs w:val="24"/>
              </w:rPr>
              <w:t>报价要求</w:t>
            </w:r>
          </w:p>
        </w:tc>
        <w:tc>
          <w:tcPr>
            <w:tcW w:w="11656" w:type="dxa"/>
            <w:vAlign w:val="top"/>
          </w:tcPr>
          <w:p w14:paraId="6DD73450">
            <w:r>
              <w:t>投标报价为采购人指定地点现场交货价，包括：</w:t>
            </w:r>
          </w:p>
          <w:p w14:paraId="0A34E7C1">
            <w:pPr>
              <w:numPr>
                <w:ilvl w:val="0"/>
                <w:numId w:val="1"/>
              </w:numPr>
              <w:ind w:left="210" w:leftChars="0" w:firstLineChars="0"/>
            </w:pPr>
            <w:r>
              <w:t>货物的价格：包括货款、杂配件、安装调试费、验收费；</w:t>
            </w:r>
          </w:p>
          <w:p w14:paraId="2D0B3285">
            <w:pPr>
              <w:numPr>
                <w:ilvl w:val="0"/>
                <w:numId w:val="1"/>
              </w:numPr>
              <w:ind w:left="210" w:leftChars="0" w:firstLineChars="0"/>
            </w:pPr>
            <w:r>
              <w:t>货物的标准附件、备品备件、专用工具的价格；</w:t>
            </w:r>
          </w:p>
          <w:p w14:paraId="48281E73">
            <w:pPr>
              <w:numPr>
                <w:ilvl w:val="0"/>
                <w:numId w:val="1"/>
              </w:numPr>
              <w:ind w:left="210" w:leftChars="0" w:firstLineChars="0"/>
            </w:pPr>
            <w:r>
              <w:t>运输、装卸、调试、培训、技术支持、售后服务费；</w:t>
            </w:r>
          </w:p>
          <w:p w14:paraId="6B192D74">
            <w:pPr>
              <w:numPr>
                <w:ilvl w:val="0"/>
                <w:numId w:val="1"/>
              </w:numPr>
              <w:ind w:left="210" w:leftChars="0" w:firstLineChars="0"/>
            </w:pPr>
            <w:r>
              <w:t>按采购人要求进行摆放的费用。</w:t>
            </w:r>
          </w:p>
          <w:p w14:paraId="6B8EC8A1">
            <w:pPr>
              <w:numPr>
                <w:ilvl w:val="0"/>
                <w:numId w:val="1"/>
              </w:numPr>
              <w:ind w:left="210" w:leftChars="0" w:firstLineChars="0"/>
              <w:rPr>
                <w:sz w:val="18"/>
                <w:szCs w:val="18"/>
              </w:rPr>
            </w:pPr>
            <w:r>
              <w:rPr>
                <w:rFonts w:hint="eastAsia"/>
                <w:lang w:val="en-US" w:eastAsia="zh-CN"/>
              </w:rPr>
              <w:t>送样材料包括、上下铺钢架床的床板多层实木板小样（胶合板）、上下铺钢架床</w:t>
            </w:r>
            <w:r>
              <w:t>冷轧钢板</w:t>
            </w:r>
            <w:r>
              <w:rPr>
                <w:rFonts w:hint="eastAsia"/>
                <w:lang w:eastAsia="zh-CN"/>
              </w:rPr>
              <w:t>、</w:t>
            </w:r>
            <w:r>
              <w:rPr>
                <w:rFonts w:hint="eastAsia"/>
                <w:lang w:val="en-US" w:eastAsia="zh-CN"/>
              </w:rPr>
              <w:t>单斗书桌或椅子钢管小样、衣柜面料小样。</w:t>
            </w:r>
          </w:p>
          <w:p w14:paraId="37345659">
            <w:pPr>
              <w:numPr>
                <w:ilvl w:val="0"/>
                <w:numId w:val="1"/>
              </w:numPr>
              <w:ind w:left="210" w:leftChars="0" w:firstLineChars="0"/>
            </w:pPr>
            <w:r>
              <w:rPr>
                <w:rStyle w:val="27"/>
                <w:rFonts w:hint="eastAsia" w:ascii="宋体" w:hAnsi="宋体" w:eastAsia="宋体" w:cs="宋体"/>
                <w:b w:val="0"/>
                <w:bCs/>
                <w:i w:val="0"/>
                <w:caps w:val="0"/>
                <w:color w:val="000000" w:themeColor="text1"/>
                <w:spacing w:val="0"/>
                <w:w w:val="100"/>
                <w:kern w:val="2"/>
                <w:sz w:val="18"/>
                <w:szCs w:val="18"/>
                <w:lang w:val="en-US" w:eastAsia="zh-CN" w:bidi="ar-SA"/>
                <w14:textFill>
                  <w14:solidFill>
                    <w14:schemeClr w14:val="tx1"/>
                  </w14:solidFill>
                </w14:textFill>
              </w:rPr>
              <w:t>GB／T 3325-201</w:t>
            </w:r>
            <w:r>
              <w:rPr>
                <w:rStyle w:val="27"/>
                <w:rFonts w:hint="eastAsia" w:ascii="宋体" w:hAnsi="宋体" w:eastAsia="宋体" w:cs="宋体"/>
                <w:b w:val="0"/>
                <w:bCs/>
                <w:i w:val="0"/>
                <w:caps w:val="0"/>
                <w:color w:val="000000" w:themeColor="text1"/>
                <w:spacing w:val="0"/>
                <w:w w:val="100"/>
                <w:kern w:val="2"/>
                <w:sz w:val="21"/>
                <w:szCs w:val="21"/>
                <w:lang w:val="en-US" w:eastAsia="zh-CN" w:bidi="ar-SA"/>
                <w14:textFill>
                  <w14:solidFill>
                    <w14:schemeClr w14:val="tx1"/>
                  </w14:solidFill>
                </w14:textFill>
              </w:rPr>
              <w:t>7《金属家具通用技术条件》</w:t>
            </w:r>
            <w:r>
              <w:rPr>
                <w:rStyle w:val="27"/>
                <w:rFonts w:hint="eastAsia" w:ascii="宋体" w:hAnsi="宋体" w:cs="宋体"/>
                <w:b w:val="0"/>
                <w:bCs/>
                <w:i w:val="0"/>
                <w:caps w:val="0"/>
                <w:color w:val="000000" w:themeColor="text1"/>
                <w:spacing w:val="0"/>
                <w:w w:val="100"/>
                <w:kern w:val="2"/>
                <w:sz w:val="21"/>
                <w:szCs w:val="21"/>
                <w:lang w:val="en-US" w:eastAsia="zh-CN" w:bidi="ar-SA"/>
                <w14:textFill>
                  <w14:solidFill>
                    <w14:schemeClr w14:val="tx1"/>
                  </w14:solidFill>
                </w14:textFill>
              </w:rPr>
              <w:t>检测报告、GB 18584-2001《室内装饰装修材料 木家具中有害物质限量》</w:t>
            </w:r>
          </w:p>
          <w:p w14:paraId="117D18C9">
            <w:pPr>
              <w:ind w:firstLine="420" w:firstLineChars="200"/>
              <w:rPr>
                <w:rFonts w:hint="eastAsia" w:ascii="仿宋" w:hAnsi="仿宋" w:eastAsia="仿宋" w:cs="仿宋"/>
                <w:sz w:val="24"/>
                <w:szCs w:val="24"/>
              </w:rPr>
            </w:pPr>
            <w:r>
              <w:t>注：投标人自行考虑完成项目所需的辅材、杂配件等数量，投标报价中应包含全部内容，中标后采购人不再另行支付额外费用。竞标供应商的投标总报价≤采购预算。</w:t>
            </w:r>
          </w:p>
        </w:tc>
      </w:tr>
      <w:tr w14:paraId="56A6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912" w:type="dxa"/>
            <w:vAlign w:val="center"/>
          </w:tcPr>
          <w:p w14:paraId="60C4CAA2">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59" w:type="dxa"/>
            <w:vAlign w:val="center"/>
          </w:tcPr>
          <w:p w14:paraId="1D32A072">
            <w:pPr>
              <w:jc w:val="center"/>
              <w:rPr>
                <w:rFonts w:hint="eastAsia" w:ascii="仿宋" w:hAnsi="仿宋" w:eastAsia="仿宋" w:cs="仿宋"/>
                <w:sz w:val="24"/>
                <w:szCs w:val="24"/>
              </w:rPr>
            </w:pPr>
            <w:r>
              <w:rPr>
                <w:rFonts w:hint="eastAsia" w:ascii="仿宋" w:hAnsi="仿宋" w:eastAsia="仿宋" w:cs="仿宋"/>
                <w:sz w:val="24"/>
                <w:szCs w:val="24"/>
              </w:rPr>
              <w:t>货物性能要求</w:t>
            </w:r>
          </w:p>
        </w:tc>
        <w:tc>
          <w:tcPr>
            <w:tcW w:w="11656" w:type="dxa"/>
            <w:vAlign w:val="top"/>
          </w:tcPr>
          <w:p w14:paraId="15224E3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ascii="Calibri" w:hAnsi="Calibri" w:eastAsia="宋体" w:cs="Arial"/>
                <w:kern w:val="2"/>
                <w:sz w:val="21"/>
                <w:szCs w:val="22"/>
                <w:lang w:val="en-US" w:eastAsia="zh-CN" w:bidi="ar-SA"/>
              </w:rPr>
              <w:t>1、</w:t>
            </w:r>
            <w:r>
              <w:t>本项目所有货物参数配置、款式、颜色已确定，不得做任何变更，否则视为不响应本采购要求；</w:t>
            </w:r>
          </w:p>
          <w:p w14:paraId="4D89E15E">
            <w:pPr>
              <w:pStyle w:val="17"/>
              <w:ind w:firstLine="480"/>
              <w:rPr>
                <w:rFonts w:hint="eastAsia" w:ascii="仿宋" w:hAnsi="仿宋" w:eastAsia="仿宋" w:cs="仿宋"/>
                <w:spacing w:val="10"/>
                <w:sz w:val="24"/>
                <w:szCs w:val="24"/>
              </w:rPr>
            </w:pPr>
            <w:r>
              <w:t>2、对不能满足参数要求、虚假应标的，采购人将上报监督管理部门，由此所产生的的后果由应标供应商自行承担。</w:t>
            </w:r>
          </w:p>
        </w:tc>
      </w:tr>
      <w:tr w14:paraId="11AE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12" w:type="dxa"/>
            <w:vAlign w:val="center"/>
          </w:tcPr>
          <w:p w14:paraId="0D305AA6">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59" w:type="dxa"/>
            <w:vAlign w:val="center"/>
          </w:tcPr>
          <w:p w14:paraId="7250F4ED">
            <w:pPr>
              <w:jc w:val="center"/>
              <w:rPr>
                <w:rFonts w:hint="eastAsia" w:ascii="仿宋" w:hAnsi="仿宋" w:eastAsia="仿宋" w:cs="仿宋"/>
                <w:sz w:val="24"/>
                <w:szCs w:val="24"/>
              </w:rPr>
            </w:pPr>
            <w:r>
              <w:rPr>
                <w:rFonts w:hint="eastAsia" w:ascii="仿宋" w:hAnsi="仿宋" w:eastAsia="仿宋" w:cs="仿宋"/>
                <w:sz w:val="24"/>
                <w:szCs w:val="24"/>
              </w:rPr>
              <w:t>交货及安装期要求</w:t>
            </w:r>
          </w:p>
        </w:tc>
        <w:tc>
          <w:tcPr>
            <w:tcW w:w="11656" w:type="dxa"/>
            <w:vAlign w:val="top"/>
          </w:tcPr>
          <w:p w14:paraId="04377B8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ascii="Calibri" w:hAnsi="Calibri" w:eastAsia="宋体" w:cs="Arial"/>
                <w:kern w:val="2"/>
                <w:sz w:val="21"/>
                <w:szCs w:val="22"/>
                <w:lang w:val="en-US" w:eastAsia="zh-CN" w:bidi="ar-SA"/>
              </w:rPr>
              <w:t>1、</w:t>
            </w:r>
            <w:r>
              <w:t>合同签订期：自中标通知书发出之日起7日历日内。</w:t>
            </w:r>
          </w:p>
          <w:p w14:paraId="043BD2FB">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pPr>
            <w:r>
              <w:rPr>
                <w:rFonts w:ascii="Calibri" w:hAnsi="Calibri" w:eastAsia="宋体" w:cs="Arial"/>
                <w:kern w:val="2"/>
                <w:sz w:val="21"/>
                <w:szCs w:val="22"/>
                <w:lang w:val="en-US" w:eastAsia="zh-CN" w:bidi="ar-SA"/>
              </w:rPr>
              <w:t>2、</w:t>
            </w:r>
            <w:r>
              <w:t>在签订合同后</w:t>
            </w:r>
            <w:r>
              <w:rPr>
                <w:rFonts w:hint="eastAsia"/>
                <w:lang w:val="en-US" w:eastAsia="zh-CN"/>
              </w:rPr>
              <w:t>10</w:t>
            </w:r>
            <w:r>
              <w:t>天（</w:t>
            </w:r>
            <w:r>
              <w:rPr>
                <w:rFonts w:hint="eastAsia"/>
                <w:lang w:val="en-US" w:eastAsia="zh-CN"/>
              </w:rPr>
              <w:t>自然</w:t>
            </w:r>
            <w:r>
              <w:t>日）内全部供货上门，具体安装时间、地点按采购人广西中医药大学武装部（保卫处）指定时间、地点安装，调试完毕交付使用。</w:t>
            </w:r>
          </w:p>
          <w:p w14:paraId="6396D850">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pPr>
            <w:r>
              <w:rPr>
                <w:rFonts w:ascii="Calibri" w:hAnsi="Calibri" w:eastAsia="宋体" w:cs="Arial"/>
                <w:kern w:val="2"/>
                <w:sz w:val="21"/>
                <w:szCs w:val="22"/>
                <w:lang w:val="en-US" w:eastAsia="zh-CN" w:bidi="ar-SA"/>
              </w:rPr>
              <w:t>3、</w:t>
            </w:r>
            <w:r>
              <w:t>成交供应商应提供的货物必须是原厂生产全新的、完整的、未使用过的合格产品，货物质量符合国家相关标准和规范，具备正规合法经销渠道。所有产品需满足（或优于）上表参数配置。成交供应商提供的货物、参数配置、质量不符合合同规定及采购需求规定标准的，采购人有权拒收该货物。成交供应商拒绝更换货物的，采购人可单方面解除合同，并有权要求成交供应商赔偿经济损失。</w:t>
            </w:r>
          </w:p>
          <w:p w14:paraId="3AA7AA72">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pPr>
            <w:r>
              <w:rPr>
                <w:rFonts w:ascii="Calibri" w:hAnsi="Calibri" w:eastAsia="宋体" w:cs="Arial"/>
                <w:kern w:val="2"/>
                <w:sz w:val="21"/>
                <w:szCs w:val="22"/>
                <w:lang w:val="en-US" w:eastAsia="zh-CN" w:bidi="ar-SA"/>
              </w:rPr>
              <w:t>4、</w:t>
            </w:r>
            <w:r>
              <w:t>免费送货上门，按现场条件全程免费安装调试，直至验收前产生的所有费用、验收时产生的验收费用、验收合格后产生的售后服务费等费用均由成交供应商承担，不接受物流快递发货以及远程指导安装，否则采购人有权取消合同。</w:t>
            </w:r>
          </w:p>
          <w:p w14:paraId="6E7A916F">
            <w:pPr>
              <w:pStyle w:val="17"/>
              <w:ind w:firstLine="480"/>
              <w:rPr>
                <w:rFonts w:hint="eastAsia" w:ascii="仿宋" w:hAnsi="仿宋" w:eastAsia="仿宋" w:cs="仿宋"/>
                <w:sz w:val="24"/>
                <w:szCs w:val="24"/>
              </w:rPr>
            </w:pPr>
            <w:r>
              <w:t>5、如不能按期交货和安装完毕，则视为违约，造成的一切损失由成交供应商承担。成交供应商提供的货物及服务不满足在线询价文件要求而导致验收不合格的，采购人有权解除合同并追究成交供应商的法律责任。</w:t>
            </w:r>
          </w:p>
        </w:tc>
      </w:tr>
      <w:tr w14:paraId="63DA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12" w:type="dxa"/>
            <w:vAlign w:val="center"/>
          </w:tcPr>
          <w:p w14:paraId="657A81E7">
            <w:pPr>
              <w:jc w:val="center"/>
              <w:rPr>
                <w:rFonts w:hint="eastAsia" w:ascii="仿宋" w:hAnsi="仿宋" w:eastAsia="仿宋" w:cs="仿宋"/>
                <w:sz w:val="24"/>
                <w:szCs w:val="24"/>
              </w:rPr>
            </w:pPr>
            <w:r>
              <w:rPr>
                <w:rFonts w:hint="eastAsia" w:ascii="仿宋" w:hAnsi="仿宋" w:eastAsia="仿宋" w:cs="仿宋"/>
                <w:sz w:val="24"/>
                <w:szCs w:val="24"/>
              </w:rPr>
              <w:t>4</w:t>
            </w:r>
          </w:p>
        </w:tc>
        <w:tc>
          <w:tcPr>
            <w:tcW w:w="1559" w:type="dxa"/>
            <w:vAlign w:val="center"/>
          </w:tcPr>
          <w:p w14:paraId="55159A7C">
            <w:pPr>
              <w:jc w:val="center"/>
              <w:rPr>
                <w:rFonts w:hint="eastAsia" w:ascii="仿宋" w:hAnsi="仿宋" w:eastAsia="仿宋" w:cs="仿宋"/>
                <w:sz w:val="24"/>
                <w:szCs w:val="24"/>
              </w:rPr>
            </w:pPr>
            <w:r>
              <w:rPr>
                <w:rFonts w:hint="eastAsia" w:ascii="仿宋" w:hAnsi="仿宋" w:eastAsia="仿宋" w:cs="仿宋"/>
                <w:sz w:val="24"/>
                <w:szCs w:val="24"/>
              </w:rPr>
              <w:t>交货及安装地点</w:t>
            </w:r>
          </w:p>
        </w:tc>
        <w:tc>
          <w:tcPr>
            <w:tcW w:w="11656" w:type="dxa"/>
            <w:vAlign w:val="top"/>
          </w:tcPr>
          <w:p w14:paraId="3BBA3AF6">
            <w:pPr>
              <w:rPr>
                <w:rFonts w:hint="eastAsia" w:ascii="仿宋" w:hAnsi="仿宋" w:eastAsia="仿宋" w:cs="仿宋"/>
                <w:sz w:val="24"/>
                <w:szCs w:val="24"/>
                <w:lang w:val="en-US" w:eastAsia="zh-CN"/>
              </w:rPr>
            </w:pPr>
            <w:r>
              <w:t>广西中医药大学仙葫校区学生宿舍（具体由采购人指定）</w:t>
            </w:r>
          </w:p>
        </w:tc>
      </w:tr>
      <w:tr w14:paraId="286E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12" w:type="dxa"/>
            <w:vAlign w:val="center"/>
          </w:tcPr>
          <w:p w14:paraId="076994D3">
            <w:pPr>
              <w:jc w:val="center"/>
              <w:rPr>
                <w:rFonts w:hint="eastAsia" w:ascii="仿宋" w:hAnsi="仿宋" w:eastAsia="仿宋" w:cs="仿宋"/>
                <w:sz w:val="24"/>
                <w:szCs w:val="24"/>
              </w:rPr>
            </w:pPr>
            <w:r>
              <w:rPr>
                <w:rFonts w:hint="eastAsia" w:ascii="仿宋" w:hAnsi="仿宋" w:eastAsia="仿宋" w:cs="仿宋"/>
                <w:sz w:val="24"/>
                <w:szCs w:val="24"/>
              </w:rPr>
              <w:t>5</w:t>
            </w:r>
          </w:p>
        </w:tc>
        <w:tc>
          <w:tcPr>
            <w:tcW w:w="1559" w:type="dxa"/>
            <w:vAlign w:val="center"/>
          </w:tcPr>
          <w:p w14:paraId="5DA055B0">
            <w:pPr>
              <w:jc w:val="center"/>
              <w:rPr>
                <w:rFonts w:hint="eastAsia" w:ascii="仿宋" w:hAnsi="仿宋" w:eastAsia="仿宋" w:cs="仿宋"/>
                <w:sz w:val="24"/>
                <w:szCs w:val="24"/>
              </w:rPr>
            </w:pPr>
            <w:r>
              <w:rPr>
                <w:rFonts w:hint="eastAsia" w:ascii="仿宋" w:hAnsi="仿宋" w:eastAsia="仿宋" w:cs="仿宋"/>
                <w:sz w:val="24"/>
                <w:szCs w:val="24"/>
              </w:rPr>
              <w:t>验收</w:t>
            </w:r>
          </w:p>
        </w:tc>
        <w:tc>
          <w:tcPr>
            <w:tcW w:w="11656" w:type="dxa"/>
            <w:vAlign w:val="top"/>
          </w:tcPr>
          <w:p w14:paraId="1CF09D5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ascii="Calibri" w:hAnsi="Calibri" w:eastAsia="宋体" w:cs="Arial"/>
                <w:kern w:val="2"/>
                <w:sz w:val="21"/>
                <w:szCs w:val="22"/>
                <w:lang w:val="en-US" w:eastAsia="zh-CN" w:bidi="ar-SA"/>
              </w:rPr>
              <w:t>1、</w:t>
            </w:r>
            <w:r>
              <w:t>货物运抵采购人指定地点后，采购人对成交供应商提交的货物依据合同、参数配置要求和国家有关质量标准进行现场验收，参数配置符合在线询价文件技术要求的，给予签收，验收不合格的不予签收。如发生所供货物与合同约定不符，采购人有权退货或要求成交供应商进行更换、补齐，因此造成逾期交货的，成交供应商应承担逾期交货的违约责任。成交供应商应在接到采购人要求后5日内予以补救，所产生的费用及法律后果由成交供应商承担。</w:t>
            </w:r>
          </w:p>
          <w:p w14:paraId="36ED6962">
            <w:pPr>
              <w:pStyle w:val="9"/>
              <w:ind w:firstLine="420" w:firstLineChars="200"/>
              <w:rPr>
                <w:rFonts w:hint="eastAsia" w:ascii="仿宋" w:hAnsi="仿宋" w:eastAsia="仿宋" w:cs="仿宋"/>
                <w:sz w:val="24"/>
                <w:szCs w:val="24"/>
                <w:lang w:val="en-US" w:eastAsia="zh-CN"/>
              </w:rPr>
            </w:pPr>
            <w:r>
              <w:rPr>
                <w:rFonts w:ascii="Times New Roman" w:hAnsi="Times New Roman" w:eastAsia="宋体" w:cs="Times New Roman"/>
                <w:b w:val="0"/>
                <w:kern w:val="2"/>
                <w:sz w:val="21"/>
                <w:szCs w:val="22"/>
                <w:lang w:val="en-US" w:eastAsia="zh-CN" w:bidi="ar-SA"/>
              </w:rPr>
              <w:t>2、验收所需工具、器材由成交供应商自理；各项性能指标达到技术要求的，由供需双方共同签字认可，现场验收。3、供货产品为整体或板式安装结构，供货时不接受任何产品或原材料现场切割、焊接、加工、喷漆、胶粘等对现场环境产生负面影响的施工作业，否则不予验收。</w:t>
            </w:r>
          </w:p>
        </w:tc>
      </w:tr>
      <w:tr w14:paraId="2375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912" w:type="dxa"/>
            <w:vAlign w:val="center"/>
          </w:tcPr>
          <w:p w14:paraId="3AC13E8A">
            <w:pPr>
              <w:jc w:val="center"/>
              <w:rPr>
                <w:rFonts w:hint="eastAsia" w:ascii="仿宋" w:hAnsi="仿宋" w:eastAsia="仿宋" w:cs="仿宋"/>
                <w:sz w:val="24"/>
                <w:szCs w:val="24"/>
              </w:rPr>
            </w:pPr>
            <w:r>
              <w:rPr>
                <w:rFonts w:hint="eastAsia" w:ascii="仿宋" w:hAnsi="仿宋" w:eastAsia="仿宋" w:cs="仿宋"/>
                <w:sz w:val="24"/>
                <w:szCs w:val="24"/>
              </w:rPr>
              <w:t>6</w:t>
            </w:r>
          </w:p>
        </w:tc>
        <w:tc>
          <w:tcPr>
            <w:tcW w:w="1559" w:type="dxa"/>
            <w:vAlign w:val="center"/>
          </w:tcPr>
          <w:p w14:paraId="40ECD910">
            <w:pPr>
              <w:jc w:val="center"/>
              <w:rPr>
                <w:rFonts w:hint="eastAsia" w:ascii="仿宋" w:hAnsi="仿宋" w:eastAsia="仿宋" w:cs="仿宋"/>
                <w:sz w:val="24"/>
                <w:szCs w:val="24"/>
              </w:rPr>
            </w:pPr>
            <w:r>
              <w:rPr>
                <w:rFonts w:hint="eastAsia" w:ascii="仿宋" w:hAnsi="仿宋" w:eastAsia="仿宋" w:cs="仿宋"/>
                <w:sz w:val="24"/>
                <w:szCs w:val="24"/>
              </w:rPr>
              <w:t>货款结算</w:t>
            </w:r>
          </w:p>
        </w:tc>
        <w:tc>
          <w:tcPr>
            <w:tcW w:w="11656" w:type="dxa"/>
            <w:vAlign w:val="top"/>
          </w:tcPr>
          <w:p w14:paraId="69BE1BFE">
            <w:pPr>
              <w:ind w:firstLine="420" w:firstLineChars="200"/>
              <w:rPr>
                <w:rFonts w:hint="eastAsia" w:ascii="仿宋" w:hAnsi="仿宋" w:eastAsia="仿宋" w:cs="仿宋"/>
                <w:sz w:val="24"/>
                <w:szCs w:val="24"/>
              </w:rPr>
            </w:pPr>
            <w:r>
              <w:t>无预付款，成交供应商完成供货且验收通过后，采购人通知成交供应商开具发票，采购人自收到发票后10个工作日内付款，采购人一次性支付全部合同款（无息），付款前成交供应商应开具等额增值税专用发票给采购人。</w:t>
            </w:r>
          </w:p>
        </w:tc>
      </w:tr>
      <w:tr w14:paraId="2A8F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12" w:type="dxa"/>
            <w:vAlign w:val="center"/>
          </w:tcPr>
          <w:p w14:paraId="1B50D07A">
            <w:pPr>
              <w:jc w:val="center"/>
              <w:rPr>
                <w:rFonts w:hint="eastAsia" w:ascii="仿宋" w:hAnsi="仿宋" w:eastAsia="仿宋" w:cs="仿宋"/>
                <w:sz w:val="24"/>
                <w:szCs w:val="24"/>
              </w:rPr>
            </w:pPr>
            <w:r>
              <w:rPr>
                <w:rFonts w:hint="eastAsia" w:ascii="仿宋" w:hAnsi="仿宋" w:eastAsia="仿宋" w:cs="仿宋"/>
                <w:sz w:val="24"/>
                <w:szCs w:val="24"/>
              </w:rPr>
              <w:t>7</w:t>
            </w:r>
          </w:p>
        </w:tc>
        <w:tc>
          <w:tcPr>
            <w:tcW w:w="1559" w:type="dxa"/>
            <w:vAlign w:val="center"/>
          </w:tcPr>
          <w:p w14:paraId="71B501A6">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质保</w:t>
            </w:r>
            <w:r>
              <w:rPr>
                <w:rFonts w:hint="eastAsia" w:ascii="仿宋" w:hAnsi="仿宋" w:eastAsia="仿宋" w:cs="仿宋"/>
                <w:color w:val="auto"/>
                <w:sz w:val="24"/>
                <w:szCs w:val="24"/>
              </w:rPr>
              <w:t>期</w:t>
            </w:r>
          </w:p>
        </w:tc>
        <w:tc>
          <w:tcPr>
            <w:tcW w:w="11656" w:type="dxa"/>
            <w:vAlign w:val="top"/>
          </w:tcPr>
          <w:p w14:paraId="0687DB7E">
            <w:pPr>
              <w:tabs>
                <w:tab w:val="center" w:pos="4153"/>
                <w:tab w:val="right" w:pos="8306"/>
              </w:tabs>
              <w:ind w:firstLine="420" w:firstLineChars="200"/>
              <w:rPr>
                <w:rFonts w:hint="eastAsia" w:ascii="仿宋" w:hAnsi="仿宋" w:eastAsia="仿宋" w:cs="仿宋"/>
                <w:color w:val="auto"/>
                <w:sz w:val="24"/>
                <w:szCs w:val="24"/>
                <w:lang w:val="en-US" w:eastAsia="zh-CN"/>
              </w:rPr>
            </w:pPr>
            <w:r>
              <w:t>双层钢架床质量保证期为</w:t>
            </w:r>
            <w:r>
              <w:rPr>
                <w:rFonts w:hint="eastAsia"/>
                <w:lang w:val="en-US" w:eastAsia="zh-CN"/>
              </w:rPr>
              <w:t>5</w:t>
            </w:r>
            <w:r>
              <w:t>年，书桌、椅子质量保证期为</w:t>
            </w:r>
            <w:r>
              <w:rPr>
                <w:rFonts w:hint="eastAsia"/>
                <w:lang w:val="en-US" w:eastAsia="zh-CN"/>
              </w:rPr>
              <w:t>3</w:t>
            </w:r>
            <w:r>
              <w:t>年</w:t>
            </w:r>
            <w:r>
              <w:rPr>
                <w:rFonts w:hint="eastAsia"/>
                <w:lang w:eastAsia="zh-CN"/>
              </w:rPr>
              <w:t>，布艺</w:t>
            </w:r>
            <w:r>
              <w:rPr>
                <w:rFonts w:hint="eastAsia"/>
                <w:lang w:val="en-US" w:eastAsia="zh-CN"/>
              </w:rPr>
              <w:t>衣柜保质期为2年。</w:t>
            </w:r>
          </w:p>
        </w:tc>
      </w:tr>
      <w:tr w14:paraId="0F559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1" w:hRule="atLeast"/>
        </w:trPr>
        <w:tc>
          <w:tcPr>
            <w:tcW w:w="1912" w:type="dxa"/>
            <w:vAlign w:val="center"/>
          </w:tcPr>
          <w:p w14:paraId="5E4004DA">
            <w:pPr>
              <w:jc w:val="center"/>
              <w:rPr>
                <w:rFonts w:hint="eastAsia" w:ascii="仿宋" w:hAnsi="仿宋" w:eastAsia="仿宋" w:cs="仿宋"/>
                <w:sz w:val="24"/>
                <w:szCs w:val="24"/>
              </w:rPr>
            </w:pPr>
            <w:r>
              <w:rPr>
                <w:rFonts w:hint="eastAsia" w:ascii="仿宋" w:hAnsi="仿宋" w:eastAsia="仿宋" w:cs="仿宋"/>
                <w:sz w:val="24"/>
                <w:szCs w:val="24"/>
              </w:rPr>
              <w:t>8</w:t>
            </w:r>
          </w:p>
        </w:tc>
        <w:tc>
          <w:tcPr>
            <w:tcW w:w="1559" w:type="dxa"/>
            <w:vAlign w:val="center"/>
          </w:tcPr>
          <w:p w14:paraId="1C5438BC">
            <w:pPr>
              <w:jc w:val="center"/>
              <w:rPr>
                <w:rFonts w:hint="eastAsia" w:ascii="仿宋" w:hAnsi="仿宋" w:eastAsia="仿宋" w:cs="仿宋"/>
                <w:sz w:val="24"/>
                <w:szCs w:val="24"/>
              </w:rPr>
            </w:pPr>
            <w:r>
              <w:rPr>
                <w:rFonts w:hint="eastAsia" w:ascii="仿宋" w:hAnsi="仿宋" w:eastAsia="仿宋" w:cs="仿宋"/>
                <w:sz w:val="24"/>
                <w:szCs w:val="24"/>
              </w:rPr>
              <w:t>售后服务要求</w:t>
            </w:r>
          </w:p>
        </w:tc>
        <w:tc>
          <w:tcPr>
            <w:tcW w:w="11656" w:type="dxa"/>
            <w:vAlign w:val="top"/>
          </w:tcPr>
          <w:p w14:paraId="52621B88">
            <w:pPr>
              <w:pStyle w:val="4"/>
              <w:rPr>
                <w:rFonts w:ascii="Calibri" w:hAnsi="Calibri" w:cs="Arial"/>
                <w:highlight w:val="none"/>
              </w:rPr>
            </w:pPr>
            <w:r>
              <w:rPr>
                <w:rFonts w:ascii="Calibri" w:hAnsi="Calibri" w:eastAsia="宋体" w:cs="Arial"/>
                <w:kern w:val="2"/>
                <w:sz w:val="21"/>
                <w:szCs w:val="22"/>
                <w:lang w:val="en-US" w:eastAsia="zh-CN" w:bidi="ar-SA"/>
              </w:rPr>
              <w:t>1、</w:t>
            </w:r>
            <w:r>
              <w:rPr>
                <w:rFonts w:ascii="Calibri" w:hAnsi="Calibri" w:cs="Arial"/>
              </w:rPr>
              <w:t>质量保证期：在质保期内非人为因素发生的故障均由成交供应商免费维修或更换，</w:t>
            </w:r>
            <w:r>
              <w:rPr>
                <w:rFonts w:ascii="Calibri" w:hAnsi="Calibri" w:cs="Arial"/>
                <w:highlight w:val="none"/>
              </w:rPr>
              <w:t>并且所提供的维修物件必须是全新的合格产品，质保期过后提供终身维护。投标人投标时必须承诺对本项目家具提供终身服务，</w:t>
            </w:r>
            <w:r>
              <w:rPr>
                <w:rFonts w:hint="eastAsia"/>
                <w:highlight w:val="none"/>
                <w:lang w:val="en-US" w:eastAsia="zh-CN"/>
              </w:rPr>
              <w:t>质保期外的维修服务仅收取成本费用，不收取任何额外的服务费用或利润加成。</w:t>
            </w:r>
          </w:p>
          <w:p w14:paraId="6D5233EC">
            <w:pPr>
              <w:keepNext w:val="0"/>
              <w:keepLines w:val="0"/>
              <w:pageBreakBefore w:val="0"/>
              <w:widowControl w:val="0"/>
              <w:numPr>
                <w:ilvl w:val="0"/>
                <w:numId w:val="0"/>
              </w:numPr>
              <w:kinsoku/>
              <w:wordWrap/>
              <w:overflowPunct/>
              <w:topLinePunct w:val="0"/>
              <w:autoSpaceDE/>
              <w:autoSpaceDN/>
              <w:bidi w:val="0"/>
              <w:ind w:left="0" w:leftChars="0" w:firstLine="420" w:firstLineChars="200"/>
              <w:textAlignment w:val="auto"/>
              <w:rPr>
                <w:rFonts w:ascii="Calibri" w:hAnsi="Calibri" w:cs="Arial"/>
                <w:highlight w:val="none"/>
              </w:rPr>
            </w:pPr>
            <w:r>
              <w:rPr>
                <w:rFonts w:ascii="Calibri" w:hAnsi="Calibri" w:eastAsia="宋体" w:cs="Arial"/>
                <w:kern w:val="2"/>
                <w:sz w:val="21"/>
                <w:szCs w:val="22"/>
                <w:highlight w:val="none"/>
                <w:lang w:val="en-US" w:eastAsia="zh-CN" w:bidi="ar-SA"/>
              </w:rPr>
              <w:t>2、</w:t>
            </w:r>
            <w:r>
              <w:rPr>
                <w:rFonts w:ascii="Calibri" w:hAnsi="Calibri" w:cs="Arial"/>
                <w:highlight w:val="none"/>
              </w:rPr>
              <w:t>故障响应时间：货物发生故障时，在接到采购人通知后24小时内到达现场处理，一般故障处理时限不超过12小时，12小时内不能修复的，提供替代品。</w:t>
            </w:r>
          </w:p>
          <w:p w14:paraId="63E12CA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4"/>
                <w:szCs w:val="24"/>
              </w:rPr>
            </w:pPr>
            <w:r>
              <w:rPr>
                <w:rFonts w:ascii="Calibri" w:hAnsi="Calibri" w:cs="Arial"/>
              </w:rPr>
              <w:t>3、质保期内成交供应商负责处理解决货物出现的质量及安全问题并承担一切费用，所有非故意性损坏以及正常使用范围内造成的损坏均要免费维修，因人为因素出现的故障不在免费保修范围内，但成交供应商也要积极帮助采购人修理，并提供优惠价格的配件和服务。</w:t>
            </w:r>
          </w:p>
        </w:tc>
      </w:tr>
      <w:tr w14:paraId="57F8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912" w:type="dxa"/>
            <w:vAlign w:val="center"/>
          </w:tcPr>
          <w:p w14:paraId="06230E51">
            <w:pPr>
              <w:jc w:val="center"/>
              <w:rPr>
                <w:rFonts w:hint="eastAsia" w:ascii="仿宋" w:hAnsi="仿宋" w:eastAsia="仿宋" w:cs="仿宋"/>
                <w:sz w:val="24"/>
                <w:szCs w:val="24"/>
              </w:rPr>
            </w:pPr>
            <w:r>
              <w:rPr>
                <w:rFonts w:hint="eastAsia" w:ascii="仿宋" w:hAnsi="仿宋" w:eastAsia="仿宋" w:cs="仿宋"/>
                <w:sz w:val="24"/>
                <w:szCs w:val="24"/>
              </w:rPr>
              <w:t>9</w:t>
            </w:r>
          </w:p>
        </w:tc>
        <w:tc>
          <w:tcPr>
            <w:tcW w:w="1559" w:type="dxa"/>
            <w:vAlign w:val="center"/>
          </w:tcPr>
          <w:p w14:paraId="2CD05A04">
            <w:pPr>
              <w:jc w:val="center"/>
              <w:rPr>
                <w:rFonts w:hint="eastAsia" w:ascii="仿宋" w:hAnsi="仿宋" w:eastAsia="仿宋" w:cs="仿宋"/>
                <w:sz w:val="24"/>
                <w:szCs w:val="24"/>
              </w:rPr>
            </w:pPr>
            <w:r>
              <w:rPr>
                <w:rFonts w:hint="eastAsia" w:ascii="仿宋" w:hAnsi="仿宋" w:eastAsia="仿宋" w:cs="仿宋"/>
                <w:sz w:val="24"/>
                <w:szCs w:val="24"/>
              </w:rPr>
              <w:t>违约责任</w:t>
            </w:r>
          </w:p>
        </w:tc>
        <w:tc>
          <w:tcPr>
            <w:tcW w:w="11656" w:type="dxa"/>
            <w:vAlign w:val="top"/>
          </w:tcPr>
          <w:p w14:paraId="23C0FE23">
            <w:pPr>
              <w:keepNext w:val="0"/>
              <w:keepLines w:val="0"/>
              <w:pageBreakBefore w:val="0"/>
              <w:widowControl w:val="0"/>
              <w:numPr>
                <w:ilvl w:val="0"/>
                <w:numId w:val="0"/>
              </w:numPr>
              <w:kinsoku/>
              <w:wordWrap/>
              <w:overflowPunct/>
              <w:topLinePunct w:val="0"/>
              <w:autoSpaceDE/>
              <w:autoSpaceDN/>
              <w:bidi w:val="0"/>
              <w:ind w:firstLine="420" w:firstLineChars="200"/>
              <w:textAlignment w:val="auto"/>
            </w:pPr>
            <w:r>
              <w:rPr>
                <w:rFonts w:ascii="Calibri" w:hAnsi="Calibri" w:eastAsia="宋体" w:cs="Arial"/>
                <w:kern w:val="2"/>
                <w:sz w:val="21"/>
                <w:szCs w:val="22"/>
                <w:lang w:val="en-US" w:eastAsia="zh-CN" w:bidi="ar-SA"/>
              </w:rPr>
              <w:t>1、</w:t>
            </w:r>
            <w:r>
              <w:t>本在线询价文件项下的货物在交货、安装、验收及质保期等任何阶段内不符合合同约定的技术规范要求和验收标准的，采购人有权向成交供应商索赔并选择下列一项或多项补救措施：</w:t>
            </w:r>
          </w:p>
          <w:p w14:paraId="021DC85B">
            <w:pPr>
              <w:keepNext w:val="0"/>
              <w:keepLines w:val="0"/>
              <w:pageBreakBefore w:val="0"/>
              <w:widowControl w:val="0"/>
              <w:numPr>
                <w:ilvl w:val="0"/>
                <w:numId w:val="0"/>
              </w:numPr>
              <w:kinsoku/>
              <w:wordWrap/>
              <w:overflowPunct/>
              <w:topLinePunct w:val="0"/>
              <w:autoSpaceDE/>
              <w:autoSpaceDN/>
              <w:bidi w:val="0"/>
              <w:ind w:firstLine="420" w:firstLineChars="200"/>
              <w:textAlignment w:val="auto"/>
            </w:pPr>
            <w:r>
              <w:rPr>
                <w:rFonts w:ascii="Times New Roman" w:hAnsi="Times New Roman" w:eastAsia="宋体" w:cs="Times New Roman"/>
                <w:kern w:val="2"/>
                <w:sz w:val="21"/>
                <w:szCs w:val="22"/>
                <w:lang w:val="en-US" w:eastAsia="zh-CN" w:bidi="ar-SA"/>
              </w:rPr>
              <w:t>（1）</w:t>
            </w:r>
            <w:r>
              <w:t>由成交供应商采取措施消除货物缺陷或不符合合同之处，如果成交供应商不能及时消除缺陷，采购人有权自行消除缺陷或不</w:t>
            </w:r>
            <w:r>
              <w:rPr>
                <w:rFonts w:hint="eastAsia"/>
                <w:lang w:val="en-US" w:eastAsia="zh-CN"/>
              </w:rPr>
              <w:t>符合</w:t>
            </w:r>
            <w:r>
              <w:t>合同</w:t>
            </w:r>
            <w:r>
              <w:rPr>
                <w:rFonts w:hint="eastAsia"/>
                <w:lang w:val="en-US" w:eastAsia="zh-CN"/>
              </w:rPr>
              <w:t>之处</w:t>
            </w:r>
            <w:r>
              <w:t>，由此产生的一切费用均由成交供应商承担。</w:t>
            </w:r>
          </w:p>
          <w:p w14:paraId="15309B4D">
            <w:pPr>
              <w:keepNext w:val="0"/>
              <w:keepLines w:val="0"/>
              <w:pageBreakBefore w:val="0"/>
              <w:widowControl w:val="0"/>
              <w:numPr>
                <w:ilvl w:val="0"/>
                <w:numId w:val="0"/>
              </w:numPr>
              <w:kinsoku/>
              <w:wordWrap/>
              <w:overflowPunct/>
              <w:topLinePunct w:val="0"/>
              <w:autoSpaceDE/>
              <w:autoSpaceDN/>
              <w:bidi w:val="0"/>
              <w:ind w:left="0" w:leftChars="0" w:firstLine="420" w:firstLineChars="200"/>
              <w:textAlignment w:val="auto"/>
            </w:pPr>
            <w:r>
              <w:rPr>
                <w:rFonts w:ascii="Times New Roman" w:hAnsi="Times New Roman" w:eastAsia="宋体" w:cs="Times New Roman"/>
                <w:kern w:val="2"/>
                <w:sz w:val="21"/>
                <w:szCs w:val="22"/>
                <w:lang w:val="en-US" w:eastAsia="zh-CN" w:bidi="ar-SA"/>
              </w:rPr>
              <w:t>（2）</w:t>
            </w:r>
            <w:r>
              <w:t>由成交供应商在接到采购人通知后10日内用符合合同规定的规格、质量和性能要求的新零件、部件和货物更换有缺陷的设备或用新的技术资料替换有缺陷的技术资料或补供遗漏的货物或技术资料等，成交供应商应承担一切费用和风险并负担给采购人造成的全部损失。</w:t>
            </w:r>
          </w:p>
          <w:p w14:paraId="0E438411">
            <w:pPr>
              <w:keepNext w:val="0"/>
              <w:keepLines w:val="0"/>
              <w:pageBreakBefore w:val="0"/>
              <w:widowControl w:val="0"/>
              <w:numPr>
                <w:ilvl w:val="0"/>
                <w:numId w:val="0"/>
              </w:numPr>
              <w:kinsoku/>
              <w:wordWrap/>
              <w:overflowPunct/>
              <w:topLinePunct w:val="0"/>
              <w:autoSpaceDE/>
              <w:autoSpaceDN/>
              <w:bidi w:val="0"/>
              <w:ind w:left="0" w:leftChars="0" w:firstLine="420" w:firstLineChars="200"/>
              <w:textAlignment w:val="auto"/>
            </w:pPr>
            <w:r>
              <w:rPr>
                <w:rFonts w:ascii="Times New Roman" w:hAnsi="Times New Roman" w:eastAsia="宋体" w:cs="Times New Roman"/>
                <w:kern w:val="2"/>
                <w:sz w:val="21"/>
                <w:szCs w:val="22"/>
                <w:lang w:val="en-US" w:eastAsia="zh-CN" w:bidi="ar-SA"/>
              </w:rPr>
              <w:t>（3）</w:t>
            </w:r>
            <w:r>
              <w:t>根据货物的低劣程度、损坏程度以及采购人所遭受损失的数额，成交供应商必须降低货物的价格。成交供应商应退还采购人支付的全部合同款，同时应承担该货物的直接费用（运输、保险、检验、货款利息及银行手续费等）。2、成交供应商逾期交付货物的，每逾期一日，应按逾期交货总额3</w:t>
            </w:r>
            <w:r>
              <w:rPr>
                <w:rFonts w:hint="default" w:ascii="Arial" w:hAnsi="Arial" w:cs="Arial"/>
              </w:rPr>
              <w:t>‰</w:t>
            </w:r>
            <w:r>
              <w:t>向采购人支付违约金。逾期超过约定日期10个自然日不能交货的，采购人有权解除本合同，并要求成交供应商支付合同总额20%的违约金。</w:t>
            </w:r>
          </w:p>
          <w:p w14:paraId="02784765">
            <w:pPr>
              <w:keepNext w:val="0"/>
              <w:keepLines w:val="0"/>
              <w:pageBreakBefore w:val="0"/>
              <w:widowControl w:val="0"/>
              <w:numPr>
                <w:ilvl w:val="0"/>
                <w:numId w:val="0"/>
              </w:numPr>
              <w:kinsoku/>
              <w:wordWrap/>
              <w:overflowPunct/>
              <w:topLinePunct w:val="0"/>
              <w:autoSpaceDE/>
              <w:autoSpaceDN/>
              <w:bidi w:val="0"/>
              <w:ind w:leftChars="0" w:firstLine="420" w:firstLineChars="200"/>
              <w:textAlignment w:val="auto"/>
            </w:pPr>
            <w:r>
              <w:rPr>
                <w:rFonts w:hint="eastAsia"/>
                <w:lang w:val="en-US" w:eastAsia="zh-CN"/>
              </w:rPr>
              <w:t>3、</w:t>
            </w:r>
            <w:r>
              <w:t>成交供应商所交付的货物规格、技术参数、质量不符合合同规定及在线询价文件规定标准的，采购人有权拒收该货物，成交供应商愿意更换货物但逾期交货的，按成交供应商逾期交货处理。成交供应商拒绝更换货物的，采购人可单方面解除合同，并要求成交供应商支付合同总值20%的违约金，违约金不足以弥补采购人损失的，成交供应商还应负责赔偿。</w:t>
            </w:r>
          </w:p>
          <w:p w14:paraId="79BE6B2F">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4"/>
                <w:szCs w:val="24"/>
              </w:rPr>
            </w:pPr>
            <w:r>
              <w:t>4、成交供应商未能按约定要求履行保修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r w14:paraId="20F1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912" w:type="dxa"/>
            <w:vAlign w:val="center"/>
          </w:tcPr>
          <w:p w14:paraId="79C9286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559" w:type="dxa"/>
            <w:vAlign w:val="center"/>
          </w:tcPr>
          <w:p w14:paraId="1F73916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验收标准</w:t>
            </w:r>
          </w:p>
        </w:tc>
        <w:tc>
          <w:tcPr>
            <w:tcW w:w="11656" w:type="dxa"/>
            <w:vAlign w:val="center"/>
          </w:tcPr>
          <w:p w14:paraId="2EE5A014">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1、</w:t>
            </w:r>
            <w:r>
              <w:rPr>
                <w:highlight w:val="none"/>
              </w:rPr>
              <w:t>所供产品的规格、数量符合招标文件供应商投标承诺及采购合同约定的要求。</w:t>
            </w:r>
          </w:p>
          <w:p w14:paraId="13DAAF64">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2、</w:t>
            </w:r>
            <w:r>
              <w:rPr>
                <w:highlight w:val="none"/>
              </w:rPr>
              <w:t>所供产品的材质、颜色符合招标文件供应商投标承诺及采购合同约定的要求。</w:t>
            </w:r>
          </w:p>
          <w:p w14:paraId="18A203BC">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3、</w:t>
            </w:r>
            <w:r>
              <w:rPr>
                <w:highlight w:val="none"/>
              </w:rPr>
              <w:t>所供产品的外观完好，无严重碰撞，五金件生锈等瑕疵。</w:t>
            </w:r>
          </w:p>
          <w:p w14:paraId="4E73CD89">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4、</w:t>
            </w:r>
            <w:r>
              <w:rPr>
                <w:highlight w:val="none"/>
              </w:rPr>
              <w:t>所供产品结构牢固，无安全隐患。</w:t>
            </w:r>
          </w:p>
          <w:p w14:paraId="187FAD4D">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5、</w:t>
            </w:r>
            <w:r>
              <w:rPr>
                <w:highlight w:val="none"/>
              </w:rPr>
              <w:t>如有抽检要求的，检测结果符合招标文件供应商投标承诺及采购合同约定的要求。</w:t>
            </w:r>
          </w:p>
          <w:p w14:paraId="63863350">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6、</w:t>
            </w:r>
            <w:r>
              <w:rPr>
                <w:highlight w:val="none"/>
              </w:rPr>
              <w:t>所有产品均已运输至指定地点，并安装调试完毕。</w:t>
            </w:r>
          </w:p>
          <w:p w14:paraId="71ADA677">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7、</w:t>
            </w:r>
            <w:r>
              <w:rPr>
                <w:highlight w:val="none"/>
              </w:rPr>
              <w:t>招标文件供应商投标承诺及采购合同约定的附件、工具、技术资料等齐全；提供产品使用说明书、合格证。</w:t>
            </w:r>
          </w:p>
          <w:p w14:paraId="3A80D0E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8、</w:t>
            </w:r>
            <w:r>
              <w:rPr>
                <w:highlight w:val="none"/>
              </w:rPr>
              <w:t>家具安装后，采购人</w:t>
            </w:r>
            <w:r>
              <w:rPr>
                <w:rFonts w:hint="eastAsia"/>
                <w:highlight w:val="none"/>
                <w:lang w:val="en-US" w:eastAsia="zh-CN"/>
              </w:rPr>
              <w:t>可</w:t>
            </w:r>
            <w:r>
              <w:rPr>
                <w:highlight w:val="none"/>
              </w:rPr>
              <w:t>随机抽取两间宿舍，由有资质的检测机构对室内空气进行检测，室内空气中甲醛、苯等气体的浓度必须符合现行国家和行业的标准。如检测不合格，采购人保留对家具进行破坏性检测，由采购人在所提供的家具中随机抽取不少于3块基材，送到具备家具成品及其原辅材料检测能力并具有国家计量认证（CMA资质）的第三方检测机构进行检测，检验结果不合格的不予验收，并做</w:t>
            </w:r>
            <w:r>
              <w:rPr>
                <w:rFonts w:hint="eastAsia"/>
                <w:color w:val="auto"/>
                <w:highlight w:val="none"/>
                <w:lang w:val="en-US" w:eastAsia="zh-CN"/>
              </w:rPr>
              <w:t>整批货物</w:t>
            </w:r>
            <w:r>
              <w:rPr>
                <w:highlight w:val="none"/>
              </w:rPr>
              <w:t>退货处理，所有检测费用由成交供应商承担，由此产生的一切后果由成交供应商承担。</w:t>
            </w:r>
          </w:p>
          <w:p w14:paraId="560A9097">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9、</w:t>
            </w:r>
            <w:r>
              <w:rPr>
                <w:highlight w:val="none"/>
              </w:rPr>
              <w:t>采用随机抽取安装好的3套家具现场切割的方式验收。中标供应商的投标样品将作为货物验收参照标本，中标供应商所提供的货物与投标样品必须一致，否则将视为验收不合格。另外，验收时如中标供应商所提供的产品与其投标时所响应的参数不一致或出现其它可能影响产品质量的问题时，采购人有权交付委托第三方检验机构（取得计量认证具有CMA标识）</w:t>
            </w:r>
            <w:r>
              <w:rPr>
                <w:rFonts w:hint="eastAsia"/>
                <w:highlight w:val="none"/>
                <w:lang w:val="en-US" w:eastAsia="zh-CN"/>
              </w:rPr>
              <w:t>对整批已经安装好的成品货物</w:t>
            </w:r>
            <w:r>
              <w:rPr>
                <w:highlight w:val="none"/>
              </w:rPr>
              <w:t>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运费等全部费用由中标供应商承担。</w:t>
            </w:r>
          </w:p>
          <w:p w14:paraId="19A4C363">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10、</w:t>
            </w:r>
            <w:r>
              <w:rPr>
                <w:highlight w:val="none"/>
              </w:rPr>
              <w:t>验收不合格或不能按期履行合同的处理：中标供应商必须在合同指定时间内将货物运到安装地点并完成安装工作，否则中标供应商必须承担由此产生的一切后果。如中标供应商不能按约定时间交货，视为违约。</w:t>
            </w:r>
          </w:p>
          <w:p w14:paraId="36269E41">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11、</w:t>
            </w:r>
            <w:r>
              <w:rPr>
                <w:highlight w:val="none"/>
              </w:rPr>
              <w:t>货物或服务技术参数与投标文件中响应表或证明材料一致，性能或指标达到规定的标准，否则，以实际货物或服务技术参数与投标文件响应表或证明材料比较，按如下情况处理：（1）供应商投标文件响应表或证明材料中满足</w:t>
            </w:r>
            <w:r>
              <w:rPr>
                <w:rFonts w:hint="eastAsia"/>
                <w:highlight w:val="none"/>
                <w:lang w:val="en-US" w:eastAsia="zh-CN"/>
              </w:rPr>
              <w:t>或</w:t>
            </w:r>
            <w:r>
              <w:rPr>
                <w:highlight w:val="none"/>
              </w:rPr>
              <w:t>优于技术参数，在验收时实际不满足技术参数要求的，视为供货商虚假应标，采购人有权终止合同拒收货物，并追究供应商责任，同时报财政部门备案。（2）供应商投标文件响应表或证明材料中优于的技术参数，在验收时实际仅满足并未优于技术参数要求的，视为供货商虚假应标，采购人有权终止合同拒收货物，并追究供应商责任，同时报财政部门备案。（3）供应商投标文件响应表或证明材料中满足的技术参数，在验收时实际优于技术参数的要求，以满足技术参数的要求验收。（4）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262CDB5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 w:hAnsi="仿宋" w:eastAsia="仿宋" w:cs="仿宋"/>
                <w:sz w:val="24"/>
                <w:szCs w:val="24"/>
                <w:highlight w:val="none"/>
              </w:rPr>
            </w:pPr>
            <w:r>
              <w:rPr>
                <w:rFonts w:ascii="Calibri" w:hAnsi="Calibri" w:eastAsia="宋体" w:cs="Arial"/>
                <w:kern w:val="2"/>
                <w:sz w:val="21"/>
                <w:szCs w:val="22"/>
                <w:highlight w:val="none"/>
                <w:lang w:val="en-US" w:eastAsia="zh-CN" w:bidi="ar-SA"/>
              </w:rPr>
              <w:t>12、</w:t>
            </w:r>
            <w:r>
              <w:rPr>
                <w:highlight w:val="none"/>
              </w:rPr>
              <w:t>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3B8A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912" w:type="dxa"/>
            <w:vAlign w:val="center"/>
          </w:tcPr>
          <w:p w14:paraId="5D281D1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559" w:type="dxa"/>
            <w:vAlign w:val="center"/>
          </w:tcPr>
          <w:p w14:paraId="68318B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检测报告</w:t>
            </w:r>
          </w:p>
        </w:tc>
        <w:tc>
          <w:tcPr>
            <w:tcW w:w="11656" w:type="dxa"/>
            <w:vAlign w:val="center"/>
          </w:tcPr>
          <w:p w14:paraId="249F57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highlight w:val="none"/>
              </w:rPr>
            </w:pPr>
            <w:r>
              <w:rPr>
                <w:rFonts w:ascii="Calibri" w:hAnsi="Calibri" w:eastAsia="宋体" w:cs="Arial"/>
                <w:kern w:val="2"/>
                <w:sz w:val="21"/>
                <w:szCs w:val="22"/>
                <w:highlight w:val="none"/>
                <w:lang w:val="en-US" w:eastAsia="zh-CN" w:bidi="ar-SA"/>
              </w:rPr>
              <w:t>1、</w:t>
            </w:r>
            <w:r>
              <w:rPr>
                <w:rFonts w:hint="eastAsia"/>
                <w:highlight w:val="none"/>
                <w:lang w:val="en-US" w:eastAsia="zh-CN"/>
              </w:rPr>
              <w:t>为了保证产品质量的稳定性，投标时上传具有检测资质的第三方检验机构出具的合格检测报告扫描件，</w:t>
            </w:r>
            <w:r>
              <w:rPr>
                <w:highlight w:val="none"/>
              </w:rPr>
              <w:t>供货前必须提供具有检测资质的第三方检验机构出具的合格检测报告备查，并加盖报价人公章（注：报价人需承诺检测报告中检测的材料在本次报价的产品中使用；检测的产品应与本次报价产品采用同样的材料和工艺生产）。</w:t>
            </w:r>
          </w:p>
          <w:p w14:paraId="387F6893">
            <w:pPr>
              <w:numPr>
                <w:ilvl w:val="0"/>
                <w:numId w:val="2"/>
              </w:numPr>
              <w:rPr>
                <w:highlight w:val="none"/>
              </w:rPr>
            </w:pPr>
            <w:r>
              <w:rPr>
                <w:highlight w:val="none"/>
              </w:rPr>
              <w:t>成品检测报告：1.1提供“</w:t>
            </w:r>
            <w:r>
              <w:rPr>
                <w:rFonts w:hint="eastAsia"/>
                <w:highlight w:val="none"/>
                <w:lang w:val="en-US" w:eastAsia="zh-CN"/>
              </w:rPr>
              <w:t>上下铺钢架床</w:t>
            </w:r>
            <w:r>
              <w:rPr>
                <w:highlight w:val="none"/>
              </w:rPr>
              <w:t>”符合技术参数及性能（配置）要求中的检测报告复印件。1.</w:t>
            </w:r>
            <w:r>
              <w:rPr>
                <w:rFonts w:hint="eastAsia"/>
                <w:highlight w:val="none"/>
                <w:lang w:val="en-US" w:eastAsia="zh-CN"/>
              </w:rPr>
              <w:t>2</w:t>
            </w:r>
            <w:r>
              <w:rPr>
                <w:highlight w:val="none"/>
              </w:rPr>
              <w:t>提供“钢木课桌”符合技术参数及性能（配置）要求中的检测报告复印件。</w:t>
            </w:r>
            <w:r>
              <w:rPr>
                <w:rStyle w:val="27"/>
                <w:rFonts w:hint="eastAsia" w:ascii="宋体" w:hAnsi="宋体" w:eastAsia="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GB／T 3325-2017《金属家具通用技术条件》</w:t>
            </w:r>
            <w:r>
              <w:rPr>
                <w:rStyle w:val="27"/>
                <w:rFonts w:hint="eastAsia" w:ascii="宋体" w:hAnsi="宋体" w:cs="宋体"/>
                <w:b w:val="0"/>
                <w:bCs/>
                <w:i w:val="0"/>
                <w:caps w:val="0"/>
                <w:color w:val="000000" w:themeColor="text1"/>
                <w:spacing w:val="0"/>
                <w:w w:val="100"/>
                <w:kern w:val="2"/>
                <w:sz w:val="21"/>
                <w:szCs w:val="21"/>
                <w:highlight w:val="none"/>
                <w:lang w:val="en-US" w:eastAsia="zh-CN" w:bidi="ar-SA"/>
                <w14:textFill>
                  <w14:solidFill>
                    <w14:schemeClr w14:val="tx1"/>
                  </w14:solidFill>
                </w14:textFill>
              </w:rPr>
              <w:t>检测报告、GB 18584-2001《室内装饰装修材料 木家具中有害物质限量》</w:t>
            </w:r>
          </w:p>
          <w:p w14:paraId="30AF1788">
            <w:pPr>
              <w:spacing w:line="340" w:lineRule="exact"/>
              <w:ind w:firstLine="420" w:firstLineChars="200"/>
              <w:rPr>
                <w:rFonts w:hint="eastAsia" w:ascii="仿宋" w:hAnsi="仿宋" w:eastAsia="仿宋" w:cs="仿宋"/>
                <w:sz w:val="24"/>
                <w:szCs w:val="24"/>
                <w:highlight w:val="none"/>
              </w:rPr>
            </w:pPr>
            <w:r>
              <w:rPr>
                <w:highlight w:val="none"/>
              </w:rPr>
              <w:t>2、说明：（1）供货前未能提供检测报告的，或检测内容不齐全的，视为违约。（2）检验报告的名称与要求不相同的，只要检测内容相同则视为相符；检测报告的送检单位为竞标人或生产厂家、原材料</w:t>
            </w:r>
            <w:r>
              <w:rPr>
                <w:rFonts w:hint="eastAsia"/>
                <w:highlight w:val="none"/>
                <w:lang w:val="en-US" w:eastAsia="zh-CN"/>
              </w:rPr>
              <w:t>商</w:t>
            </w:r>
            <w:r>
              <w:rPr>
                <w:rFonts w:hint="eastAsia"/>
                <w:highlight w:val="none"/>
                <w:lang w:eastAsia="zh-CN"/>
              </w:rPr>
              <w:t>（</w:t>
            </w:r>
            <w:r>
              <w:rPr>
                <w:highlight w:val="none"/>
              </w:rPr>
              <w:t>检测报告的送检单位为生产厂家</w:t>
            </w:r>
            <w:r>
              <w:rPr>
                <w:rFonts w:hint="eastAsia"/>
                <w:highlight w:val="none"/>
                <w:lang w:val="en-US" w:eastAsia="zh-CN"/>
              </w:rPr>
              <w:t>或</w:t>
            </w:r>
            <w:r>
              <w:rPr>
                <w:highlight w:val="none"/>
              </w:rPr>
              <w:t>原材料</w:t>
            </w:r>
            <w:r>
              <w:rPr>
                <w:rFonts w:hint="eastAsia"/>
                <w:highlight w:val="none"/>
                <w:lang w:val="en-US" w:eastAsia="zh-CN"/>
              </w:rPr>
              <w:t>商的话，要求提供授权使用书等材料</w:t>
            </w:r>
            <w:r>
              <w:rPr>
                <w:rFonts w:hint="eastAsia"/>
                <w:highlight w:val="none"/>
                <w:lang w:eastAsia="zh-CN"/>
              </w:rPr>
              <w:t>）</w:t>
            </w:r>
            <w:r>
              <w:rPr>
                <w:highlight w:val="none"/>
              </w:rPr>
              <w:t>。（</w:t>
            </w:r>
            <w:r>
              <w:rPr>
                <w:rFonts w:hint="eastAsia"/>
                <w:highlight w:val="none"/>
                <w:lang w:val="en-US" w:eastAsia="zh-CN"/>
              </w:rPr>
              <w:t>3</w:t>
            </w:r>
            <w:r>
              <w:rPr>
                <w:highlight w:val="none"/>
              </w:rPr>
              <w:t>）检测报告可以是一份或多份。</w:t>
            </w:r>
          </w:p>
        </w:tc>
      </w:tr>
      <w:tr w14:paraId="00892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912" w:type="dxa"/>
            <w:vAlign w:val="center"/>
          </w:tcPr>
          <w:p w14:paraId="2B85655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559" w:type="dxa"/>
            <w:vAlign w:val="center"/>
          </w:tcPr>
          <w:p w14:paraId="039B47D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履约保证金收取及退付</w:t>
            </w:r>
          </w:p>
        </w:tc>
        <w:tc>
          <w:tcPr>
            <w:tcW w:w="11656" w:type="dxa"/>
            <w:vAlign w:val="center"/>
          </w:tcPr>
          <w:p w14:paraId="290ABA6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highlight w:val="none"/>
              </w:rPr>
            </w:pPr>
            <w:r>
              <w:rPr>
                <w:rFonts w:ascii="Calibri" w:hAnsi="Calibri" w:eastAsia="宋体" w:cs="Arial"/>
                <w:kern w:val="2"/>
                <w:sz w:val="21"/>
                <w:szCs w:val="22"/>
                <w:highlight w:val="none"/>
                <w:lang w:val="en-US" w:eastAsia="zh-CN" w:bidi="ar-SA"/>
              </w:rPr>
              <w:t>1、</w:t>
            </w:r>
            <w:r>
              <w:rPr>
                <w:highlight w:val="none"/>
              </w:rPr>
              <w:t>履约保证金金额：中标人为中小微企业的，履约保证金为合同金额的2%，大型企业的履约保证金为合同金额的5%（以响应文件中提交的中小企业声明函为依据）；签订合同前交至指定账户，否则不予签订合同（履约保证金缴纳时须备注项目名称+项目编号。）</w:t>
            </w:r>
          </w:p>
          <w:p w14:paraId="7349401C">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2、</w:t>
            </w:r>
            <w:r>
              <w:rPr>
                <w:highlight w:val="none"/>
              </w:rPr>
              <w:t>履约保证金递交方式：银行转账、电汇或者银行出具的保函等非现金方式。由中标人在签订合同前按规定的金额直接缴入以下采购人账户。凭履约保证金缴纳凭证签订合同。</w:t>
            </w:r>
          </w:p>
          <w:p w14:paraId="3CC102C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统一社会信用代码：</w:t>
            </w:r>
          </w:p>
          <w:p w14:paraId="34432DD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户名：广西中医药大学</w:t>
            </w:r>
          </w:p>
          <w:p w14:paraId="2E88F81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开户行：中国银行股份有限公司南宁市明秀东支行</w:t>
            </w:r>
          </w:p>
          <w:p w14:paraId="0BA321B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账号：621057498215</w:t>
            </w:r>
          </w:p>
          <w:p w14:paraId="15AEE33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地址：南宁市五合大道13号</w:t>
            </w:r>
          </w:p>
          <w:p w14:paraId="1E32B02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电话：0771-4953625</w:t>
            </w:r>
          </w:p>
          <w:p w14:paraId="0360CF3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highlight w:val="none"/>
              </w:rPr>
            </w:pPr>
            <w:r>
              <w:rPr>
                <w:highlight w:val="none"/>
              </w:rPr>
              <w:t>缴纳履约保证金注明：“项目名称+项目编号”履约保证金。</w:t>
            </w:r>
          </w:p>
          <w:p w14:paraId="10D66D52">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ascii="Calibri" w:hAnsi="Calibri" w:eastAsia="宋体" w:cs="Arial"/>
                <w:kern w:val="2"/>
                <w:sz w:val="21"/>
                <w:szCs w:val="22"/>
                <w:highlight w:val="none"/>
                <w:lang w:val="en-US" w:eastAsia="zh-CN" w:bidi="ar-SA"/>
              </w:rPr>
              <w:t>3、</w:t>
            </w:r>
            <w:r>
              <w:rPr>
                <w:highlight w:val="none"/>
              </w:rPr>
              <w:t>履约保证金退付方式、时间及条件：中标人若不能完全履行合同，履约保证金不返还；中标人若完全履行合同，货物验收合格后，由成交供应商向采购人提供《广西壮族自治区政府采购项目合同验收书》。中标人凭履约保证金缴款凭证、《项目履约保证金退付意见书》到采购人财务部门办理无息退还手续。</w:t>
            </w:r>
          </w:p>
          <w:p w14:paraId="54E7772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仿宋" w:hAnsi="仿宋" w:eastAsia="仿宋" w:cs="仿宋"/>
                <w:sz w:val="24"/>
                <w:szCs w:val="24"/>
                <w:highlight w:val="none"/>
              </w:rPr>
            </w:pPr>
            <w:r>
              <w:rPr>
                <w:highlight w:val="none"/>
              </w:rPr>
              <w:t>4、备注：（1）履约保证金不足额缴纳的，或银行出具的保函额度不足的或者银行保函有效期低于合同履行期限（即签订采购合同之日起至履行完合同约定的权利及义务之日止）的，不予签订合同。（2）采用银行出具的保函的，必须为无条件的银行保函，否则不予签订合同。</w:t>
            </w:r>
            <w:bookmarkStart w:id="0" w:name="_GoBack"/>
            <w:bookmarkEnd w:id="0"/>
          </w:p>
        </w:tc>
      </w:tr>
      <w:tr w14:paraId="556B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1912" w:type="dxa"/>
            <w:vAlign w:val="center"/>
          </w:tcPr>
          <w:p w14:paraId="7E75DF1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559" w:type="dxa"/>
            <w:vAlign w:val="center"/>
          </w:tcPr>
          <w:p w14:paraId="79871A0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小样要求</w:t>
            </w:r>
          </w:p>
        </w:tc>
        <w:tc>
          <w:tcPr>
            <w:tcW w:w="11656" w:type="dxa"/>
            <w:vAlign w:val="center"/>
          </w:tcPr>
          <w:p w14:paraId="404C4E49">
            <w:pPr>
              <w:spacing w:line="340" w:lineRule="exact"/>
              <w:ind w:firstLine="420" w:firstLineChars="200"/>
              <w:rPr>
                <w:rFonts w:hint="eastAsia" w:ascii="仿宋" w:hAnsi="仿宋" w:eastAsia="仿宋" w:cs="仿宋"/>
                <w:sz w:val="24"/>
                <w:szCs w:val="24"/>
                <w:highlight w:val="none"/>
              </w:rPr>
            </w:pPr>
            <w:r>
              <w:rPr>
                <w:highlight w:val="none"/>
              </w:rPr>
              <w:t>投标报价截止当日下午17:00点前，将小样送至广西南宁市青秀区五合大道13号广西中医药大学仙葫校区后勤楼509室供核验，逾期送达的将予以拒收（联系人：唐老师 15240660760）。未能按时提供上述小样或小样不符合技术参数及性能（配置）的，视为报价无效。成交供应商的小样将留存作为验收依据。</w:t>
            </w:r>
          </w:p>
        </w:tc>
      </w:tr>
      <w:tr w14:paraId="51AE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tcPr>
            <w:tcW w:w="1912" w:type="dxa"/>
            <w:vAlign w:val="center"/>
          </w:tcPr>
          <w:p w14:paraId="4D7BD94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559" w:type="dxa"/>
            <w:vAlign w:val="center"/>
          </w:tcPr>
          <w:p w14:paraId="2EA522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其它要求及说明</w:t>
            </w:r>
          </w:p>
        </w:tc>
        <w:tc>
          <w:tcPr>
            <w:tcW w:w="11656" w:type="dxa"/>
            <w:vAlign w:val="center"/>
          </w:tcPr>
          <w:p w14:paraId="1ADB09EB">
            <w:pPr>
              <w:numPr>
                <w:ilvl w:val="0"/>
                <w:numId w:val="0"/>
              </w:numPr>
              <w:rPr>
                <w:highlight w:val="none"/>
              </w:rPr>
            </w:pPr>
            <w:r>
              <w:rPr>
                <w:rFonts w:ascii="Calibri" w:hAnsi="Calibri" w:eastAsia="宋体" w:cs="Arial"/>
                <w:kern w:val="2"/>
                <w:sz w:val="21"/>
                <w:szCs w:val="22"/>
                <w:highlight w:val="none"/>
                <w:lang w:val="en-US" w:eastAsia="zh-CN" w:bidi="ar-SA"/>
              </w:rPr>
              <w:t>1、</w:t>
            </w:r>
            <w:r>
              <w:rPr>
                <w:highlight w:val="none"/>
              </w:rPr>
              <w:t>投标人请务必认真了解项目采购需求和要求（本项目供应商不得以任何理由更改设备配置，配置必须是原厂出厂标配，否则报价将无效），为确保采购人的合法权益，投标人不是生产厂家的在投标报价时需针对本次项目采购的产品出具生产厂家产品销售授权书，并按要求上传加盖供应商公章的相关材料，否则报价无效。</w:t>
            </w:r>
          </w:p>
          <w:p w14:paraId="7BA7AF17">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2、</w:t>
            </w:r>
            <w:r>
              <w:rPr>
                <w:highlight w:val="none"/>
              </w:rPr>
              <w:t>成交供应商保证向采购人提供的货物是全新、完整、未使用过的。</w:t>
            </w:r>
          </w:p>
          <w:p w14:paraId="7603A893">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3、</w:t>
            </w:r>
            <w:r>
              <w:rPr>
                <w:highlight w:val="none"/>
              </w:rPr>
              <w:t>本项目不接受进口产品（即通过中国海关报关验放进入中国境内且产自关境外的产品）参与竞标。</w:t>
            </w:r>
          </w:p>
          <w:p w14:paraId="02E7531C">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4、</w:t>
            </w:r>
            <w:r>
              <w:rPr>
                <w:highlight w:val="none"/>
              </w:rPr>
              <w:t>在中标公示期内，成交供应商须向采购方提供符合技术参数及性能配置要求中所有相应的检测报告</w:t>
            </w:r>
            <w:r>
              <w:rPr>
                <w:rFonts w:hint="eastAsia"/>
                <w:highlight w:val="none"/>
                <w:lang w:val="en-US" w:eastAsia="zh-CN"/>
              </w:rPr>
              <w:t>复印件</w:t>
            </w:r>
            <w:r>
              <w:rPr>
                <w:highlight w:val="none"/>
              </w:rPr>
              <w:t>，如不提供或提供不相符，视为不能履约，采购单位将上报政府采购主管部门按有关规定进行处理。</w:t>
            </w:r>
          </w:p>
          <w:p w14:paraId="12AA6F2E">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5、</w:t>
            </w:r>
            <w:r>
              <w:rPr>
                <w:highlight w:val="none"/>
              </w:rPr>
              <w:t>成交供应商在制作前应联系使用部门确定货品的尺寸、型号、款式及颜色等。</w:t>
            </w:r>
          </w:p>
          <w:p w14:paraId="545D60C2">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6、</w:t>
            </w:r>
            <w:r>
              <w:rPr>
                <w:highlight w:val="none"/>
              </w:rPr>
              <w:t>常用的、容易损坏的配件（三合一连接件、导轨、铰链、自攻螺钉等）的优惠价格清单须在响应文件中列出。</w:t>
            </w:r>
          </w:p>
          <w:p w14:paraId="78616930">
            <w:pPr>
              <w:numPr>
                <w:ilvl w:val="0"/>
                <w:numId w:val="0"/>
              </w:numPr>
              <w:ind w:left="0" w:leftChars="0" w:firstLine="0" w:firstLineChars="0"/>
              <w:rPr>
                <w:highlight w:val="none"/>
              </w:rPr>
            </w:pPr>
            <w:r>
              <w:rPr>
                <w:rFonts w:ascii="Calibri" w:hAnsi="Calibri" w:eastAsia="宋体" w:cs="Arial"/>
                <w:kern w:val="2"/>
                <w:sz w:val="21"/>
                <w:szCs w:val="22"/>
                <w:highlight w:val="none"/>
                <w:lang w:val="en-US" w:eastAsia="zh-CN" w:bidi="ar-SA"/>
              </w:rPr>
              <w:t>7、</w:t>
            </w:r>
            <w:r>
              <w:rPr>
                <w:highlight w:val="none"/>
              </w:rPr>
              <w:t>采购数量是拟定数量，增加或减少以实际采购数量为准，并以成交单价为标准进行最终核算</w:t>
            </w:r>
            <w:r>
              <w:rPr>
                <w:rFonts w:hint="eastAsia"/>
                <w:highlight w:val="none"/>
                <w:lang w:eastAsia="zh-CN"/>
              </w:rPr>
              <w:t>。</w:t>
            </w:r>
          </w:p>
          <w:p w14:paraId="502803C0">
            <w:pPr>
              <w:numPr>
                <w:ilvl w:val="0"/>
                <w:numId w:val="0"/>
              </w:numPr>
              <w:ind w:leftChars="0"/>
              <w:rPr>
                <w:highlight w:val="none"/>
              </w:rPr>
            </w:pPr>
            <w:r>
              <w:rPr>
                <w:highlight w:val="none"/>
              </w:rPr>
              <w:t>8、报价时必须提供：（1）设计方案。方案中要有整套</w:t>
            </w:r>
            <w:r>
              <w:rPr>
                <w:rFonts w:hint="eastAsia"/>
                <w:highlight w:val="none"/>
                <w:lang w:val="en-US" w:eastAsia="zh-CN"/>
              </w:rPr>
              <w:t>上下</w:t>
            </w:r>
            <w:r>
              <w:rPr>
                <w:highlight w:val="none"/>
              </w:rPr>
              <w:t>床设计结构图纸、产品部件图片及规格尺寸、产品使用功能描述等内容。（2）售后服务方案。方案中要有响应故障处理要求后到达现场修理解决的时长承诺，售后服务团队介绍、定期维护方案（应列明维护时间、人员、材料等安排，维护标准等）、质保期、三包（包退、包换、包修）承诺；（3）请于在线询价结束当日下午17:00点前，将小样送至广西南宁市青秀区五合大道13号广西中医药大学仙葫校区后勤楼509室供核验，逾期送达的将予以拒收（联系人：唐老师 15240660760）。未能按时提供上述小样或小样不符合技术参数及性能（配置）的，视为报价无效。</w:t>
            </w:r>
          </w:p>
          <w:p w14:paraId="61E97B4B">
            <w:pPr>
              <w:spacing w:line="340" w:lineRule="exact"/>
              <w:ind w:firstLine="420" w:firstLineChars="200"/>
              <w:rPr>
                <w:rFonts w:hint="eastAsia" w:ascii="仿宋" w:hAnsi="仿宋" w:eastAsia="仿宋" w:cs="仿宋"/>
                <w:sz w:val="24"/>
                <w:szCs w:val="24"/>
                <w:highlight w:val="none"/>
              </w:rPr>
            </w:pPr>
            <w:r>
              <w:rPr>
                <w:highlight w:val="none"/>
              </w:rPr>
              <w:t>10、供应商在报价活动中提供任何虚假材料，其报价无效，并报监管部门查处；成交后发现的，成交供应商须按照《中华人民共和国消费者权益保护法》相关规定赔偿采购人，且民事赔偿并不免除违法报价人的行政与刑事责任。</w:t>
            </w:r>
          </w:p>
        </w:tc>
      </w:tr>
    </w:tbl>
    <w:p w14:paraId="302DD2C2">
      <w:pPr>
        <w:rPr>
          <w:highlight w:val="none"/>
        </w:rPr>
      </w:pPr>
    </w:p>
    <w:sectPr>
      <w:footerReference r:id="rId3" w:type="default"/>
      <w:pgSz w:w="16838" w:h="11906" w:orient="landscape"/>
      <w:pgMar w:top="850" w:right="680" w:bottom="68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1C85">
    <w:pPr>
      <w:pStyle w:val="7"/>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p w14:paraId="7CB173F7">
    <w:pPr>
      <w:pStyle w:val="7"/>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457A"/>
    <w:multiLevelType w:val="singleLevel"/>
    <w:tmpl w:val="84E0457A"/>
    <w:lvl w:ilvl="0" w:tentative="0">
      <w:start w:val="1"/>
      <w:numFmt w:val="decimal"/>
      <w:suff w:val="nothing"/>
      <w:lvlText w:val="（%1）"/>
      <w:lvlJc w:val="left"/>
      <w:pPr>
        <w:ind w:left="210"/>
      </w:pPr>
    </w:lvl>
  </w:abstractNum>
  <w:abstractNum w:abstractNumId="1">
    <w:nsid w:val="02E05F60"/>
    <w:multiLevelType w:val="singleLevel"/>
    <w:tmpl w:val="02E05F6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0094"/>
    <w:rsid w:val="01690B62"/>
    <w:rsid w:val="01A200F0"/>
    <w:rsid w:val="022B3A95"/>
    <w:rsid w:val="03A37560"/>
    <w:rsid w:val="046B3792"/>
    <w:rsid w:val="052F2A11"/>
    <w:rsid w:val="05BC1DCB"/>
    <w:rsid w:val="05DE4D34"/>
    <w:rsid w:val="068B677B"/>
    <w:rsid w:val="06933875"/>
    <w:rsid w:val="082F2E37"/>
    <w:rsid w:val="0845254C"/>
    <w:rsid w:val="085877FA"/>
    <w:rsid w:val="093A7BD7"/>
    <w:rsid w:val="096E162E"/>
    <w:rsid w:val="0A947D50"/>
    <w:rsid w:val="0B7F426C"/>
    <w:rsid w:val="0D493385"/>
    <w:rsid w:val="0DBE0DD6"/>
    <w:rsid w:val="0EEC0407"/>
    <w:rsid w:val="0FA77648"/>
    <w:rsid w:val="1115264F"/>
    <w:rsid w:val="12AF5192"/>
    <w:rsid w:val="12D2386F"/>
    <w:rsid w:val="137457DA"/>
    <w:rsid w:val="13A44272"/>
    <w:rsid w:val="152D239E"/>
    <w:rsid w:val="159348F7"/>
    <w:rsid w:val="169D1199"/>
    <w:rsid w:val="189D0248"/>
    <w:rsid w:val="18B9619D"/>
    <w:rsid w:val="18BD6589"/>
    <w:rsid w:val="192166BD"/>
    <w:rsid w:val="1A3A75E5"/>
    <w:rsid w:val="1A5C6152"/>
    <w:rsid w:val="1AD11A1D"/>
    <w:rsid w:val="1BA84185"/>
    <w:rsid w:val="1D4209B0"/>
    <w:rsid w:val="1F7F5EEC"/>
    <w:rsid w:val="1FA66F8E"/>
    <w:rsid w:val="201E3957"/>
    <w:rsid w:val="220A5F40"/>
    <w:rsid w:val="22C75BE0"/>
    <w:rsid w:val="243454F7"/>
    <w:rsid w:val="246468EF"/>
    <w:rsid w:val="25AE178C"/>
    <w:rsid w:val="269E759F"/>
    <w:rsid w:val="272B19B3"/>
    <w:rsid w:val="279E1BCD"/>
    <w:rsid w:val="28100696"/>
    <w:rsid w:val="281573ED"/>
    <w:rsid w:val="2B8C79C6"/>
    <w:rsid w:val="2BC339FC"/>
    <w:rsid w:val="2C163ABA"/>
    <w:rsid w:val="2C2E1B2B"/>
    <w:rsid w:val="2CA248AA"/>
    <w:rsid w:val="2CFF2E66"/>
    <w:rsid w:val="2D572256"/>
    <w:rsid w:val="2DC07DFB"/>
    <w:rsid w:val="2EB31349"/>
    <w:rsid w:val="2F7B2918"/>
    <w:rsid w:val="30490BD0"/>
    <w:rsid w:val="3078676B"/>
    <w:rsid w:val="30E3452C"/>
    <w:rsid w:val="316D72BF"/>
    <w:rsid w:val="318A49E7"/>
    <w:rsid w:val="31AC1E7E"/>
    <w:rsid w:val="340026B1"/>
    <w:rsid w:val="34D36666"/>
    <w:rsid w:val="34F70C27"/>
    <w:rsid w:val="35977A46"/>
    <w:rsid w:val="363650FE"/>
    <w:rsid w:val="37273F82"/>
    <w:rsid w:val="375E1BAE"/>
    <w:rsid w:val="37C91214"/>
    <w:rsid w:val="37D01397"/>
    <w:rsid w:val="37D746BF"/>
    <w:rsid w:val="387719FE"/>
    <w:rsid w:val="391C046E"/>
    <w:rsid w:val="396D6C11"/>
    <w:rsid w:val="3A156427"/>
    <w:rsid w:val="3A7769EA"/>
    <w:rsid w:val="3A8B46EE"/>
    <w:rsid w:val="3AAB598F"/>
    <w:rsid w:val="3B220A43"/>
    <w:rsid w:val="3B7E3526"/>
    <w:rsid w:val="3BA628E5"/>
    <w:rsid w:val="3C811B65"/>
    <w:rsid w:val="3C9B2663"/>
    <w:rsid w:val="3CC75C15"/>
    <w:rsid w:val="3D436353"/>
    <w:rsid w:val="3E587BDC"/>
    <w:rsid w:val="3E634F1F"/>
    <w:rsid w:val="3F000CE0"/>
    <w:rsid w:val="3F1F63D6"/>
    <w:rsid w:val="3FC63272"/>
    <w:rsid w:val="412B15D8"/>
    <w:rsid w:val="4131274A"/>
    <w:rsid w:val="420011C5"/>
    <w:rsid w:val="420C3CDA"/>
    <w:rsid w:val="43271C30"/>
    <w:rsid w:val="44225F56"/>
    <w:rsid w:val="45400E49"/>
    <w:rsid w:val="45AB081E"/>
    <w:rsid w:val="45DB35CC"/>
    <w:rsid w:val="46167A40"/>
    <w:rsid w:val="47F047FF"/>
    <w:rsid w:val="498E0795"/>
    <w:rsid w:val="4BE90D9B"/>
    <w:rsid w:val="4C2555A1"/>
    <w:rsid w:val="4C575977"/>
    <w:rsid w:val="4D8944FA"/>
    <w:rsid w:val="4DCA6281"/>
    <w:rsid w:val="4DCB3F26"/>
    <w:rsid w:val="509251CF"/>
    <w:rsid w:val="510A120A"/>
    <w:rsid w:val="51470A7D"/>
    <w:rsid w:val="52310586"/>
    <w:rsid w:val="52592449"/>
    <w:rsid w:val="527821A3"/>
    <w:rsid w:val="53BD1CB7"/>
    <w:rsid w:val="54447A47"/>
    <w:rsid w:val="5495703C"/>
    <w:rsid w:val="54CB3821"/>
    <w:rsid w:val="555D226B"/>
    <w:rsid w:val="56D62286"/>
    <w:rsid w:val="575612E0"/>
    <w:rsid w:val="57F5778F"/>
    <w:rsid w:val="58323FB4"/>
    <w:rsid w:val="58327464"/>
    <w:rsid w:val="5B865931"/>
    <w:rsid w:val="5C746AD2"/>
    <w:rsid w:val="5F023D65"/>
    <w:rsid w:val="5F33784A"/>
    <w:rsid w:val="602A0F80"/>
    <w:rsid w:val="60455DBA"/>
    <w:rsid w:val="60B82A30"/>
    <w:rsid w:val="62FA50E3"/>
    <w:rsid w:val="647852CA"/>
    <w:rsid w:val="65F653FA"/>
    <w:rsid w:val="66D1263E"/>
    <w:rsid w:val="66FD4A00"/>
    <w:rsid w:val="672917F8"/>
    <w:rsid w:val="675114E9"/>
    <w:rsid w:val="67594AE6"/>
    <w:rsid w:val="69140A20"/>
    <w:rsid w:val="69B61AD7"/>
    <w:rsid w:val="6A9F256B"/>
    <w:rsid w:val="6AC33838"/>
    <w:rsid w:val="6B874B2B"/>
    <w:rsid w:val="6B9D3F2B"/>
    <w:rsid w:val="6C523D39"/>
    <w:rsid w:val="6C7954BC"/>
    <w:rsid w:val="6DFFBA6E"/>
    <w:rsid w:val="6E0F6687"/>
    <w:rsid w:val="6E272FA3"/>
    <w:rsid w:val="6E8FBD88"/>
    <w:rsid w:val="70F93618"/>
    <w:rsid w:val="71FC043D"/>
    <w:rsid w:val="71FF3215"/>
    <w:rsid w:val="730168AF"/>
    <w:rsid w:val="731B00BA"/>
    <w:rsid w:val="739FC602"/>
    <w:rsid w:val="73AA3099"/>
    <w:rsid w:val="767E0CEE"/>
    <w:rsid w:val="77A71100"/>
    <w:rsid w:val="77BC6EA4"/>
    <w:rsid w:val="78C647CA"/>
    <w:rsid w:val="79DF2984"/>
    <w:rsid w:val="7ADB5881"/>
    <w:rsid w:val="7B2014A6"/>
    <w:rsid w:val="7B226FCC"/>
    <w:rsid w:val="7B822AE6"/>
    <w:rsid w:val="7C3F021B"/>
    <w:rsid w:val="7C647170"/>
    <w:rsid w:val="7C8C613E"/>
    <w:rsid w:val="7CAC3D05"/>
    <w:rsid w:val="7D08162E"/>
    <w:rsid w:val="7DC71FDC"/>
    <w:rsid w:val="7DF94C66"/>
    <w:rsid w:val="7E9006F1"/>
    <w:rsid w:val="7FFFAB8C"/>
    <w:rsid w:val="BBFF3D65"/>
    <w:rsid w:val="BFAFB34F"/>
    <w:rsid w:val="F49B7AD2"/>
    <w:rsid w:val="FFFDD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22"/>
    <w:qFormat/>
    <w:uiPriority w:val="99"/>
    <w:pPr>
      <w:jc w:val="left"/>
    </w:pPr>
  </w:style>
  <w:style w:type="paragraph" w:styleId="5">
    <w:name w:val="Body Text"/>
    <w:basedOn w:val="1"/>
    <w:next w:val="1"/>
    <w:link w:val="19"/>
    <w:qFormat/>
    <w:uiPriority w:val="1"/>
    <w:pPr>
      <w:autoSpaceDE w:val="0"/>
      <w:autoSpaceDN w:val="0"/>
      <w:jc w:val="left"/>
    </w:pPr>
    <w:rPr>
      <w:rFonts w:ascii="宋体" w:hAnsi="宋体" w:cs="Times New Roman"/>
      <w:kern w:val="0"/>
      <w:sz w:val="20"/>
      <w:szCs w:val="24"/>
    </w:rPr>
  </w:style>
  <w:style w:type="paragraph" w:styleId="6">
    <w:name w:val="Balloon Text"/>
    <w:basedOn w:val="1"/>
    <w:link w:val="18"/>
    <w:qFormat/>
    <w:uiPriority w:val="99"/>
    <w:rPr>
      <w:sz w:val="18"/>
      <w:szCs w:val="18"/>
    </w:rPr>
  </w:style>
  <w:style w:type="paragraph" w:styleId="7">
    <w:name w:val="footer"/>
    <w:basedOn w:val="1"/>
    <w:link w:val="20"/>
    <w:qFormat/>
    <w:uiPriority w:val="99"/>
    <w:pPr>
      <w:tabs>
        <w:tab w:val="center" w:pos="4153"/>
        <w:tab w:val="right" w:pos="8306"/>
      </w:tabs>
      <w:jc w:val="left"/>
    </w:pPr>
    <w:rPr>
      <w:sz w:val="18"/>
      <w:szCs w:val="18"/>
    </w:rPr>
  </w:style>
  <w:style w:type="paragraph" w:styleId="8">
    <w:name w:val="header"/>
    <w:basedOn w:val="1"/>
    <w:link w:val="24"/>
    <w:qFormat/>
    <w:uiPriority w:val="99"/>
    <w:pPr>
      <w:pBdr>
        <w:bottom w:val="single" w:color="000000" w:sz="6" w:space="1"/>
      </w:pBdr>
      <w:tabs>
        <w:tab w:val="center" w:pos="4153"/>
        <w:tab w:val="right" w:pos="8306"/>
      </w:tabs>
      <w:jc w:val="center"/>
    </w:pPr>
    <w:rPr>
      <w:sz w:val="18"/>
      <w:szCs w:val="18"/>
    </w:rPr>
  </w:style>
  <w:style w:type="paragraph" w:styleId="9">
    <w:name w:val="toc 1"/>
    <w:basedOn w:val="1"/>
    <w:next w:val="1"/>
    <w:qFormat/>
    <w:uiPriority w:val="0"/>
    <w:pPr>
      <w:spacing w:line="360" w:lineRule="auto"/>
    </w:pPr>
    <w:rPr>
      <w:rFonts w:ascii="Times New Roman" w:hAnsi="Times New Roman" w:eastAsia="宋体"/>
      <w:b/>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1"/>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link w:val="1"/>
    <w:qFormat/>
    <w:uiPriority w:val="99"/>
    <w:rPr>
      <w:sz w:val="21"/>
      <w:szCs w:val="21"/>
    </w:rPr>
  </w:style>
  <w:style w:type="paragraph" w:customStyle="1" w:styleId="17">
    <w:name w:val="列出段落"/>
    <w:basedOn w:val="1"/>
    <w:qFormat/>
    <w:uiPriority w:val="34"/>
    <w:pPr>
      <w:ind w:firstLine="420" w:firstLineChars="200"/>
    </w:pPr>
    <w:rPr>
      <w:rFonts w:ascii="Times New Roman" w:hAnsi="Times New Roman" w:cs="Times New Roman"/>
      <w:szCs w:val="24"/>
    </w:rPr>
  </w:style>
  <w:style w:type="character" w:customStyle="1" w:styleId="18">
    <w:name w:val="批注框文本 Char"/>
    <w:link w:val="6"/>
    <w:qFormat/>
    <w:uiPriority w:val="99"/>
    <w:rPr>
      <w:sz w:val="18"/>
      <w:szCs w:val="18"/>
    </w:rPr>
  </w:style>
  <w:style w:type="character" w:customStyle="1" w:styleId="19">
    <w:name w:val="正文文本 Char"/>
    <w:link w:val="5"/>
    <w:qFormat/>
    <w:uiPriority w:val="99"/>
    <w:rPr>
      <w:rFonts w:ascii="宋体" w:hAnsi="宋体" w:eastAsia="宋体" w:cs="Times New Roman"/>
      <w:kern w:val="0"/>
      <w:sz w:val="20"/>
      <w:szCs w:val="24"/>
    </w:rPr>
  </w:style>
  <w:style w:type="character" w:customStyle="1" w:styleId="20">
    <w:name w:val="页脚 Char"/>
    <w:link w:val="7"/>
    <w:qFormat/>
    <w:uiPriority w:val="99"/>
    <w:rPr>
      <w:sz w:val="18"/>
      <w:szCs w:val="18"/>
    </w:rPr>
  </w:style>
  <w:style w:type="character" w:customStyle="1" w:styleId="21">
    <w:name w:val="批注主题 Char"/>
    <w:link w:val="11"/>
    <w:qFormat/>
    <w:uiPriority w:val="99"/>
    <w:rPr>
      <w:b/>
      <w:bCs/>
    </w:rPr>
  </w:style>
  <w:style w:type="character" w:customStyle="1" w:styleId="22">
    <w:name w:val="批注文字 Char"/>
    <w:link w:val="4"/>
    <w:qFormat/>
    <w:uiPriority w:val="99"/>
  </w:style>
  <w:style w:type="paragraph" w:customStyle="1" w:styleId="23">
    <w:name w:val="Table Text"/>
    <w:basedOn w:val="1"/>
    <w:semiHidden/>
    <w:qFormat/>
    <w:uiPriority w:val="0"/>
    <w:rPr>
      <w:rFonts w:ascii="宋体" w:hAnsi="宋体" w:eastAsia="宋体" w:cs="宋体"/>
      <w:sz w:val="20"/>
      <w:szCs w:val="20"/>
    </w:rPr>
  </w:style>
  <w:style w:type="character" w:customStyle="1" w:styleId="24">
    <w:name w:val="页眉 Char"/>
    <w:link w:val="8"/>
    <w:qFormat/>
    <w:uiPriority w:val="99"/>
    <w:rPr>
      <w:sz w:val="18"/>
      <w:szCs w:val="18"/>
    </w:rPr>
  </w:style>
  <w:style w:type="table" w:customStyle="1" w:styleId="25">
    <w:name w:val="Table Normal"/>
    <w:unhideWhenUsed/>
    <w:qFormat/>
    <w:uiPriority w:val="0"/>
    <w:rPr>
      <w:lang w:val="en-US" w:eastAsia="zh-CN" w:bidi="ar-SA"/>
    </w:rPr>
  </w:style>
  <w:style w:type="character" w:customStyle="1" w:styleId="26">
    <w:name w:val="font21"/>
    <w:link w:val="1"/>
    <w:qFormat/>
    <w:uiPriority w:val="0"/>
    <w:rPr>
      <w:rFonts w:hint="eastAsia" w:ascii="宋体" w:hAnsi="宋体" w:eastAsia="宋体" w:cs="宋体"/>
      <w:color w:val="FF0000"/>
      <w:sz w:val="22"/>
      <w:szCs w:val="22"/>
      <w:u w:val="none"/>
    </w:rPr>
  </w:style>
  <w:style w:type="character" w:customStyle="1" w:styleId="27">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7456</Words>
  <Characters>7943</Characters>
  <TotalTime>11</TotalTime>
  <ScaleCrop>false</ScaleCrop>
  <LinksUpToDate>false</LinksUpToDate>
  <CharactersWithSpaces>7982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2025-05-29T19:23:00Z</dcterms:created>
  <dc:creator>Administrator</dc:creator>
  <cp:lastModifiedBy>gxcc</cp:lastModifiedBy>
  <cp:lastPrinted>2025-07-06T17:14:00Z</cp:lastPrinted>
  <dcterms:modified xsi:type="dcterms:W3CDTF">2026-07-21T10:12:59Z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9DB91AA97042434684C8D1242DE7B35E_13</vt:lpwstr>
  </property>
  <property fmtid="{D5CDD505-2E9C-101B-9397-08002B2CF9AE}" pid="4" name="KSOTemplateDocerSaveRecord">
    <vt:lpwstr>eyJoZGlkIjoiYWQ1ZGI4YTIxYjQ5YmY0ZjI1Y2EyZWJmOTAyYzJlMTgiLCJ1c2VySWQiOiIzODgyODQ1MzAifQ==</vt:lpwstr>
  </property>
</Properties>
</file>