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F0515">
      <w:pPr>
        <w:spacing w:line="380" w:lineRule="exact"/>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微软软件正版化授权及管理平台</w:t>
      </w:r>
      <w:r>
        <w:rPr>
          <w:rFonts w:hint="eastAsia" w:cs="仿宋_GB2312" w:asciiTheme="minorEastAsia" w:hAnsiTheme="minorEastAsia" w:eastAsiaTheme="minorEastAsia"/>
          <w:b/>
          <w:color w:val="000000" w:themeColor="text1"/>
          <w:sz w:val="32"/>
          <w:szCs w:val="32"/>
          <w14:textFill>
            <w14:solidFill>
              <w14:schemeClr w14:val="tx1"/>
            </w14:solidFill>
          </w14:textFill>
        </w:rPr>
        <w:t>反向竞价采购文件</w:t>
      </w:r>
    </w:p>
    <w:p w14:paraId="5F438349">
      <w:pPr>
        <w:spacing w:line="380" w:lineRule="exact"/>
        <w:jc w:val="left"/>
        <w:rPr>
          <w:rFonts w:cs="仿宋_GB2312" w:asciiTheme="minorEastAsia" w:hAnsiTheme="minorEastAsia" w:eastAsiaTheme="minorEastAsia"/>
          <w:color w:val="000000" w:themeColor="text1"/>
          <w:sz w:val="24"/>
          <w14:textFill>
            <w14:solidFill>
              <w14:schemeClr w14:val="tx1"/>
            </w14:solidFill>
          </w14:textFill>
        </w:rPr>
      </w:pPr>
    </w:p>
    <w:p w14:paraId="7B699ABE">
      <w:pPr>
        <w:spacing w:line="380" w:lineRule="exact"/>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一、预算情况：2</w:t>
      </w:r>
      <w:r>
        <w:rPr>
          <w:rFonts w:cs="仿宋_GB2312" w:asciiTheme="minorEastAsia" w:hAnsiTheme="minorEastAsia" w:eastAsiaTheme="minorEastAsia"/>
          <w:color w:val="000000" w:themeColor="text1"/>
          <w:sz w:val="24"/>
          <w14:textFill>
            <w14:solidFill>
              <w14:schemeClr w14:val="tx1"/>
            </w14:solidFill>
          </w14:textFill>
        </w:rPr>
        <w:t>5</w:t>
      </w:r>
      <w:r>
        <w:rPr>
          <w:rFonts w:hint="eastAsia" w:cs="仿宋_GB2312" w:asciiTheme="minorEastAsia" w:hAnsiTheme="minorEastAsia" w:eastAsiaTheme="minorEastAsia"/>
          <w:color w:val="000000" w:themeColor="text1"/>
          <w:sz w:val="24"/>
          <w14:textFill>
            <w14:solidFill>
              <w14:schemeClr w14:val="tx1"/>
            </w14:solidFill>
          </w14:textFill>
        </w:rPr>
        <w:t>万</w:t>
      </w:r>
    </w:p>
    <w:p w14:paraId="5331DBEB">
      <w:pPr>
        <w:pStyle w:val="2"/>
        <w:rPr>
          <w:rFonts w:asciiTheme="minorEastAsia" w:hAnsiTheme="minorEastAsia" w:eastAsiaTheme="minorEastAsia"/>
          <w:sz w:val="24"/>
        </w:rPr>
      </w:pPr>
      <w:r>
        <w:rPr>
          <w:rFonts w:hint="eastAsia" w:asciiTheme="minorEastAsia" w:hAnsiTheme="minorEastAsia" w:eastAsiaTheme="minorEastAsia"/>
          <w:sz w:val="24"/>
        </w:rPr>
        <w:t>二、需求情况：</w:t>
      </w:r>
      <w:bookmarkStart w:id="1" w:name="_GoBack"/>
      <w:bookmarkEnd w:id="1"/>
    </w:p>
    <w:p w14:paraId="063FD820">
      <w:pPr>
        <w:spacing w:line="380" w:lineRule="exact"/>
        <w:jc w:val="left"/>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说明：</w:t>
      </w:r>
    </w:p>
    <w:p w14:paraId="42952270">
      <w:pPr>
        <w:spacing w:line="380" w:lineRule="exact"/>
        <w:ind w:firstLine="424" w:firstLineChars="202"/>
        <w:jc w:val="left"/>
        <w:rPr>
          <w:rFonts w:ascii="宋体" w:hAnsi="宋体" w:cs="宋体"/>
          <w:color w:val="000000"/>
          <w:szCs w:val="21"/>
        </w:rPr>
      </w:pPr>
      <w:bookmarkStart w:id="0" w:name="_Hlk48036094"/>
      <w:r>
        <w:rPr>
          <w:rFonts w:hint="eastAsia" w:ascii="宋体" w:hAnsi="宋体" w:cs="宋体"/>
          <w:color w:val="000000"/>
          <w:szCs w:val="21"/>
        </w:rPr>
        <w:t>1. “实质性要求”是指采购需求中带“▲”的条款或者不能负偏离的条款或者已经指明不满足按响应文件按无效处理的条款。</w:t>
      </w:r>
      <w:r>
        <w:rPr>
          <w:rFonts w:hint="eastAsia" w:ascii="宋体" w:hAnsi="宋体" w:cs="宋体"/>
          <w:b/>
          <w:color w:val="000000"/>
          <w:szCs w:val="21"/>
          <w:u w:val="single"/>
        </w:rPr>
        <w:t>未标注“▲”号的项目条款或技术要求有负偏离（或未作响应）达1项（含）以上的竞标无效。</w:t>
      </w:r>
    </w:p>
    <w:p w14:paraId="0C8BE56C">
      <w:pPr>
        <w:spacing w:line="380" w:lineRule="exact"/>
        <w:ind w:firstLine="424" w:firstLineChars="202"/>
        <w:jc w:val="left"/>
        <w:rPr>
          <w:rFonts w:cs="仿宋_GB2312" w:asciiTheme="minorEastAsia" w:hAnsiTheme="minorEastAsia" w:eastAsiaTheme="minorEastAsia"/>
          <w:color w:val="000000" w:themeColor="text1"/>
          <w:szCs w:val="21"/>
          <w14:textFill>
            <w14:solidFill>
              <w14:schemeClr w14:val="tx1"/>
            </w14:solidFill>
          </w14:textFill>
        </w:rPr>
      </w:pPr>
      <w:r>
        <w:rPr>
          <w:rFonts w:cs="仿宋_GB2312" w:asciiTheme="minorEastAsia" w:hAnsiTheme="minorEastAsia" w:eastAsiaTheme="minorEastAsia"/>
          <w:color w:val="000000" w:themeColor="text1"/>
          <w:szCs w:val="21"/>
          <w14:textFill>
            <w14:solidFill>
              <w14:schemeClr w14:val="tx1"/>
            </w14:solidFill>
          </w14:textFill>
        </w:rPr>
        <w:t>2</w:t>
      </w:r>
      <w:r>
        <w:rPr>
          <w:rFonts w:hint="eastAsia" w:cs="仿宋_GB2312" w:asciiTheme="minorEastAsia" w:hAnsiTheme="minorEastAsia" w:eastAsiaTheme="minorEastAsia"/>
          <w:color w:val="000000" w:themeColor="text1"/>
          <w:szCs w:val="21"/>
          <w14:textFill>
            <w14:solidFill>
              <w14:schemeClr w14:val="tx1"/>
            </w14:solidFill>
          </w14:textFill>
        </w:rPr>
        <w:t>.供应商应根据自身实际情况如实响应谈判文件，不得仅将谈判文件内容简单复制粘贴作为竞标响应，还应当提供相关证明材料，否则将按无效响应处理（定制采购不适用本条款）。对于重要技术条款或技术参数应当在响应文件中提供技术支持资料，技术支持资料以谈判文件中规定的形式为准，否则将视为无效技术支持资料。</w:t>
      </w:r>
    </w:p>
    <w:p w14:paraId="64932ADF">
      <w:pPr>
        <w:spacing w:line="380" w:lineRule="exact"/>
        <w:ind w:firstLine="424" w:firstLineChars="202"/>
        <w:jc w:val="left"/>
        <w:rPr>
          <w:rFonts w:cs="仿宋_GB2312" w:asciiTheme="minorEastAsia" w:hAnsiTheme="minorEastAsia" w:eastAsiaTheme="minorEastAsia"/>
          <w:color w:val="000000" w:themeColor="text1"/>
          <w:szCs w:val="21"/>
          <w14:textFill>
            <w14:solidFill>
              <w14:schemeClr w14:val="tx1"/>
            </w14:solidFill>
          </w14:textFill>
        </w:rPr>
      </w:pPr>
      <w:r>
        <w:rPr>
          <w:rFonts w:cs="仿宋_GB2312" w:asciiTheme="minorEastAsia" w:hAnsiTheme="minorEastAsia" w:eastAsiaTheme="minorEastAsia"/>
          <w:color w:val="000000" w:themeColor="text1"/>
          <w:szCs w:val="21"/>
          <w14:textFill>
            <w14:solidFill>
              <w14:schemeClr w14:val="tx1"/>
            </w14:solidFill>
          </w14:textFill>
        </w:rPr>
        <w:t>3</w:t>
      </w:r>
      <w:r>
        <w:rPr>
          <w:rFonts w:hint="eastAsia" w:cs="仿宋_GB2312" w:asciiTheme="minorEastAsia" w:hAnsiTheme="minorEastAsia" w:eastAsiaTheme="minorEastAsia"/>
          <w:color w:val="000000" w:themeColor="text1"/>
          <w:szCs w:val="21"/>
          <w14:textFill>
            <w14:solidFill>
              <w14:schemeClr w14:val="tx1"/>
            </w14:solidFill>
          </w14:textFill>
        </w:rPr>
        <w:t>.供应商必须自行为其竞标产品侵犯他人的知识产权或者专利成果的行为承担相应法律责任。</w:t>
      </w:r>
    </w:p>
    <w:p w14:paraId="67D8960A">
      <w:pPr>
        <w:pStyle w:val="2"/>
        <w:rPr>
          <w:rFonts w:asciiTheme="minorEastAsia" w:hAnsiTheme="minorEastAsia" w:eastAsiaTheme="minorEastAsia"/>
        </w:rPr>
      </w:pPr>
    </w:p>
    <w:bookmarkEnd w:id="0"/>
    <w:tbl>
      <w:tblPr>
        <w:tblStyle w:val="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837"/>
        <w:gridCol w:w="902"/>
        <w:gridCol w:w="6079"/>
      </w:tblGrid>
      <w:tr w14:paraId="1C737E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2A3B74B2">
            <w:pPr>
              <w:spacing w:line="380" w:lineRule="exact"/>
              <w:rPr>
                <w:rFonts w:cs="仿宋_GB2312" w:asciiTheme="minorEastAsia" w:hAnsiTheme="minorEastAsia" w:eastAsiaTheme="minorEastAsia"/>
                <w:b/>
                <w:color w:val="000000" w:themeColor="text1"/>
                <w:szCs w:val="21"/>
                <w14:textFill>
                  <w14:solidFill>
                    <w14:schemeClr w14:val="tx1"/>
                  </w14:solidFill>
                </w14:textFill>
              </w:rPr>
            </w:pPr>
            <w:r>
              <w:rPr>
                <w:rFonts w:hint="eastAsia" w:cs="仿宋_GB2312" w:asciiTheme="minorEastAsia" w:hAnsiTheme="minorEastAsia" w:eastAsiaTheme="minorEastAsia"/>
                <w:b/>
                <w:color w:val="000000" w:themeColor="text1"/>
                <w:szCs w:val="21"/>
                <w14:textFill>
                  <w14:solidFill>
                    <w14:schemeClr w14:val="tx1"/>
                  </w14:solidFill>
                </w14:textFill>
              </w:rPr>
              <w:t>一、项目要求及技术需求</w:t>
            </w:r>
          </w:p>
        </w:tc>
      </w:tr>
      <w:tr w14:paraId="1D14B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3" w:type="pct"/>
            <w:tcBorders>
              <w:top w:val="single" w:color="auto" w:sz="4" w:space="0"/>
              <w:left w:val="single" w:color="auto" w:sz="4" w:space="0"/>
              <w:bottom w:val="single" w:color="auto" w:sz="4" w:space="0"/>
              <w:right w:val="single" w:color="auto" w:sz="4" w:space="0"/>
            </w:tcBorders>
            <w:vAlign w:val="center"/>
          </w:tcPr>
          <w:p w14:paraId="303123A3">
            <w:pPr>
              <w:spacing w:line="38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项号</w:t>
            </w:r>
          </w:p>
        </w:tc>
        <w:tc>
          <w:tcPr>
            <w:tcW w:w="491" w:type="pct"/>
            <w:tcBorders>
              <w:top w:val="single" w:color="auto" w:sz="4" w:space="0"/>
              <w:left w:val="single" w:color="auto" w:sz="4" w:space="0"/>
              <w:bottom w:val="single" w:color="auto" w:sz="4" w:space="0"/>
              <w:right w:val="single" w:color="auto" w:sz="4" w:space="0"/>
            </w:tcBorders>
            <w:vAlign w:val="center"/>
          </w:tcPr>
          <w:p w14:paraId="152D8C40">
            <w:pPr>
              <w:spacing w:line="38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名称</w:t>
            </w:r>
          </w:p>
        </w:tc>
        <w:tc>
          <w:tcPr>
            <w:tcW w:w="528" w:type="pct"/>
            <w:tcBorders>
              <w:top w:val="single" w:color="auto" w:sz="4" w:space="0"/>
              <w:left w:val="single" w:color="auto" w:sz="4" w:space="0"/>
              <w:bottom w:val="single" w:color="auto" w:sz="4" w:space="0"/>
              <w:right w:val="single" w:color="auto" w:sz="4" w:space="0"/>
            </w:tcBorders>
            <w:vAlign w:val="center"/>
          </w:tcPr>
          <w:p w14:paraId="3C2A10C3">
            <w:pPr>
              <w:spacing w:line="38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数量</w:t>
            </w:r>
          </w:p>
        </w:tc>
        <w:tc>
          <w:tcPr>
            <w:tcW w:w="3566" w:type="pct"/>
            <w:tcBorders>
              <w:top w:val="single" w:color="auto" w:sz="4" w:space="0"/>
              <w:left w:val="single" w:color="auto" w:sz="4" w:space="0"/>
              <w:bottom w:val="single" w:color="auto" w:sz="4" w:space="0"/>
              <w:right w:val="single" w:color="auto" w:sz="4" w:space="0"/>
            </w:tcBorders>
            <w:vAlign w:val="center"/>
          </w:tcPr>
          <w:p w14:paraId="41102A23">
            <w:pPr>
              <w:spacing w:line="380" w:lineRule="exact"/>
              <w:jc w:val="center"/>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项目需要及技术需求</w:t>
            </w:r>
          </w:p>
        </w:tc>
      </w:tr>
      <w:tr w14:paraId="6B312F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3" w:type="pct"/>
            <w:tcBorders>
              <w:top w:val="single" w:color="auto" w:sz="4" w:space="0"/>
              <w:left w:val="single" w:color="auto" w:sz="4" w:space="0"/>
              <w:bottom w:val="single" w:color="auto" w:sz="4" w:space="0"/>
              <w:right w:val="single" w:color="auto" w:sz="4" w:space="0"/>
            </w:tcBorders>
            <w:vAlign w:val="center"/>
          </w:tcPr>
          <w:p w14:paraId="5F3B0AFC">
            <w:pPr>
              <w:spacing w:line="38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1</w:t>
            </w:r>
          </w:p>
        </w:tc>
        <w:tc>
          <w:tcPr>
            <w:tcW w:w="491" w:type="pct"/>
            <w:tcBorders>
              <w:top w:val="single" w:color="auto" w:sz="4" w:space="0"/>
              <w:left w:val="single" w:color="auto" w:sz="4" w:space="0"/>
              <w:bottom w:val="single" w:color="auto" w:sz="4" w:space="0"/>
              <w:right w:val="single" w:color="auto" w:sz="4" w:space="0"/>
            </w:tcBorders>
            <w:vAlign w:val="center"/>
          </w:tcPr>
          <w:p w14:paraId="0C0549E2">
            <w:pPr>
              <w:spacing w:line="38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微软软件正版化授权及管理平台</w:t>
            </w:r>
          </w:p>
        </w:tc>
        <w:tc>
          <w:tcPr>
            <w:tcW w:w="528" w:type="pct"/>
            <w:tcBorders>
              <w:top w:val="single" w:color="auto" w:sz="4" w:space="0"/>
              <w:left w:val="single" w:color="auto" w:sz="4" w:space="0"/>
              <w:bottom w:val="single" w:color="auto" w:sz="4" w:space="0"/>
              <w:right w:val="single" w:color="auto" w:sz="4" w:space="0"/>
            </w:tcBorders>
            <w:vAlign w:val="center"/>
          </w:tcPr>
          <w:p w14:paraId="00B120EA">
            <w:pPr>
              <w:spacing w:line="380" w:lineRule="exact"/>
              <w:jc w:val="center"/>
              <w:rPr>
                <w:rFonts w:cs="仿宋_GB2312" w:asciiTheme="minorEastAsia" w:hAnsiTheme="minorEastAsia" w:eastAsiaTheme="minorEastAsia"/>
                <w:color w:val="000000" w:themeColor="text1"/>
                <w:kern w:val="0"/>
                <w:szCs w:val="21"/>
                <w14:textFill>
                  <w14:solidFill>
                    <w14:schemeClr w14:val="tx1"/>
                  </w14:solidFill>
                </w14:textFill>
              </w:rPr>
            </w:pPr>
            <w:r>
              <w:rPr>
                <w:rFonts w:hint="eastAsia" w:cs="仿宋_GB2312" w:asciiTheme="minorEastAsia" w:hAnsiTheme="minorEastAsia" w:eastAsiaTheme="minorEastAsia"/>
                <w:color w:val="000000" w:themeColor="text1"/>
                <w:kern w:val="0"/>
                <w:szCs w:val="21"/>
                <w14:textFill>
                  <w14:solidFill>
                    <w14:schemeClr w14:val="tx1"/>
                  </w14:solidFill>
                </w14:textFill>
              </w:rPr>
              <w:t>1套</w:t>
            </w:r>
          </w:p>
          <w:p w14:paraId="1EA02029">
            <w:pPr>
              <w:spacing w:line="380" w:lineRule="exact"/>
              <w:jc w:val="center"/>
              <w:rPr>
                <w:rFonts w:cs="仿宋_GB2312" w:asciiTheme="minorEastAsia" w:hAnsiTheme="minorEastAsia" w:eastAsiaTheme="minorEastAsia"/>
                <w:color w:val="000000" w:themeColor="text1"/>
                <w:kern w:val="0"/>
                <w:szCs w:val="21"/>
                <w14:textFill>
                  <w14:solidFill>
                    <w14:schemeClr w14:val="tx1"/>
                  </w14:solidFill>
                </w14:textFill>
              </w:rPr>
            </w:pPr>
            <w:r>
              <w:rPr>
                <w:rFonts w:hint="eastAsia" w:cs="仿宋_GB2312" w:asciiTheme="minorEastAsia" w:hAnsiTheme="minorEastAsia" w:eastAsiaTheme="minorEastAsia"/>
                <w:color w:val="000000" w:themeColor="text1"/>
                <w:kern w:val="0"/>
                <w:szCs w:val="21"/>
                <w14:textFill>
                  <w14:solidFill>
                    <w14:schemeClr w14:val="tx1"/>
                  </w14:solidFill>
                </w14:textFill>
              </w:rPr>
              <w:t>（1年）</w:t>
            </w:r>
          </w:p>
        </w:tc>
        <w:tc>
          <w:tcPr>
            <w:tcW w:w="3566" w:type="pct"/>
            <w:tcBorders>
              <w:top w:val="single" w:color="auto" w:sz="4" w:space="0"/>
              <w:left w:val="single" w:color="auto" w:sz="4" w:space="0"/>
              <w:bottom w:val="single" w:color="auto" w:sz="4" w:space="0"/>
              <w:right w:val="single" w:color="auto" w:sz="4" w:space="0"/>
            </w:tcBorders>
            <w:vAlign w:val="center"/>
          </w:tcPr>
          <w:p w14:paraId="5909BE88">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w:t>
            </w:r>
            <w:r>
              <w:rPr>
                <w:rFonts w:hint="eastAsia" w:cs="仿宋_GB2312" w:asciiTheme="minorEastAsia" w:hAnsiTheme="minorEastAsia" w:eastAsiaTheme="minorEastAsia"/>
                <w:bCs/>
                <w:color w:val="000000" w:themeColor="text1"/>
                <w:szCs w:val="21"/>
                <w14:textFill>
                  <w14:solidFill>
                    <w14:schemeClr w14:val="tx1"/>
                  </w14:solidFill>
                </w14:textFill>
              </w:rPr>
              <w:t>1．生产厂商：微软</w:t>
            </w:r>
          </w:p>
          <w:p w14:paraId="5E550E4E">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w:t>
            </w:r>
            <w:r>
              <w:rPr>
                <w:rFonts w:hint="eastAsia" w:cs="仿宋_GB2312" w:asciiTheme="minorEastAsia" w:hAnsiTheme="minorEastAsia" w:eastAsiaTheme="minorEastAsia"/>
                <w:bCs/>
                <w:color w:val="000000" w:themeColor="text1"/>
                <w:szCs w:val="21"/>
                <w14:textFill>
                  <w14:solidFill>
                    <w14:schemeClr w14:val="tx1"/>
                  </w14:solidFill>
                </w14:textFill>
              </w:rPr>
              <w:t>2．技术支持：根节点服务器安装调试、正版化授权技术指导、产品激活技术指导、问题处理、电话远程支持</w:t>
            </w:r>
          </w:p>
          <w:p w14:paraId="59EE193C">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w:t>
            </w:r>
            <w:r>
              <w:rPr>
                <w:rFonts w:hint="eastAsia" w:cs="仿宋_GB2312" w:asciiTheme="minorEastAsia" w:hAnsiTheme="minorEastAsia" w:eastAsiaTheme="minorEastAsia"/>
                <w:bCs/>
                <w:color w:val="000000" w:themeColor="text1"/>
                <w:szCs w:val="21"/>
                <w14:textFill>
                  <w14:solidFill>
                    <w14:schemeClr w14:val="tx1"/>
                  </w14:solidFill>
                </w14:textFill>
              </w:rPr>
              <w:t>3．产品类型:正版化授权</w:t>
            </w:r>
          </w:p>
          <w:p w14:paraId="3F3D0AB3">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4．产品授权服务版本:含Windows、Office、Windows Server、SQL Server各系列和版本，包括：</w:t>
            </w:r>
          </w:p>
          <w:p w14:paraId="50E39144">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 xml:space="preserve">(1)Windows正版授权服务： </w:t>
            </w:r>
          </w:p>
          <w:p w14:paraId="3FA36339">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 xml:space="preserve">1)Windows11 pro; </w:t>
            </w:r>
          </w:p>
          <w:p w14:paraId="64A97ABF">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 xml:space="preserve">2)Windows10 pro; </w:t>
            </w:r>
          </w:p>
          <w:p w14:paraId="4C653C4A">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3)Windows8 pro；</w:t>
            </w:r>
          </w:p>
          <w:p w14:paraId="1E31A819">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(2)Office Pro plus正版授权服务：</w:t>
            </w:r>
          </w:p>
          <w:p w14:paraId="561D5FB4">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 xml:space="preserve">1)Office2024 pro plus; </w:t>
            </w:r>
          </w:p>
          <w:p w14:paraId="6B49E31B">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2)Office2021 Pro plus;</w:t>
            </w:r>
          </w:p>
          <w:p w14:paraId="6770A6A4">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3)Office2019 Pro plus；</w:t>
            </w:r>
          </w:p>
          <w:p w14:paraId="3CE31EF0">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4)Office2016 Pro plus；</w:t>
            </w:r>
          </w:p>
          <w:p w14:paraId="15352154">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 xml:space="preserve">(3)Winodows server正版授权服务： </w:t>
            </w:r>
          </w:p>
          <w:p w14:paraId="65BA7281">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1)Windows Server 2025;</w:t>
            </w:r>
          </w:p>
          <w:p w14:paraId="074F0BF5">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 xml:space="preserve">2)Windows Server 2022; </w:t>
            </w:r>
          </w:p>
          <w:p w14:paraId="4046DDAA">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3)Windows Server 2019；</w:t>
            </w:r>
          </w:p>
          <w:p w14:paraId="152B8A0C">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 xml:space="preserve">(4)SQL Server正版授权服务： </w:t>
            </w:r>
          </w:p>
          <w:p w14:paraId="2A9DDBB2">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1)SQL Server2022;</w:t>
            </w:r>
          </w:p>
          <w:p w14:paraId="6FB6A0AF">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 xml:space="preserve">2)SQL Server2019; </w:t>
            </w:r>
          </w:p>
          <w:p w14:paraId="26C04A56">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3)SQL Server2017；</w:t>
            </w:r>
          </w:p>
          <w:p w14:paraId="1BCAAA85">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5．授权内容:</w:t>
            </w:r>
          </w:p>
          <w:p w14:paraId="02A4BA44">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(1)Windows操作系统系列产品</w:t>
            </w:r>
          </w:p>
          <w:p w14:paraId="4C3BB785">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(2)Office办公软件系列产品</w:t>
            </w:r>
          </w:p>
          <w:p w14:paraId="23E12AEE">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(3)Windows Server服务器操作系统系列产品；</w:t>
            </w:r>
          </w:p>
          <w:p w14:paraId="715AC7C8">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(4)SQL Server数据库管理系统系列产品；</w:t>
            </w:r>
          </w:p>
          <w:p w14:paraId="511B2189">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(5)提供软件许可管理。</w:t>
            </w:r>
          </w:p>
          <w:p w14:paraId="16F2D0B3">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6．软件安装及激活服务:</w:t>
            </w:r>
          </w:p>
          <w:p w14:paraId="55B79805">
            <w:pPr>
              <w:spacing w:line="380" w:lineRule="exact"/>
              <w:textAlignment w:val="baseline"/>
              <w:rPr>
                <w:rFonts w:cs="仿宋_GB2312" w:asciiTheme="minorEastAsia" w:hAnsiTheme="minorEastAsia" w:eastAsiaTheme="minorEastAsia"/>
                <w:bCs/>
                <w:szCs w:val="21"/>
              </w:rPr>
            </w:pPr>
            <w:r>
              <w:rPr>
                <w:rFonts w:hint="eastAsia" w:cs="仿宋_GB2312" w:asciiTheme="minorEastAsia" w:hAnsiTheme="minorEastAsia" w:eastAsiaTheme="minorEastAsia"/>
                <w:bCs/>
                <w:szCs w:val="21"/>
              </w:rPr>
              <w:t>▲(1)提供授权产品、正版化软件管理平台的现场技术实施，包含正版化软件管理平台的安装、优化、技术授权和补丁升级等现场服务。</w:t>
            </w:r>
          </w:p>
          <w:p w14:paraId="6A90FA97">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(2)在服务期间根据《正版软件管理工作指南》为采购方做好软件授权使用管理，包含网络正版化巡检等工作。</w:t>
            </w:r>
          </w:p>
          <w:p w14:paraId="698E6011">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(3)协助采购人做好日常正版化软件的安装培训工作、提供技术咨询服务。</w:t>
            </w:r>
          </w:p>
          <w:p w14:paraId="3F1A7F88">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7．正版授权保障：所提供的产品均为原厂正版授权，可匹配原厂对应产品标准功能，实现自由灵活的升降级，在授权期内，采购方资产下的所有计算机可使用安装包进行免费升/降级。</w:t>
            </w:r>
          </w:p>
          <w:p w14:paraId="7D3AA5B8">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8．许可模式：CA（校园协议）场地授权。</w:t>
            </w:r>
          </w:p>
          <w:p w14:paraId="14F9476D">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00" w:themeColor="text1"/>
                <w:szCs w:val="21"/>
                <w14:textFill>
                  <w14:solidFill>
                    <w14:schemeClr w14:val="tx1"/>
                  </w14:solidFill>
                </w14:textFill>
              </w:rPr>
              <w:t>9．正版软件管理平台：提供1套正版软件管理平台，服务期限1年。管理平台提供微软全系列产品正版化软件安装包下载更新服务，完成更新软件不晚于厂家正式发布的5个工作日内。</w:t>
            </w:r>
          </w:p>
          <w:p w14:paraId="57C61613">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bCs/>
                <w:color w:val="0000FF"/>
                <w:szCs w:val="21"/>
              </w:rPr>
              <w:t>▲10．培训服务：</w:t>
            </w:r>
            <w:r>
              <w:rPr>
                <w:rFonts w:hint="eastAsia" w:cs="仿宋_GB2312" w:asciiTheme="minorEastAsia" w:hAnsiTheme="minorEastAsia" w:eastAsiaTheme="minorEastAsia"/>
                <w:bCs/>
                <w:color w:val="000000" w:themeColor="text1"/>
                <w:szCs w:val="21"/>
                <w14:textFill>
                  <w14:solidFill>
                    <w14:schemeClr w14:val="tx1"/>
                  </w14:solidFill>
                </w14:textFill>
              </w:rPr>
              <w:t>2次/年，培训内容包括正版软件管理平台的管理及运维培训，申请授权、激活等流程培训服务等。</w:t>
            </w:r>
          </w:p>
          <w:p w14:paraId="7C683FA2">
            <w:pPr>
              <w:spacing w:line="380" w:lineRule="exact"/>
              <w:textAlignment w:val="baseline"/>
              <w:rPr>
                <w:rFonts w:asciiTheme="minorEastAsia" w:hAnsiTheme="minorEastAsia" w:eastAsiaTheme="minorEastAsia"/>
              </w:rPr>
            </w:pPr>
            <w:r>
              <w:rPr>
                <w:rFonts w:hint="eastAsia" w:cs="仿宋_GB2312" w:asciiTheme="minorEastAsia" w:hAnsiTheme="minorEastAsia" w:eastAsiaTheme="minorEastAsia"/>
                <w:bCs/>
                <w:color w:val="000000" w:themeColor="text1"/>
                <w:szCs w:val="21"/>
                <w14:textFill>
                  <w14:solidFill>
                    <w14:schemeClr w14:val="tx1"/>
                  </w14:solidFill>
                </w14:textFill>
              </w:rPr>
              <w:t>11．授权范围：采购人资产所属计算机（包括员工电脑及其他固定资产计算机、笔记本电脑、服务器等）。</w:t>
            </w:r>
          </w:p>
        </w:tc>
      </w:tr>
      <w:tr w14:paraId="743E7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207E00FE">
            <w:pPr>
              <w:spacing w:line="380" w:lineRule="exact"/>
              <w:rPr>
                <w:rFonts w:cs="仿宋_GB2312" w:asciiTheme="minorEastAsia" w:hAnsiTheme="minorEastAsia" w:eastAsiaTheme="minorEastAsia"/>
                <w:b/>
                <w:color w:val="000000" w:themeColor="text1"/>
                <w:szCs w:val="21"/>
                <w14:textFill>
                  <w14:solidFill>
                    <w14:schemeClr w14:val="tx1"/>
                  </w14:solidFill>
                </w14:textFill>
              </w:rPr>
            </w:pPr>
            <w:r>
              <w:rPr>
                <w:rFonts w:hint="eastAsia" w:cs="仿宋_GB2312" w:asciiTheme="minorEastAsia" w:hAnsiTheme="minorEastAsia" w:eastAsiaTheme="minorEastAsia"/>
                <w:b/>
                <w:color w:val="000000" w:themeColor="text1"/>
                <w:szCs w:val="21"/>
                <w14:textFill>
                  <w14:solidFill>
                    <w14:schemeClr w14:val="tx1"/>
                  </w14:solidFill>
                </w14:textFill>
              </w:rPr>
              <w:t xml:space="preserve">▲二、商务条款  </w:t>
            </w:r>
          </w:p>
        </w:tc>
      </w:tr>
      <w:tr w14:paraId="3DDB2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33" w:type="pct"/>
            <w:gridSpan w:val="3"/>
            <w:tcBorders>
              <w:top w:val="single" w:color="auto" w:sz="4" w:space="0"/>
              <w:left w:val="single" w:color="auto" w:sz="4" w:space="0"/>
              <w:bottom w:val="single" w:color="auto" w:sz="4" w:space="0"/>
              <w:right w:val="single" w:color="auto" w:sz="4" w:space="0"/>
            </w:tcBorders>
            <w:vAlign w:val="center"/>
          </w:tcPr>
          <w:p w14:paraId="1E3D0B7C">
            <w:pPr>
              <w:spacing w:line="400" w:lineRule="exact"/>
              <w:contextualSpacing/>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b/>
                <w:szCs w:val="21"/>
              </w:rPr>
              <w:t>合同签订时间</w:t>
            </w:r>
          </w:p>
        </w:tc>
        <w:tc>
          <w:tcPr>
            <w:tcW w:w="3566" w:type="pct"/>
            <w:tcBorders>
              <w:top w:val="single" w:color="auto" w:sz="4" w:space="0"/>
              <w:left w:val="single" w:color="auto" w:sz="4" w:space="0"/>
              <w:bottom w:val="single" w:color="auto" w:sz="4" w:space="0"/>
              <w:right w:val="single" w:color="auto" w:sz="4" w:space="0"/>
            </w:tcBorders>
            <w:vAlign w:val="center"/>
          </w:tcPr>
          <w:p w14:paraId="20AA0F71">
            <w:pPr>
              <w:spacing w:line="400" w:lineRule="exact"/>
              <w:contextualSpacing/>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szCs w:val="21"/>
              </w:rPr>
              <w:t>于成交通知书发出之日起10日内签订合同。</w:t>
            </w:r>
          </w:p>
        </w:tc>
      </w:tr>
      <w:tr w14:paraId="10A7E5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33" w:type="pct"/>
            <w:gridSpan w:val="3"/>
            <w:tcBorders>
              <w:top w:val="single" w:color="auto" w:sz="4" w:space="0"/>
              <w:left w:val="single" w:color="auto" w:sz="4" w:space="0"/>
              <w:bottom w:val="single" w:color="auto" w:sz="4" w:space="0"/>
              <w:right w:val="single" w:color="auto" w:sz="4" w:space="0"/>
            </w:tcBorders>
            <w:vAlign w:val="center"/>
          </w:tcPr>
          <w:p w14:paraId="0BB9B9DA">
            <w:pPr>
              <w:snapToGrid w:val="0"/>
              <w:spacing w:line="40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b/>
                <w:szCs w:val="21"/>
              </w:rPr>
              <w:t>维保期（质保期）</w:t>
            </w:r>
          </w:p>
        </w:tc>
        <w:tc>
          <w:tcPr>
            <w:tcW w:w="3566" w:type="pct"/>
            <w:tcBorders>
              <w:top w:val="single" w:color="auto" w:sz="4" w:space="0"/>
              <w:left w:val="single" w:color="auto" w:sz="4" w:space="0"/>
              <w:bottom w:val="single" w:color="auto" w:sz="4" w:space="0"/>
              <w:right w:val="single" w:color="auto" w:sz="4" w:space="0"/>
            </w:tcBorders>
            <w:vAlign w:val="center"/>
          </w:tcPr>
          <w:p w14:paraId="00D3C70F">
            <w:pPr>
              <w:snapToGrid w:val="0"/>
              <w:spacing w:line="400" w:lineRule="exact"/>
              <w:outlineLvl w:val="0"/>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szCs w:val="21"/>
              </w:rPr>
              <w:t>自产品验收合格并能正常使用之日算起，提供不少于1年的维保期且承担所有维保期内服务的费用。</w:t>
            </w:r>
          </w:p>
        </w:tc>
      </w:tr>
      <w:tr w14:paraId="31D8E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33" w:type="pct"/>
            <w:gridSpan w:val="3"/>
            <w:tcBorders>
              <w:top w:val="single" w:color="auto" w:sz="4" w:space="0"/>
              <w:left w:val="single" w:color="auto" w:sz="4" w:space="0"/>
              <w:bottom w:val="single" w:color="auto" w:sz="4" w:space="0"/>
              <w:right w:val="single" w:color="auto" w:sz="4" w:space="0"/>
            </w:tcBorders>
            <w:vAlign w:val="center"/>
          </w:tcPr>
          <w:p w14:paraId="3139A5D1">
            <w:pPr>
              <w:spacing w:line="40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b/>
                <w:szCs w:val="21"/>
              </w:rPr>
              <w:t>交付时间及地点</w:t>
            </w:r>
          </w:p>
        </w:tc>
        <w:tc>
          <w:tcPr>
            <w:tcW w:w="3566" w:type="pct"/>
            <w:tcBorders>
              <w:top w:val="single" w:color="auto" w:sz="4" w:space="0"/>
              <w:left w:val="single" w:color="auto" w:sz="4" w:space="0"/>
              <w:bottom w:val="single" w:color="auto" w:sz="4" w:space="0"/>
              <w:right w:val="single" w:color="auto" w:sz="4" w:space="0"/>
            </w:tcBorders>
            <w:vAlign w:val="center"/>
          </w:tcPr>
          <w:p w14:paraId="36E9E2C7">
            <w:pPr>
              <w:spacing w:line="400" w:lineRule="exact"/>
              <w:rPr>
                <w:rFonts w:cs="仿宋_GB2312" w:asciiTheme="minorEastAsia" w:hAnsiTheme="minorEastAsia" w:eastAsiaTheme="minorEastAsia"/>
                <w:szCs w:val="21"/>
              </w:rPr>
            </w:pPr>
            <w:r>
              <w:rPr>
                <w:rFonts w:hint="eastAsia" w:cs="仿宋_GB2312" w:asciiTheme="minorEastAsia" w:hAnsiTheme="minorEastAsia" w:eastAsiaTheme="minorEastAsia"/>
                <w:szCs w:val="21"/>
              </w:rPr>
              <w:t>1.交付时间：自签订合同之日起10个工作日内完成产品的安装调试并验收合格、交付使用。</w:t>
            </w:r>
          </w:p>
          <w:p w14:paraId="6F2F1D4B">
            <w:pPr>
              <w:spacing w:line="400" w:lineRule="exact"/>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szCs w:val="21"/>
              </w:rPr>
              <w:t>2.交付地点：南宁市内广西金融职业技术学院（广西银行学校）指定地点。</w:t>
            </w:r>
          </w:p>
        </w:tc>
      </w:tr>
      <w:tr w14:paraId="73C78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33" w:type="pct"/>
            <w:gridSpan w:val="3"/>
            <w:tcBorders>
              <w:top w:val="single" w:color="auto" w:sz="4" w:space="0"/>
              <w:left w:val="single" w:color="auto" w:sz="4" w:space="0"/>
              <w:bottom w:val="single" w:color="auto" w:sz="4" w:space="0"/>
              <w:right w:val="single" w:color="auto" w:sz="4" w:space="0"/>
            </w:tcBorders>
            <w:vAlign w:val="center"/>
          </w:tcPr>
          <w:p w14:paraId="0A2BD17E">
            <w:pPr>
              <w:snapToGrid w:val="0"/>
              <w:spacing w:line="40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b/>
                <w:szCs w:val="21"/>
              </w:rPr>
              <w:t>报价要求</w:t>
            </w:r>
          </w:p>
        </w:tc>
        <w:tc>
          <w:tcPr>
            <w:tcW w:w="3566" w:type="pct"/>
            <w:tcBorders>
              <w:top w:val="single" w:color="auto" w:sz="4" w:space="0"/>
              <w:left w:val="single" w:color="auto" w:sz="4" w:space="0"/>
              <w:bottom w:val="single" w:color="auto" w:sz="4" w:space="0"/>
              <w:right w:val="single" w:color="auto" w:sz="4" w:space="0"/>
            </w:tcBorders>
            <w:vAlign w:val="center"/>
          </w:tcPr>
          <w:p w14:paraId="0D9B524F">
            <w:pPr>
              <w:pStyle w:val="5"/>
              <w:snapToGrid w:val="0"/>
              <w:spacing w:line="400" w:lineRule="exact"/>
              <w:ind w:left="34"/>
              <w:outlineLvl w:val="0"/>
              <w:rPr>
                <w:rFonts w:cs="仿宋_GB2312" w:asciiTheme="minorEastAsia" w:hAnsiTheme="minorEastAsia" w:eastAsiaTheme="minorEastAsia"/>
                <w:color w:val="000000" w:themeColor="text1"/>
                <w:sz w:val="21"/>
                <w14:textFill>
                  <w14:solidFill>
                    <w14:schemeClr w14:val="tx1"/>
                  </w14:solidFill>
                </w14:textFill>
              </w:rPr>
            </w:pPr>
            <w:r>
              <w:rPr>
                <w:rFonts w:hint="eastAsia" w:cs="仿宋_GB2312" w:asciiTheme="minorEastAsia" w:hAnsiTheme="minorEastAsia" w:eastAsiaTheme="minorEastAsia"/>
                <w:kern w:val="2"/>
                <w:sz w:val="21"/>
              </w:rPr>
              <w:t>报价包含产品价款，备件、专用工具、平台安装、调试、检验、系统维护及升级、技术培训及技术资料和包装、运输、搬卸、税金、售后服务等全部费用。</w:t>
            </w:r>
          </w:p>
        </w:tc>
      </w:tr>
      <w:tr w14:paraId="0CA9FB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33" w:type="pct"/>
            <w:gridSpan w:val="3"/>
            <w:tcBorders>
              <w:top w:val="single" w:color="auto" w:sz="4" w:space="0"/>
              <w:left w:val="single" w:color="auto" w:sz="4" w:space="0"/>
              <w:bottom w:val="single" w:color="auto" w:sz="4" w:space="0"/>
              <w:right w:val="single" w:color="auto" w:sz="4" w:space="0"/>
            </w:tcBorders>
            <w:vAlign w:val="center"/>
          </w:tcPr>
          <w:p w14:paraId="732D92A3">
            <w:pPr>
              <w:snapToGrid w:val="0"/>
              <w:spacing w:line="400" w:lineRule="exact"/>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b/>
                <w:szCs w:val="21"/>
              </w:rPr>
              <w:t>服务要求</w:t>
            </w:r>
          </w:p>
        </w:tc>
        <w:tc>
          <w:tcPr>
            <w:tcW w:w="3566" w:type="pct"/>
            <w:tcBorders>
              <w:top w:val="single" w:color="auto" w:sz="4" w:space="0"/>
              <w:left w:val="single" w:color="auto" w:sz="4" w:space="0"/>
              <w:bottom w:val="single" w:color="auto" w:sz="4" w:space="0"/>
              <w:right w:val="single" w:color="auto" w:sz="4" w:space="0"/>
            </w:tcBorders>
            <w:vAlign w:val="center"/>
          </w:tcPr>
          <w:p w14:paraId="3F6A6A25">
            <w:pPr>
              <w:pStyle w:val="5"/>
              <w:spacing w:line="400" w:lineRule="exact"/>
              <w:rPr>
                <w:rFonts w:cs="仿宋_GB2312" w:asciiTheme="minorEastAsia" w:hAnsiTheme="minorEastAsia" w:eastAsiaTheme="minorEastAsia"/>
                <w:bCs/>
                <w:sz w:val="21"/>
              </w:rPr>
            </w:pPr>
            <w:r>
              <w:rPr>
                <w:rFonts w:hint="eastAsia" w:cs="仿宋_GB2312" w:asciiTheme="minorEastAsia" w:hAnsiTheme="minorEastAsia" w:eastAsiaTheme="minorEastAsia"/>
                <w:bCs/>
                <w:sz w:val="21"/>
              </w:rPr>
              <w:t>1.由技术人员现场安装、调试合格，提供现场培训。各项性能指标达到技术要求的，由供需双方共同签字认可，现场验收。</w:t>
            </w:r>
          </w:p>
          <w:p w14:paraId="2BBF185D">
            <w:pPr>
              <w:pStyle w:val="5"/>
              <w:spacing w:line="400" w:lineRule="exact"/>
              <w:rPr>
                <w:rFonts w:cs="仿宋_GB2312" w:asciiTheme="minorEastAsia" w:hAnsiTheme="minorEastAsia" w:eastAsiaTheme="minorEastAsia"/>
                <w:bCs/>
                <w:sz w:val="21"/>
              </w:rPr>
            </w:pPr>
            <w:r>
              <w:rPr>
                <w:rFonts w:hint="eastAsia" w:cs="仿宋_GB2312" w:asciiTheme="minorEastAsia" w:hAnsiTheme="minorEastAsia" w:eastAsiaTheme="minorEastAsia"/>
                <w:bCs/>
                <w:sz w:val="21"/>
              </w:rPr>
              <w:t>2.出现故障必须在2小时内做出响应，一般问题应在48小时内解决，重大问题或其它无法迅速解决的问题应在一周内解决。</w:t>
            </w:r>
          </w:p>
          <w:p w14:paraId="6FDDD851">
            <w:pPr>
              <w:pStyle w:val="5"/>
              <w:spacing w:line="400" w:lineRule="exact"/>
              <w:rPr>
                <w:rFonts w:cs="仿宋_GB2312" w:asciiTheme="minorEastAsia" w:hAnsiTheme="minorEastAsia" w:eastAsiaTheme="minorEastAsia"/>
                <w:bCs/>
                <w:sz w:val="21"/>
              </w:rPr>
            </w:pPr>
            <w:r>
              <w:rPr>
                <w:rFonts w:hint="eastAsia" w:cs="仿宋_GB2312" w:asciiTheme="minorEastAsia" w:hAnsiTheme="minorEastAsia" w:eastAsiaTheme="minorEastAsia"/>
                <w:bCs/>
                <w:sz w:val="21"/>
              </w:rPr>
              <w:t>3.所供产品不能涉及任何知识产权方面的法律纠纷。</w:t>
            </w:r>
          </w:p>
          <w:p w14:paraId="6279E174">
            <w:pPr>
              <w:pStyle w:val="5"/>
              <w:spacing w:line="400" w:lineRule="exact"/>
              <w:rPr>
                <w:rFonts w:cs="仿宋_GB2312" w:asciiTheme="minorEastAsia" w:hAnsiTheme="minorEastAsia" w:eastAsiaTheme="minorEastAsia"/>
                <w:bCs/>
                <w:sz w:val="21"/>
              </w:rPr>
            </w:pPr>
            <w:r>
              <w:rPr>
                <w:rFonts w:hint="eastAsia" w:cs="仿宋_GB2312" w:asciiTheme="minorEastAsia" w:hAnsiTheme="minorEastAsia" w:eastAsiaTheme="minorEastAsia"/>
                <w:bCs/>
                <w:sz w:val="21"/>
              </w:rPr>
              <w:t>4.设立有技术团队，拥有完备服务支持体系，具有技术支持热线电话，可提供技术咨询服务,协助解决技术疑难问题。</w:t>
            </w:r>
          </w:p>
          <w:p w14:paraId="73A8E79D">
            <w:pPr>
              <w:pStyle w:val="5"/>
              <w:spacing w:line="400" w:lineRule="exact"/>
              <w:rPr>
                <w:rFonts w:cs="仿宋_GB2312" w:asciiTheme="minorEastAsia" w:hAnsiTheme="minorEastAsia" w:eastAsiaTheme="minorEastAsia"/>
                <w:color w:val="000000" w:themeColor="text1"/>
                <w:sz w:val="21"/>
                <w14:textFill>
                  <w14:solidFill>
                    <w14:schemeClr w14:val="tx1"/>
                  </w14:solidFill>
                </w14:textFill>
              </w:rPr>
            </w:pPr>
            <w:r>
              <w:rPr>
                <w:rFonts w:hint="eastAsia" w:cs="仿宋_GB2312" w:asciiTheme="minorEastAsia" w:hAnsiTheme="minorEastAsia" w:eastAsiaTheme="minorEastAsia"/>
                <w:bCs/>
                <w:sz w:val="21"/>
              </w:rPr>
              <w:t>5.厂商需提供技术咨询服务，半年度回访平台使用情况。</w:t>
            </w:r>
          </w:p>
        </w:tc>
      </w:tr>
      <w:tr w14:paraId="1FFED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33" w:type="pct"/>
            <w:gridSpan w:val="3"/>
            <w:tcBorders>
              <w:top w:val="single" w:color="auto" w:sz="4" w:space="0"/>
              <w:left w:val="single" w:color="auto" w:sz="4" w:space="0"/>
              <w:bottom w:val="single" w:color="auto" w:sz="4" w:space="0"/>
              <w:right w:val="single" w:color="auto" w:sz="4" w:space="0"/>
            </w:tcBorders>
            <w:vAlign w:val="center"/>
          </w:tcPr>
          <w:p w14:paraId="64E80D36">
            <w:pPr>
              <w:spacing w:line="400" w:lineRule="exact"/>
              <w:contextualSpacing/>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b/>
                <w:szCs w:val="21"/>
              </w:rPr>
              <w:t>付款条件</w:t>
            </w:r>
          </w:p>
        </w:tc>
        <w:tc>
          <w:tcPr>
            <w:tcW w:w="3566" w:type="pct"/>
            <w:tcBorders>
              <w:top w:val="single" w:color="auto" w:sz="4" w:space="0"/>
              <w:left w:val="single" w:color="auto" w:sz="4" w:space="0"/>
              <w:bottom w:val="single" w:color="auto" w:sz="4" w:space="0"/>
              <w:right w:val="single" w:color="auto" w:sz="4" w:space="0"/>
            </w:tcBorders>
            <w:vAlign w:val="center"/>
          </w:tcPr>
          <w:p w14:paraId="7EA9B743">
            <w:pPr>
              <w:snapToGrid w:val="0"/>
              <w:spacing w:line="400" w:lineRule="exact"/>
              <w:contextualSpacing/>
              <w:rPr>
                <w:rFonts w:cs="仿宋_GB2312" w:asciiTheme="minorEastAsia" w:hAnsiTheme="minorEastAsia" w:eastAsiaTheme="minorEastAsia"/>
                <w:szCs w:val="21"/>
              </w:rPr>
            </w:pPr>
            <w:r>
              <w:rPr>
                <w:rFonts w:hint="eastAsia" w:cs="仿宋_GB2312" w:asciiTheme="minorEastAsia" w:hAnsiTheme="minorEastAsia" w:eastAsiaTheme="minorEastAsia"/>
                <w:bCs/>
                <w:kern w:val="0"/>
                <w:szCs w:val="21"/>
              </w:rPr>
              <w:t>1</w:t>
            </w:r>
            <w:r>
              <w:rPr>
                <w:rFonts w:cs="仿宋_GB2312" w:asciiTheme="minorEastAsia" w:hAnsiTheme="minorEastAsia" w:eastAsiaTheme="minorEastAsia"/>
                <w:bCs/>
                <w:kern w:val="0"/>
                <w:szCs w:val="21"/>
              </w:rPr>
              <w:t>.</w:t>
            </w:r>
            <w:r>
              <w:rPr>
                <w:rFonts w:hint="eastAsia" w:cs="仿宋_GB2312" w:asciiTheme="minorEastAsia" w:hAnsiTheme="minorEastAsia" w:eastAsiaTheme="minorEastAsia"/>
                <w:bCs/>
                <w:kern w:val="0"/>
                <w:szCs w:val="21"/>
              </w:rPr>
              <w:t>本项目不设预付款，合同签订生效后，成交供应商需在合同约定时间内完成项目建设（含产品安装、调试，并经采购人验收合格后），采购人向成交供应商一次性支付全额合同款。</w:t>
            </w:r>
          </w:p>
          <w:p w14:paraId="5246C755">
            <w:pPr>
              <w:snapToGrid w:val="0"/>
              <w:spacing w:line="400" w:lineRule="exact"/>
              <w:contextualSpacing/>
              <w:rPr>
                <w:rFonts w:cs="仿宋_GB2312" w:asciiTheme="minorEastAsia" w:hAnsiTheme="minorEastAsia" w:eastAsiaTheme="minorEastAsia"/>
              </w:rPr>
            </w:pPr>
            <w:r>
              <w:rPr>
                <w:rFonts w:hint="eastAsia" w:cs="仿宋_GB2312" w:asciiTheme="minorEastAsia" w:hAnsiTheme="minorEastAsia" w:eastAsiaTheme="minorEastAsia"/>
                <w:szCs w:val="21"/>
              </w:rPr>
              <w:t>注：支付前，成交供应商应向采购人开具对应金额的有效合法增值税发票并出具加盖成交供应商公章的付款申请，成交供应商未按上述要求提供合格付款材料的，采购人有权拒绝支付合同款且无需承担任何违约责任。</w:t>
            </w:r>
          </w:p>
        </w:tc>
      </w:tr>
      <w:tr w14:paraId="7D783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33" w:type="pct"/>
            <w:gridSpan w:val="3"/>
            <w:tcBorders>
              <w:top w:val="single" w:color="auto" w:sz="4" w:space="0"/>
              <w:left w:val="single" w:color="auto" w:sz="4" w:space="0"/>
              <w:bottom w:val="single" w:color="auto" w:sz="4" w:space="0"/>
              <w:right w:val="single" w:color="auto" w:sz="4" w:space="0"/>
            </w:tcBorders>
            <w:vAlign w:val="center"/>
          </w:tcPr>
          <w:p w14:paraId="1F314293">
            <w:pPr>
              <w:spacing w:line="400" w:lineRule="exact"/>
              <w:contextualSpacing/>
              <w:jc w:val="center"/>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b/>
                <w:szCs w:val="21"/>
              </w:rPr>
              <w:t>其他要求及说明</w:t>
            </w:r>
          </w:p>
        </w:tc>
        <w:tc>
          <w:tcPr>
            <w:tcW w:w="3566" w:type="pct"/>
            <w:tcBorders>
              <w:top w:val="single" w:color="auto" w:sz="4" w:space="0"/>
              <w:left w:val="single" w:color="auto" w:sz="4" w:space="0"/>
              <w:bottom w:val="single" w:color="auto" w:sz="4" w:space="0"/>
              <w:right w:val="single" w:color="auto" w:sz="4" w:space="0"/>
            </w:tcBorders>
            <w:vAlign w:val="center"/>
          </w:tcPr>
          <w:p w14:paraId="4D604DBF">
            <w:pPr>
              <w:spacing w:line="380" w:lineRule="exact"/>
              <w:textAlignment w:val="baseline"/>
              <w:rPr>
                <w:rFonts w:cs="仿宋_GB2312" w:asciiTheme="minorEastAsia" w:hAnsiTheme="minorEastAsia" w:eastAsiaTheme="minorEastAsia"/>
                <w:bCs/>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w:t>
            </w:r>
            <w:r>
              <w:rPr>
                <w:rFonts w:hint="eastAsia" w:cs="仿宋_GB2312" w:asciiTheme="minorEastAsia" w:hAnsiTheme="minorEastAsia" w:eastAsiaTheme="minorEastAsia"/>
                <w:bCs/>
                <w:color w:val="000000" w:themeColor="text1"/>
                <w:szCs w:val="21"/>
                <w14:textFill>
                  <w14:solidFill>
                    <w14:schemeClr w14:val="tx1"/>
                  </w14:solidFill>
                </w14:textFill>
              </w:rPr>
              <w:t>1．项目中标人与采购人签订合同前3个工作日内提供原厂针对本次项目而开具的授权函原件和一年售后服务承诺函原件。</w:t>
            </w:r>
          </w:p>
          <w:p w14:paraId="1DD34071">
            <w:pPr>
              <w:spacing w:line="400" w:lineRule="exact"/>
              <w:contextualSpacing/>
              <w:rPr>
                <w:rFonts w:cs="仿宋_GB2312"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w:t>
            </w:r>
            <w:r>
              <w:rPr>
                <w:rFonts w:hint="eastAsia" w:cs="仿宋_GB2312" w:asciiTheme="minorEastAsia" w:hAnsiTheme="minorEastAsia" w:eastAsiaTheme="minorEastAsia"/>
                <w:bCs/>
                <w:color w:val="000000" w:themeColor="text1"/>
                <w:szCs w:val="21"/>
                <w14:textFill>
                  <w14:solidFill>
                    <w14:schemeClr w14:val="tx1"/>
                  </w14:solidFill>
                </w14:textFill>
              </w:rPr>
              <w:t>2．中标方需在中标通知书发出之日起3个工作日与我校现使用软硬件进行对接，在实际环境中部署和评测，必须满足技术性能参数要求，凭我校测试通过的报告来签订合同。如因测试未通过，且超过3个工作日仍无法解决的，我校可拒绝签订合同，按照招标采购相关规定处理。</w:t>
            </w:r>
          </w:p>
        </w:tc>
      </w:tr>
    </w:tbl>
    <w:p w14:paraId="27A60F2D">
      <w:pPr>
        <w:rPr>
          <w:rFonts w:asciiTheme="minorEastAsia" w:hAnsiTheme="minorEastAsia" w:eastAsia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iY2NiOTE2MzVmMDE3NWEzODhkNDFlMjNiMjc3YTAifQ=="/>
  </w:docVars>
  <w:rsids>
    <w:rsidRoot w:val="00E573B4"/>
    <w:rsid w:val="000B3600"/>
    <w:rsid w:val="00171547"/>
    <w:rsid w:val="001E49EB"/>
    <w:rsid w:val="00202922"/>
    <w:rsid w:val="00444615"/>
    <w:rsid w:val="00446489"/>
    <w:rsid w:val="004C2E81"/>
    <w:rsid w:val="004E266E"/>
    <w:rsid w:val="00562632"/>
    <w:rsid w:val="005D0BC9"/>
    <w:rsid w:val="00661D6E"/>
    <w:rsid w:val="006B1CBF"/>
    <w:rsid w:val="006D4CFF"/>
    <w:rsid w:val="006D5E05"/>
    <w:rsid w:val="00751618"/>
    <w:rsid w:val="007D5D05"/>
    <w:rsid w:val="00833C2A"/>
    <w:rsid w:val="00860B5C"/>
    <w:rsid w:val="009108FB"/>
    <w:rsid w:val="00994925"/>
    <w:rsid w:val="00A27213"/>
    <w:rsid w:val="00B45F2E"/>
    <w:rsid w:val="00B46ECE"/>
    <w:rsid w:val="00B55AFA"/>
    <w:rsid w:val="00BF5771"/>
    <w:rsid w:val="00CF56C3"/>
    <w:rsid w:val="00E573B4"/>
    <w:rsid w:val="00E708C3"/>
    <w:rsid w:val="00E8063E"/>
    <w:rsid w:val="00EA63F2"/>
    <w:rsid w:val="00F350EF"/>
    <w:rsid w:val="00FC38D2"/>
    <w:rsid w:val="00FE3188"/>
    <w:rsid w:val="071544D3"/>
    <w:rsid w:val="0C040028"/>
    <w:rsid w:val="113B2DE5"/>
    <w:rsid w:val="179F7B7B"/>
    <w:rsid w:val="1FB02549"/>
    <w:rsid w:val="23A4295F"/>
    <w:rsid w:val="29686BE8"/>
    <w:rsid w:val="2D2A393B"/>
    <w:rsid w:val="2E8E63B6"/>
    <w:rsid w:val="2EAD65D1"/>
    <w:rsid w:val="317E4255"/>
    <w:rsid w:val="3AF6244E"/>
    <w:rsid w:val="43C51350"/>
    <w:rsid w:val="4874180E"/>
    <w:rsid w:val="4A825237"/>
    <w:rsid w:val="4AE062F4"/>
    <w:rsid w:val="5EEB267A"/>
    <w:rsid w:val="64487C27"/>
    <w:rsid w:val="6B2F1B41"/>
    <w:rsid w:val="761F06A0"/>
    <w:rsid w:val="77391FE9"/>
    <w:rsid w:val="77C17FC5"/>
    <w:rsid w:val="78CA7306"/>
    <w:rsid w:val="79C04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kern w:val="0"/>
      <w:sz w:val="20"/>
      <w:szCs w:val="21"/>
    </w:rPr>
  </w:style>
  <w:style w:type="paragraph" w:styleId="6">
    <w:name w:val="footer"/>
    <w:basedOn w:val="1"/>
    <w:link w:val="13"/>
    <w:autoRedefine/>
    <w:qFormat/>
    <w:uiPriority w:val="0"/>
    <w:pPr>
      <w:tabs>
        <w:tab w:val="center" w:pos="4153"/>
        <w:tab w:val="right" w:pos="8306"/>
      </w:tabs>
      <w:snapToGrid w:val="0"/>
      <w:jc w:val="left"/>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1">
    <w:name w:val="List Paragraph"/>
    <w:basedOn w:val="1"/>
    <w:qFormat/>
    <w:uiPriority w:val="99"/>
    <w:pPr>
      <w:ind w:firstLine="420" w:firstLineChars="200"/>
    </w:pPr>
  </w:style>
  <w:style w:type="character" w:customStyle="1" w:styleId="12">
    <w:name w:val="页眉 字符"/>
    <w:basedOn w:val="9"/>
    <w:link w:val="7"/>
    <w:autoRedefine/>
    <w:qFormat/>
    <w:uiPriority w:val="0"/>
    <w:rPr>
      <w:rFonts w:ascii="Times New Roman" w:hAnsi="Times New Roman" w:eastAsia="宋体" w:cs="Times New Roman"/>
      <w:kern w:val="2"/>
      <w:sz w:val="18"/>
      <w:szCs w:val="18"/>
    </w:rPr>
  </w:style>
  <w:style w:type="character" w:customStyle="1" w:styleId="13">
    <w:name w:val="页脚 字符"/>
    <w:basedOn w:val="9"/>
    <w:link w:val="6"/>
    <w:autoRedefine/>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706B4-BC27-4587-BD55-A33FCDD84489}">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1842</Words>
  <Characters>2179</Characters>
  <Lines>16</Lines>
  <Paragraphs>4</Paragraphs>
  <TotalTime>0</TotalTime>
  <ScaleCrop>false</ScaleCrop>
  <LinksUpToDate>false</LinksUpToDate>
  <CharactersWithSpaces>2218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2026-06-13T06:54:00Z</dcterms:created>
  <dc:creator>lenovo</dc:creator>
  <cp:lastModifiedBy>蔡周晓</cp:lastModifiedBy>
  <dcterms:modified xsi:type="dcterms:W3CDTF">2026-07-03T02:28:46Z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eyJoZGlkIjoiMTZjMzE1NzQ4NzMxZjNhYjE5YmZhZTllZTUyYzhlODEiLCJ1c2VySWQiOiIxNzE0ODU2MTM4In0=</vt:lpwstr>
  </property>
  <property fmtid="{D5CDD505-2E9C-101B-9397-08002B2CF9AE}" pid="4" name="ICV">
    <vt:lpwstr>26694465DDD14C37913B65297D87308C_13</vt:lpwstr>
  </property>
</Properties>
</file>