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9C227">
      <w:pPr>
        <w:widowControl/>
        <w:spacing w:line="440" w:lineRule="exact"/>
        <w:ind w:firstLine="900" w:firstLineChars="300"/>
        <w:jc w:val="center"/>
        <w:rPr>
          <w:rFonts w:hint="eastAsia" w:ascii="宋体" w:hAnsi="宋体" w:cs="宋体"/>
          <w:color w:val="000000"/>
          <w:sz w:val="30"/>
          <w:szCs w:val="30"/>
        </w:rPr>
      </w:pPr>
      <w:r>
        <w:rPr>
          <w:rFonts w:hint="eastAsia" w:ascii="宋体" w:hAnsi="宋体" w:cs="宋体"/>
          <w:color w:val="000000"/>
          <w:sz w:val="30"/>
          <w:szCs w:val="30"/>
        </w:rPr>
        <w:t>广西金融职业技术学院中心机房核心IT设施的安全运营平台项目反向竞价文件</w:t>
      </w:r>
    </w:p>
    <w:p w14:paraId="38CB6608">
      <w:pPr>
        <w:widowControl/>
        <w:spacing w:line="440" w:lineRule="exact"/>
        <w:jc w:val="left"/>
        <w:rPr>
          <w:rFonts w:hint="eastAsia" w:ascii="宋体" w:hAnsi="宋体" w:cs="宋体"/>
          <w:color w:val="000000"/>
          <w:szCs w:val="21"/>
        </w:rPr>
      </w:pPr>
    </w:p>
    <w:p w14:paraId="458A9111">
      <w:pPr>
        <w:widowControl/>
        <w:spacing w:line="440" w:lineRule="exact"/>
        <w:jc w:val="left"/>
        <w:rPr>
          <w:rFonts w:hint="eastAsia" w:ascii="宋体" w:hAnsi="宋体" w:eastAsia="宋体" w:cs="宋体"/>
          <w:color w:val="auto"/>
          <w:szCs w:val="21"/>
          <w:lang w:val="en-US" w:eastAsia="zh-CN"/>
        </w:rPr>
      </w:pPr>
      <w:r>
        <w:rPr>
          <w:rFonts w:hint="eastAsia" w:ascii="宋体" w:hAnsi="宋体" w:cs="宋体"/>
          <w:color w:val="auto"/>
          <w:szCs w:val="21"/>
        </w:rPr>
        <w:t>“实质性要求”是指采购需求中带“▲”的条款或者不能负偏离的条款或者已经指明不满足按响应文件按无效处理的条</w:t>
      </w:r>
      <w:r>
        <w:rPr>
          <w:rFonts w:hint="eastAsia" w:ascii="宋体" w:hAnsi="宋体" w:cs="宋体"/>
          <w:color w:val="auto"/>
          <w:szCs w:val="21"/>
          <w:lang w:val="en-US" w:eastAsia="zh-CN"/>
        </w:rPr>
        <w:t>款</w:t>
      </w:r>
    </w:p>
    <w:p w14:paraId="47700888">
      <w:pPr>
        <w:widowControl/>
        <w:jc w:val="center"/>
        <w:textAlignment w:val="center"/>
        <w:rPr>
          <w:rFonts w:hint="eastAsia" w:ascii="宋体" w:hAnsi="宋体" w:cs="宋体"/>
          <w:color w:val="000000"/>
          <w:kern w:val="0"/>
          <w:sz w:val="20"/>
          <w:szCs w:val="20"/>
          <w:lang w:bidi="ar"/>
        </w:rPr>
      </w:pPr>
    </w:p>
    <w:tbl>
      <w:tblPr>
        <w:tblStyle w:val="6"/>
        <w:tblW w:w="9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901"/>
        <w:gridCol w:w="1304"/>
        <w:gridCol w:w="3900"/>
        <w:gridCol w:w="723"/>
        <w:gridCol w:w="1227"/>
        <w:gridCol w:w="641"/>
      </w:tblGrid>
      <w:tr w14:paraId="617B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0" w:type="dxa"/>
            <w:gridSpan w:val="7"/>
            <w:shd w:val="clear" w:color="auto" w:fill="auto"/>
            <w:vAlign w:val="center"/>
          </w:tcPr>
          <w:p w14:paraId="228F6BDA">
            <w:pPr>
              <w:widowControl/>
              <w:jc w:val="center"/>
              <w:textAlignment w:val="center"/>
              <w:rPr>
                <w:rFonts w:hint="eastAsia" w:ascii="宋体" w:hAnsi="宋体" w:cs="宋体"/>
                <w:color w:val="000000"/>
                <w:kern w:val="0"/>
                <w:sz w:val="20"/>
                <w:szCs w:val="20"/>
                <w:lang w:bidi="ar"/>
              </w:rPr>
            </w:pPr>
          </w:p>
          <w:p w14:paraId="3DC7D8F2">
            <w:pPr>
              <w:widowControl/>
              <w:jc w:val="center"/>
              <w:textAlignment w:val="center"/>
              <w:rPr>
                <w:rFonts w:hint="default"/>
                <w:lang w:val="en-US"/>
              </w:rPr>
            </w:pPr>
            <w:r>
              <w:rPr>
                <w:rFonts w:hint="eastAsia" w:ascii="宋体" w:hAnsi="宋体" w:cs="宋体"/>
                <w:color w:val="000000"/>
                <w:kern w:val="0"/>
                <w:sz w:val="20"/>
                <w:szCs w:val="20"/>
                <w:lang w:bidi="ar"/>
              </w:rPr>
              <w:t>安全支撑软件</w:t>
            </w:r>
            <w:r>
              <w:rPr>
                <w:rFonts w:hint="eastAsia" w:ascii="宋体" w:hAnsi="宋体" w:cs="宋体"/>
                <w:color w:val="000000"/>
                <w:kern w:val="0"/>
                <w:sz w:val="20"/>
                <w:szCs w:val="20"/>
                <w:lang w:val="en-US" w:eastAsia="zh-CN" w:bidi="ar"/>
              </w:rPr>
              <w:t>平台反向竞价文件</w:t>
            </w:r>
          </w:p>
        </w:tc>
      </w:tr>
      <w:tr w14:paraId="69A93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0" w:type="dxa"/>
            <w:gridSpan w:val="7"/>
            <w:shd w:val="clear" w:color="auto" w:fill="auto"/>
            <w:vAlign w:val="center"/>
          </w:tcPr>
          <w:p w14:paraId="30CA1ABC">
            <w:pPr>
              <w:widowControl/>
              <w:jc w:val="both"/>
              <w:textAlignment w:val="center"/>
              <w:rPr>
                <w:rFonts w:hint="eastAsia" w:ascii="宋体" w:hAnsi="宋体" w:cs="宋体"/>
                <w:color w:val="000000"/>
                <w:kern w:val="0"/>
                <w:sz w:val="20"/>
                <w:szCs w:val="20"/>
                <w:lang w:bidi="ar"/>
              </w:rPr>
            </w:pPr>
          </w:p>
        </w:tc>
      </w:tr>
      <w:tr w14:paraId="5728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shd w:val="clear" w:color="auto" w:fill="auto"/>
            <w:vAlign w:val="center"/>
          </w:tcPr>
          <w:p w14:paraId="57AAA95C">
            <w:pPr>
              <w:spacing w:line="360" w:lineRule="auto"/>
              <w:rPr>
                <w:rFonts w:ascii="宋体" w:hAnsi="宋体" w:cs="宋体"/>
                <w:b/>
                <w:iCs/>
                <w:szCs w:val="21"/>
              </w:rPr>
            </w:pPr>
            <w:r>
              <w:rPr>
                <w:rFonts w:hint="eastAsia" w:ascii="宋体" w:hAnsi="宋体" w:cs="宋体"/>
                <w:b/>
                <w:iCs/>
                <w:szCs w:val="21"/>
              </w:rPr>
              <w:t>项</w:t>
            </w:r>
          </w:p>
          <w:p w14:paraId="4304C7B6">
            <w:pPr>
              <w:spacing w:line="360" w:lineRule="auto"/>
              <w:rPr>
                <w:rFonts w:hint="eastAsia" w:ascii="宋体" w:hAnsi="宋体" w:cs="宋体"/>
                <w:b/>
                <w:iCs/>
                <w:szCs w:val="21"/>
              </w:rPr>
            </w:pPr>
            <w:r>
              <w:rPr>
                <w:rFonts w:hint="eastAsia" w:ascii="宋体" w:hAnsi="宋体" w:cs="宋体"/>
                <w:b/>
                <w:iCs/>
                <w:szCs w:val="21"/>
              </w:rPr>
              <w:t>号</w:t>
            </w:r>
          </w:p>
        </w:tc>
        <w:tc>
          <w:tcPr>
            <w:tcW w:w="901" w:type="dxa"/>
            <w:shd w:val="clear" w:color="auto" w:fill="auto"/>
            <w:vAlign w:val="center"/>
          </w:tcPr>
          <w:p w14:paraId="57CC5DBA">
            <w:pPr>
              <w:spacing w:line="360" w:lineRule="auto"/>
              <w:rPr>
                <w:rFonts w:ascii="宋体" w:hAnsi="宋体" w:cs="宋体"/>
                <w:b/>
                <w:bCs/>
                <w:iCs/>
                <w:szCs w:val="21"/>
              </w:rPr>
            </w:pPr>
            <w:r>
              <w:rPr>
                <w:rFonts w:hint="eastAsia" w:ascii="宋体" w:hAnsi="宋体" w:cs="宋体"/>
                <w:b/>
                <w:bCs/>
                <w:iCs/>
                <w:szCs w:val="21"/>
              </w:rPr>
              <w:t>产品</w:t>
            </w:r>
          </w:p>
          <w:p w14:paraId="5A89FFF9">
            <w:pPr>
              <w:spacing w:line="360" w:lineRule="auto"/>
              <w:rPr>
                <w:rFonts w:hint="eastAsia" w:ascii="宋体" w:hAnsi="宋体" w:cs="宋体"/>
                <w:b/>
                <w:bCs/>
                <w:iCs/>
                <w:szCs w:val="21"/>
              </w:rPr>
            </w:pPr>
            <w:r>
              <w:rPr>
                <w:rFonts w:hint="eastAsia" w:ascii="宋体" w:hAnsi="宋体" w:cs="宋体"/>
                <w:b/>
                <w:bCs/>
                <w:iCs/>
                <w:szCs w:val="21"/>
              </w:rPr>
              <w:t>名称</w:t>
            </w:r>
          </w:p>
        </w:tc>
        <w:tc>
          <w:tcPr>
            <w:tcW w:w="1304" w:type="dxa"/>
            <w:shd w:val="clear" w:color="auto" w:fill="auto"/>
            <w:vAlign w:val="center"/>
          </w:tcPr>
          <w:p w14:paraId="67FEEC5D">
            <w:pPr>
              <w:spacing w:line="360" w:lineRule="auto"/>
              <w:rPr>
                <w:rFonts w:ascii="宋体" w:hAnsi="宋体" w:cs="宋体"/>
                <w:b/>
                <w:bCs/>
                <w:iCs/>
                <w:szCs w:val="21"/>
              </w:rPr>
            </w:pPr>
            <w:r>
              <w:rPr>
                <w:rFonts w:hint="eastAsia" w:ascii="宋体" w:hAnsi="宋体" w:cs="宋体"/>
                <w:b/>
                <w:bCs/>
                <w:iCs/>
                <w:szCs w:val="21"/>
              </w:rPr>
              <w:t>品牌</w:t>
            </w:r>
          </w:p>
          <w:p w14:paraId="79B1887B">
            <w:pPr>
              <w:spacing w:line="360" w:lineRule="auto"/>
              <w:rPr>
                <w:rFonts w:hint="eastAsia" w:ascii="宋体" w:hAnsi="宋体" w:cs="宋体"/>
                <w:b/>
                <w:bCs/>
                <w:iCs/>
                <w:szCs w:val="21"/>
              </w:rPr>
            </w:pPr>
            <w:r>
              <w:rPr>
                <w:rFonts w:hint="eastAsia" w:ascii="宋体" w:hAnsi="宋体" w:cs="宋体"/>
                <w:b/>
                <w:bCs/>
                <w:iCs/>
                <w:szCs w:val="21"/>
              </w:rPr>
              <w:t>型号</w:t>
            </w:r>
          </w:p>
        </w:tc>
        <w:tc>
          <w:tcPr>
            <w:tcW w:w="3900" w:type="dxa"/>
            <w:shd w:val="clear" w:color="auto" w:fill="auto"/>
            <w:vAlign w:val="center"/>
          </w:tcPr>
          <w:p w14:paraId="4FF143CC">
            <w:pPr>
              <w:spacing w:line="360" w:lineRule="auto"/>
              <w:rPr>
                <w:rFonts w:hint="eastAsia" w:ascii="宋体" w:hAnsi="宋体" w:cs="宋体"/>
                <w:b/>
                <w:bCs/>
                <w:iCs/>
                <w:color w:val="000000" w:themeColor="text1"/>
                <w:szCs w:val="21"/>
                <w14:textFill>
                  <w14:solidFill>
                    <w14:schemeClr w14:val="tx1"/>
                  </w14:solidFill>
                </w14:textFill>
              </w:rPr>
            </w:pPr>
            <w:r>
              <w:rPr>
                <w:rFonts w:hint="eastAsia" w:ascii="宋体" w:hAnsi="宋体" w:cs="宋体"/>
                <w:b/>
                <w:bCs/>
                <w:iCs/>
                <w:color w:val="000000" w:themeColor="text1"/>
                <w:szCs w:val="21"/>
                <w14:textFill>
                  <w14:solidFill>
                    <w14:schemeClr w14:val="tx1"/>
                  </w14:solidFill>
                </w14:textFill>
              </w:rPr>
              <w:t>主要技术参数及性能（配置）要求</w:t>
            </w:r>
          </w:p>
        </w:tc>
        <w:tc>
          <w:tcPr>
            <w:tcW w:w="723" w:type="dxa"/>
            <w:shd w:val="clear" w:color="auto" w:fill="auto"/>
            <w:vAlign w:val="center"/>
          </w:tcPr>
          <w:p w14:paraId="63466C3F">
            <w:pPr>
              <w:spacing w:line="360" w:lineRule="auto"/>
              <w:rPr>
                <w:rFonts w:hint="eastAsia" w:ascii="宋体" w:hAnsi="宋体" w:cs="宋体"/>
                <w:b/>
                <w:iCs/>
                <w:szCs w:val="21"/>
              </w:rPr>
            </w:pPr>
            <w:r>
              <w:rPr>
                <w:rFonts w:hint="eastAsia" w:ascii="宋体" w:hAnsi="宋体" w:cs="宋体"/>
                <w:b/>
                <w:iCs/>
                <w:szCs w:val="21"/>
              </w:rPr>
              <w:t>单位</w:t>
            </w:r>
          </w:p>
        </w:tc>
        <w:tc>
          <w:tcPr>
            <w:tcW w:w="1227" w:type="dxa"/>
            <w:shd w:val="clear" w:color="auto" w:fill="auto"/>
            <w:vAlign w:val="center"/>
          </w:tcPr>
          <w:p w14:paraId="52EC19F6">
            <w:pPr>
              <w:widowControl/>
              <w:jc w:val="center"/>
              <w:textAlignment w:val="center"/>
              <w:rPr>
                <w:rFonts w:hint="eastAsia" w:ascii="宋体" w:hAnsi="宋体" w:cs="宋体"/>
                <w:color w:val="000000"/>
                <w:kern w:val="0"/>
                <w:szCs w:val="21"/>
              </w:rPr>
            </w:pPr>
            <w:r>
              <w:rPr>
                <w:rFonts w:hint="eastAsia" w:ascii="宋体" w:hAnsi="宋体" w:cs="宋体"/>
                <w:color w:val="000000"/>
                <w:kern w:val="0"/>
                <w:szCs w:val="21"/>
              </w:rPr>
              <w:t>数量</w:t>
            </w:r>
          </w:p>
        </w:tc>
        <w:tc>
          <w:tcPr>
            <w:tcW w:w="641" w:type="dxa"/>
            <w:shd w:val="clear" w:color="auto" w:fill="auto"/>
            <w:vAlign w:val="center"/>
          </w:tcPr>
          <w:p w14:paraId="19B604C9">
            <w:pPr>
              <w:widowControl/>
              <w:jc w:val="center"/>
              <w:textAlignment w:val="center"/>
              <w:rPr>
                <w:rFonts w:hint="eastAsia"/>
              </w:rPr>
            </w:pPr>
            <w:r>
              <w:rPr>
                <w:rFonts w:hint="eastAsia"/>
              </w:rPr>
              <w:t>备注</w:t>
            </w:r>
          </w:p>
        </w:tc>
      </w:tr>
      <w:tr w14:paraId="3CB1E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shd w:val="clear" w:color="auto" w:fill="auto"/>
            <w:vAlign w:val="center"/>
          </w:tcPr>
          <w:p w14:paraId="693B9BF1">
            <w:pPr>
              <w:widowControl/>
              <w:jc w:val="center"/>
              <w:textAlignment w:val="center"/>
              <w:rPr>
                <w:rFonts w:ascii="宋体" w:hAnsi="宋体" w:cs="宋体"/>
                <w:color w:val="000000"/>
                <w:szCs w:val="21"/>
              </w:rPr>
            </w:pPr>
            <w:r>
              <w:rPr>
                <w:rFonts w:hint="eastAsia" w:ascii="宋体" w:hAnsi="宋体" w:cs="宋体"/>
                <w:color w:val="000000"/>
                <w:kern w:val="0"/>
                <w:sz w:val="20"/>
                <w:szCs w:val="20"/>
                <w:lang w:bidi="ar"/>
              </w:rPr>
              <w:t>1</w:t>
            </w:r>
          </w:p>
        </w:tc>
        <w:tc>
          <w:tcPr>
            <w:tcW w:w="901" w:type="dxa"/>
            <w:shd w:val="clear" w:color="auto" w:fill="auto"/>
            <w:vAlign w:val="center"/>
          </w:tcPr>
          <w:p w14:paraId="27D75311">
            <w:pPr>
              <w:widowControl/>
              <w:jc w:val="left"/>
              <w:textAlignment w:val="center"/>
              <w:rPr>
                <w:rFonts w:hint="eastAsia" w:ascii="宋体" w:hAnsi="宋体" w:eastAsia="宋体" w:cs="宋体"/>
                <w:color w:val="000000"/>
                <w:szCs w:val="21"/>
                <w:lang w:val="en-US" w:eastAsia="zh-CN"/>
              </w:rPr>
            </w:pPr>
            <w:r>
              <w:rPr>
                <w:rFonts w:hint="eastAsia" w:ascii="宋体" w:hAnsi="宋体" w:cs="宋体"/>
                <w:color w:val="000000"/>
                <w:kern w:val="0"/>
                <w:sz w:val="20"/>
                <w:szCs w:val="20"/>
                <w:lang w:bidi="ar"/>
              </w:rPr>
              <w:t>安全支撑软件</w:t>
            </w:r>
            <w:r>
              <w:rPr>
                <w:rFonts w:hint="eastAsia" w:ascii="宋体" w:hAnsi="宋体" w:cs="宋体"/>
                <w:color w:val="000000"/>
                <w:kern w:val="0"/>
                <w:sz w:val="20"/>
                <w:szCs w:val="20"/>
                <w:lang w:val="en-US" w:eastAsia="zh-CN" w:bidi="ar"/>
              </w:rPr>
              <w:t>平台</w:t>
            </w:r>
          </w:p>
        </w:tc>
        <w:tc>
          <w:tcPr>
            <w:tcW w:w="1304" w:type="dxa"/>
            <w:shd w:val="clear" w:color="auto" w:fill="auto"/>
            <w:vAlign w:val="center"/>
          </w:tcPr>
          <w:p w14:paraId="5E9F4FE1">
            <w:pPr>
              <w:widowControl/>
              <w:jc w:val="left"/>
              <w:textAlignment w:val="center"/>
              <w:rPr>
                <w:rFonts w:ascii="宋体" w:hAnsi="宋体" w:cs="宋体"/>
                <w:color w:val="000000"/>
                <w:szCs w:val="21"/>
              </w:rPr>
            </w:pPr>
            <w:r>
              <w:rPr>
                <w:rFonts w:hint="eastAsia" w:ascii="宋体" w:hAnsi="宋体" w:cs="宋体"/>
                <w:color w:val="000000"/>
                <w:kern w:val="0"/>
                <w:sz w:val="20"/>
                <w:szCs w:val="20"/>
                <w:lang w:bidi="ar"/>
              </w:rPr>
              <w:t>奇安信网神</w:t>
            </w:r>
            <w:r>
              <w:rPr>
                <w:rFonts w:ascii="宋体" w:hAnsi="宋体" w:cs="宋体"/>
                <w:color w:val="000000"/>
                <w:kern w:val="0"/>
                <w:sz w:val="20"/>
                <w:szCs w:val="20"/>
                <w:lang w:bidi="ar"/>
              </w:rPr>
              <w:t>TSS10000-A84</w:t>
            </w:r>
          </w:p>
        </w:tc>
        <w:tc>
          <w:tcPr>
            <w:tcW w:w="3900" w:type="dxa"/>
            <w:shd w:val="clear" w:color="auto" w:fill="auto"/>
            <w:vAlign w:val="center"/>
          </w:tcPr>
          <w:p w14:paraId="3D6EA25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 能够接收云端提供的威胁情报，对网络中的威胁事件进行发现和告警；威胁情报可支持在线和离线升级两种方式；</w:t>
            </w:r>
          </w:p>
          <w:p w14:paraId="2B795530">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支持基于威胁情报的威胁检测，检测类型包含APT事件、僵尸网络、勒索软件、流氓推广、窃密木马、网络蠕虫、远控木马、其他恶意软件，并可自定义威胁情报（提供功能界面截图）；</w:t>
            </w:r>
          </w:p>
          <w:p w14:paraId="6AFDE87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支持与云端威胁情报中心联动，可对攻击IP、C&amp;C域名和恶意样本MD5进行一键搜索，查看基本信息、相关样本、关联URL、可视化分析、域名解析、注册信息、关联域名、数字证书等（提供功能界面截图）；</w:t>
            </w:r>
          </w:p>
          <w:p w14:paraId="611184C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 威胁支持按照威胁事件视图、受害主机视图、受害服务器视图、受害用户视图、威胁视图进行分类展示；</w:t>
            </w:r>
          </w:p>
          <w:p w14:paraId="213E0DA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  威胁告警类别需要包括webshell上传、网页漏洞利用、网络攻击、APT事件、远控木马、窃密木马、僵尸网络、勒索软件、黑市工具、网络蠕虫、恶意样本执行、恶意样本投递；</w:t>
            </w:r>
          </w:p>
          <w:p w14:paraId="0883122C">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 提供一键查询威胁事件详情，威胁事件详情需要包括告警来源、威胁类型、威胁名称、威胁情报IOC、已经相关的会话记录；</w:t>
            </w:r>
          </w:p>
          <w:p w14:paraId="0E283FD5">
            <w:pPr>
              <w:widowControl/>
              <w:jc w:val="left"/>
              <w:textAlignment w:val="center"/>
              <w:rPr>
                <w:rFonts w:ascii="宋体" w:hAnsi="宋体" w:cs="宋体"/>
                <w:color w:val="auto"/>
                <w:szCs w:val="21"/>
              </w:rPr>
            </w:pPr>
            <w:r>
              <w:rPr>
                <w:rFonts w:hint="eastAsia" w:ascii="宋体" w:hAnsi="宋体" w:cs="宋体"/>
                <w:color w:val="auto"/>
                <w:szCs w:val="21"/>
                <w:lang w:val="en-US" w:eastAsia="zh-CN"/>
              </w:rPr>
              <w:t>7</w:t>
            </w:r>
            <w:r>
              <w:rPr>
                <w:rFonts w:hint="eastAsia" w:ascii="宋体" w:hAnsi="宋体" w:cs="宋体"/>
                <w:color w:val="auto"/>
                <w:szCs w:val="21"/>
              </w:rPr>
              <w:t xml:space="preserve">. </w:t>
            </w:r>
            <w:r>
              <w:rPr>
                <w:rFonts w:hint="eastAsia" w:ascii="宋体" w:hAnsi="宋体" w:cs="宋体"/>
                <w:color w:val="auto"/>
                <w:szCs w:val="21"/>
                <w:lang w:eastAsia="zh-CN"/>
              </w:rPr>
              <w:t>▲</w:t>
            </w:r>
            <w:r>
              <w:rPr>
                <w:rFonts w:hint="eastAsia" w:ascii="宋体" w:hAnsi="宋体" w:cs="宋体"/>
                <w:color w:val="auto"/>
                <w:szCs w:val="21"/>
              </w:rPr>
              <w:t>支持与现有防火墙设备进行联动，发现威胁事件后支持对攻击IP、恶意域名和受害资产的流量进行阻断，将策略下发给防火墙，由防火墙执行阻断（提供功能界面截图）；</w:t>
            </w:r>
          </w:p>
          <w:p w14:paraId="1F587DA6">
            <w:pPr>
              <w:widowControl/>
              <w:jc w:val="left"/>
              <w:textAlignment w:val="center"/>
              <w:rPr>
                <w:rFonts w:ascii="宋体" w:hAnsi="宋体" w:cs="宋体"/>
                <w:color w:val="auto"/>
                <w:szCs w:val="21"/>
              </w:rPr>
            </w:pPr>
            <w:r>
              <w:rPr>
                <w:rFonts w:hint="eastAsia" w:ascii="宋体" w:hAnsi="宋体" w:cs="宋体"/>
                <w:color w:val="auto"/>
                <w:szCs w:val="21"/>
                <w:lang w:val="en-US" w:eastAsia="zh-CN"/>
              </w:rPr>
              <w:t>8</w:t>
            </w:r>
            <w:r>
              <w:rPr>
                <w:rFonts w:hint="eastAsia" w:ascii="宋体" w:hAnsi="宋体" w:cs="宋体"/>
                <w:color w:val="auto"/>
                <w:szCs w:val="21"/>
              </w:rPr>
              <w:t xml:space="preserve">. </w:t>
            </w:r>
            <w:r>
              <w:rPr>
                <w:rFonts w:hint="eastAsia" w:ascii="宋体" w:hAnsi="宋体" w:cs="宋体"/>
                <w:color w:val="auto"/>
                <w:szCs w:val="21"/>
                <w:lang w:eastAsia="zh-CN"/>
              </w:rPr>
              <w:t>▲</w:t>
            </w:r>
            <w:r>
              <w:rPr>
                <w:rFonts w:hint="eastAsia" w:ascii="宋体" w:hAnsi="宋体" w:cs="宋体"/>
                <w:color w:val="auto"/>
                <w:szCs w:val="21"/>
              </w:rPr>
              <w:t>为确保平台与现有设备兼容性，需支持与现有态势感知流量探针对接，把采集流量日志上传到态势感知分析平台，对日志进行分析和发现；</w:t>
            </w:r>
          </w:p>
          <w:p w14:paraId="45F67A5A">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9</w:t>
            </w:r>
            <w:r>
              <w:rPr>
                <w:rFonts w:hint="eastAsia" w:ascii="宋体" w:hAnsi="宋体" w:cs="宋体"/>
                <w:color w:val="000000" w:themeColor="text1"/>
                <w:szCs w:val="21"/>
                <w14:textFill>
                  <w14:solidFill>
                    <w14:schemeClr w14:val="tx1"/>
                  </w14:solidFill>
                </w14:textFill>
              </w:rPr>
              <w:t>. 支持以可视化拓扑结构形式展示告警所命中的ATT&amp;CK攻击技术及其与组织的关联关系；支持兼容wireshark过滤语法关联展示本地PCAP会话数据，用于告警分析，可以查看会话数量，会话时间、源/目的IP、协议、会话信息等；</w:t>
            </w:r>
          </w:p>
          <w:p w14:paraId="79E72BD5">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 本地分析平台产生告警中出现的C&amp;C地址可以一键进行云端威胁情报中心进行分析追踪，查看地址的基础信息、威胁检测结果、地址解析变化、关联样本；</w:t>
            </w:r>
          </w:p>
          <w:p w14:paraId="00DEFC36">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 支持识别24+币种。币种类型包括：比特币、比特现金、以太坊、以太经典、莱特币、CKB、渡鸦币、大零币、ZEN、KDA、HNS、德信币、达世币、云储币、尔格币、CFX、MEER、小零币、极特币、XVG、CHI、STC、门罗币、TON等，挖矿病毒威胁情报数不低于98000；</w:t>
            </w:r>
          </w:p>
          <w:p w14:paraId="22351E6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 流量日志记录至少包含以下字段：时间、IP、IP地理位置、端口、域名、HTTP头信息、SQL语句、邮件收件人和发件人、文件名、文件MD5、应用层payload前100字节；</w:t>
            </w:r>
          </w:p>
          <w:p w14:paraId="375BF66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 支持基于APT组织情报及IP地理信息检测发现攻击者所属组织、归属国家及地域等信息，基于规则检测发现攻击者所用到的全部攻击手段，用于对攻击者进行画像分析。并展示：攻击IP，攻击IP归属地，受害IP，攻击类型，资产组，最近攻击时间，攻击次数；</w:t>
            </w:r>
          </w:p>
          <w:p w14:paraId="0E72BFEE">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 支持基于资产组，时间、IP、端口、协议、上下行负载等多重字段组合对网络流量日志进行检索，日志类型包括：TCP，UDP，web访问，文件传输，域名解析，SSL加密协商，数据库操作，FTP控制通道，邮件行为，登录动作，mq流量，telnet行为，radius行为，kerberos认证;并可基于源IP,源端口，目的IP，目的端口，域名，文件名，文件MD5等字段进行统计分析；</w:t>
            </w:r>
          </w:p>
          <w:p w14:paraId="24F3BD63">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 支持对任意线索的自定义拓线及溯源取证分析，支持以可视化分析画布形式展示拓线过程并支持结果快照导出;支持对于给定线索的溯源结果展示，包括但不限于攻击溯源、失陷主机分析、暴力破解分析弱口令分析等；</w:t>
            </w:r>
          </w:p>
          <w:p w14:paraId="0740CE1F">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 xml:space="preserve">支持不少于11个不同维度的可视化大屏态势分析，包括：综合态势，挖矿态势，威胁事件态势，资产态势，外部访问态势，横向访问态势， 外联访问态势，脆弱性态势，文件威胁态势，邮件威胁态势，威胁感知态势； </w:t>
            </w:r>
          </w:p>
          <w:p w14:paraId="24340089">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对于重要的未知威胁告警，将告知客户攻击的相关背景信息（攻击行业，受害范围）（提供功能界面截图）；</w:t>
            </w:r>
          </w:p>
          <w:p w14:paraId="27C77374">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zCs w:val="21"/>
                <w:lang w:val="en-US" w:eastAsia="zh-CN"/>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能够对未知威胁告警进行处置，可设置不同状态对告警进行跟踪（提供功能界面截图）；</w:t>
            </w:r>
          </w:p>
          <w:p w14:paraId="389CFCA7">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19</w:t>
            </w:r>
            <w:r>
              <w:rPr>
                <w:rFonts w:hint="eastAsia" w:ascii="宋体" w:hAnsi="宋体" w:cs="宋体"/>
                <w:color w:val="000000" w:themeColor="text1"/>
                <w:szCs w:val="21"/>
                <w14:textFill>
                  <w14:solidFill>
                    <w14:schemeClr w14:val="tx1"/>
                  </w14:solidFill>
                </w14:textFill>
              </w:rPr>
              <w:t>. 生成的报表内容可以按照危害的等级进行升序或是降序的方式排列；</w:t>
            </w:r>
          </w:p>
          <w:p w14:paraId="763DCA49">
            <w:pPr>
              <w:widowControl/>
              <w:jc w:val="left"/>
              <w:textAlignment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lang w:val="en-US" w:eastAsia="zh-CN"/>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 支持新增并管理用户，可控制用户使用权限；支持用户初次登陆强制修改密码功能；</w:t>
            </w:r>
          </w:p>
          <w:p w14:paraId="2B0A0234">
            <w:pPr>
              <w:widowControl/>
              <w:jc w:val="left"/>
              <w:textAlignment w:val="center"/>
              <w:rPr>
                <w:rFonts w:ascii="宋体" w:hAnsi="宋体" w:cs="宋体"/>
                <w:color w:val="auto"/>
                <w:szCs w:val="21"/>
              </w:rPr>
            </w:pPr>
            <w:r>
              <w:rPr>
                <w:rFonts w:hint="eastAsia" w:ascii="宋体" w:hAnsi="宋体" w:cs="宋体"/>
                <w:color w:val="000000" w:themeColor="text1"/>
                <w:szCs w:val="21"/>
                <w:lang w:val="en-US" w:eastAsia="zh-CN"/>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lang w:val="en-US" w:eastAsia="zh-CN"/>
                <w14:textFill>
                  <w14:solidFill>
                    <w14:schemeClr w14:val="tx1"/>
                  </w14:solidFill>
                </w14:textFill>
              </w:rPr>
              <w:t>软件平台需搭配</w:t>
            </w:r>
            <w:r>
              <w:rPr>
                <w:rFonts w:hint="eastAsia" w:ascii="宋体" w:hAnsi="宋体" w:cs="宋体"/>
                <w:color w:val="000000" w:themeColor="text1"/>
                <w:szCs w:val="21"/>
                <w14:textFill>
                  <w14:solidFill>
                    <w14:schemeClr w14:val="tx1"/>
                  </w14:solidFill>
                </w14:textFill>
              </w:rPr>
              <w:t>标准2U机架式设备，配置≥4个千兆电口，≥2万兆光口，内存≥64G，至少配置960G SSD + 32TB SATA存储硬盘，冗余交流电源</w:t>
            </w:r>
            <w:r>
              <w:rPr>
                <w:rFonts w:hint="eastAsia" w:ascii="宋体" w:hAnsi="宋体" w:cs="宋体"/>
                <w:color w:val="000000" w:themeColor="text1"/>
                <w:szCs w:val="21"/>
                <w:lang w:val="en-US" w:eastAsia="zh-CN"/>
                <w14:textFill>
                  <w14:solidFill>
                    <w14:schemeClr w14:val="tx1"/>
                  </w14:solidFill>
                </w14:textFill>
              </w:rPr>
              <w:t>交付</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auto"/>
                <w:szCs w:val="21"/>
              </w:rPr>
              <w:t>含三年威胁情报升级授权，自授权导入之日起开始计算。含三年产品标准维保服务，自发货之日起开始计算；</w:t>
            </w:r>
          </w:p>
          <w:p w14:paraId="4F1CD1D6">
            <w:pPr>
              <w:widowControl/>
              <w:jc w:val="left"/>
              <w:textAlignment w:val="center"/>
              <w:rPr>
                <w:rFonts w:ascii="宋体" w:hAnsi="宋体" w:cs="宋体"/>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2</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rPr>
              <w:t>为保证产品可用性，供货时采购人有权对产品功能进行逐条验证，若不满足功能需求的，按虚假应标处理，采购人有权解除合同，供应商应赔偿因此对采购人造成的全部损失。</w:t>
            </w:r>
          </w:p>
          <w:p w14:paraId="7E91BA1B">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auto"/>
                <w:szCs w:val="21"/>
              </w:rPr>
              <w:t>2</w:t>
            </w:r>
            <w:r>
              <w:rPr>
                <w:rFonts w:hint="eastAsia" w:ascii="宋体" w:hAnsi="宋体" w:cs="宋体"/>
                <w:color w:val="auto"/>
                <w:szCs w:val="21"/>
                <w:lang w:val="en-US" w:eastAsia="zh-CN"/>
              </w:rPr>
              <w:t>3</w:t>
            </w:r>
            <w:r>
              <w:rPr>
                <w:rFonts w:hint="eastAsia" w:ascii="宋体" w:hAnsi="宋体" w:cs="宋体"/>
                <w:color w:val="auto"/>
                <w:szCs w:val="21"/>
              </w:rPr>
              <w:t>.</w:t>
            </w:r>
            <w:r>
              <w:rPr>
                <w:rFonts w:hint="eastAsia" w:ascii="宋体" w:hAnsi="宋体" w:cs="宋体"/>
                <w:color w:val="auto"/>
                <w:szCs w:val="21"/>
                <w:lang w:eastAsia="zh-CN"/>
              </w:rPr>
              <w:t>▲</w:t>
            </w:r>
            <w:r>
              <w:rPr>
                <w:rFonts w:hint="eastAsia" w:ascii="宋体" w:hAnsi="宋体" w:cs="宋体"/>
                <w:color w:val="auto"/>
                <w:szCs w:val="21"/>
              </w:rPr>
              <w:t>成交供应商成交后3日内需提供样机，进行功能检测，提供检测报告证明，如不满足响应要求，采购方有权拒收。验收时必须提供生产厂家针对本项目开具的售后服务承诺函。（加盖单位公章）。</w:t>
            </w:r>
          </w:p>
        </w:tc>
        <w:tc>
          <w:tcPr>
            <w:tcW w:w="723" w:type="dxa"/>
            <w:shd w:val="clear" w:color="auto" w:fill="auto"/>
            <w:vAlign w:val="center"/>
          </w:tcPr>
          <w:p w14:paraId="6312F6F7">
            <w:pPr>
              <w:widowControl/>
              <w:jc w:val="center"/>
              <w:textAlignment w:val="center"/>
              <w:rPr>
                <w:rFonts w:ascii="宋体" w:hAnsi="宋体" w:cs="宋体"/>
                <w:color w:val="000000"/>
                <w:szCs w:val="21"/>
              </w:rPr>
            </w:pPr>
            <w:r>
              <w:rPr>
                <w:rFonts w:hint="eastAsia" w:ascii="宋体" w:hAnsi="宋体" w:cs="宋体"/>
                <w:color w:val="000000"/>
                <w:kern w:val="0"/>
                <w:sz w:val="20"/>
                <w:szCs w:val="20"/>
                <w:lang w:bidi="ar"/>
              </w:rPr>
              <w:t>台</w:t>
            </w:r>
          </w:p>
        </w:tc>
        <w:tc>
          <w:tcPr>
            <w:tcW w:w="1227" w:type="dxa"/>
            <w:shd w:val="clear" w:color="auto" w:fill="auto"/>
            <w:vAlign w:val="center"/>
          </w:tcPr>
          <w:p w14:paraId="6A6C2B24">
            <w:pPr>
              <w:widowControl/>
              <w:jc w:val="center"/>
              <w:textAlignment w:val="center"/>
              <w:rPr>
                <w:rFonts w:ascii="宋体" w:hAnsi="宋体" w:cs="宋体"/>
                <w:color w:val="000000"/>
                <w:szCs w:val="21"/>
              </w:rPr>
            </w:pPr>
            <w:r>
              <w:rPr>
                <w:rFonts w:hint="eastAsia" w:ascii="宋体" w:hAnsi="宋体" w:cs="宋体"/>
                <w:color w:val="000000"/>
                <w:kern w:val="0"/>
                <w:sz w:val="20"/>
                <w:szCs w:val="20"/>
                <w:lang w:bidi="ar"/>
              </w:rPr>
              <w:t>1</w:t>
            </w:r>
          </w:p>
        </w:tc>
        <w:tc>
          <w:tcPr>
            <w:tcW w:w="641" w:type="dxa"/>
            <w:shd w:val="clear" w:color="auto" w:fill="auto"/>
            <w:vAlign w:val="center"/>
          </w:tcPr>
          <w:p w14:paraId="50AA2F90">
            <w:pPr>
              <w:widowControl/>
              <w:jc w:val="center"/>
              <w:textAlignment w:val="center"/>
              <w:rPr>
                <w:rFonts w:hint="default" w:eastAsia="宋体"/>
                <w:lang w:val="en-US" w:eastAsia="zh-CN"/>
              </w:rPr>
            </w:pPr>
            <w:bookmarkStart w:id="0" w:name="_GoBack"/>
            <w:bookmarkEnd w:id="0"/>
          </w:p>
        </w:tc>
      </w:tr>
    </w:tbl>
    <w:p w14:paraId="50B6AE41"/>
    <w:p w14:paraId="6C9C87BE"/>
    <w:p w14:paraId="19E52891"/>
    <w:p w14:paraId="42ED8BC3"/>
    <w:p w14:paraId="68A55FB5"/>
    <w:p w14:paraId="2E3611C2"/>
    <w:p w14:paraId="2E64949D"/>
    <w:tbl>
      <w:tblPr>
        <w:tblStyle w:val="6"/>
        <w:tblW w:w="9737" w:type="dxa"/>
        <w:jc w:val="center"/>
        <w:tblLayout w:type="fixed"/>
        <w:tblCellMar>
          <w:top w:w="0" w:type="dxa"/>
          <w:left w:w="108" w:type="dxa"/>
          <w:bottom w:w="0" w:type="dxa"/>
          <w:right w:w="108" w:type="dxa"/>
        </w:tblCellMar>
      </w:tblPr>
      <w:tblGrid>
        <w:gridCol w:w="3615"/>
        <w:gridCol w:w="6122"/>
      </w:tblGrid>
      <w:tr w14:paraId="054C1E93">
        <w:tblPrEx>
          <w:tblCellMar>
            <w:top w:w="0" w:type="dxa"/>
            <w:left w:w="108" w:type="dxa"/>
            <w:bottom w:w="0" w:type="dxa"/>
            <w:right w:w="108" w:type="dxa"/>
          </w:tblCellMar>
        </w:tblPrEx>
        <w:trPr>
          <w:trHeight w:val="600" w:hRule="atLeast"/>
          <w:jc w:val="center"/>
        </w:trPr>
        <w:tc>
          <w:tcPr>
            <w:tcW w:w="9737" w:type="dxa"/>
            <w:gridSpan w:val="2"/>
            <w:tcBorders>
              <w:top w:val="single" w:color="000000" w:sz="4" w:space="0"/>
              <w:left w:val="single" w:color="000000" w:sz="4" w:space="0"/>
              <w:bottom w:val="single" w:color="000000" w:sz="4" w:space="0"/>
              <w:right w:val="single" w:color="000000" w:sz="4" w:space="0"/>
            </w:tcBorders>
            <w:noWrap/>
            <w:vAlign w:val="center"/>
          </w:tcPr>
          <w:p w14:paraId="64228C20">
            <w:pPr>
              <w:widowControl/>
              <w:jc w:val="center"/>
              <w:textAlignment w:val="center"/>
              <w:rPr>
                <w:rFonts w:ascii="宋体" w:hAnsi="宋体" w:cs="宋体"/>
                <w:kern w:val="0"/>
                <w:szCs w:val="21"/>
                <w:lang w:bidi="ar"/>
              </w:rPr>
            </w:pPr>
            <w:r>
              <w:rPr>
                <w:rFonts w:hint="eastAsia" w:ascii="宋体" w:hAnsi="宋体"/>
                <w:b/>
                <w:sz w:val="32"/>
                <w:szCs w:val="32"/>
              </w:rPr>
              <w:t>商务要求</w:t>
            </w:r>
          </w:p>
        </w:tc>
      </w:tr>
      <w:tr w14:paraId="51AE18B5">
        <w:tblPrEx>
          <w:tblCellMar>
            <w:top w:w="0" w:type="dxa"/>
            <w:left w:w="108" w:type="dxa"/>
            <w:bottom w:w="0" w:type="dxa"/>
            <w:right w:w="108" w:type="dxa"/>
          </w:tblCellMar>
        </w:tblPrEx>
        <w:trPr>
          <w:trHeight w:val="600" w:hRule="atLeast"/>
          <w:jc w:val="center"/>
        </w:trPr>
        <w:tc>
          <w:tcPr>
            <w:tcW w:w="3615" w:type="dxa"/>
            <w:tcBorders>
              <w:top w:val="single" w:color="000000" w:sz="4" w:space="0"/>
              <w:left w:val="single" w:color="000000" w:sz="4" w:space="0"/>
              <w:bottom w:val="single" w:color="000000" w:sz="4" w:space="0"/>
              <w:right w:val="single" w:color="000000" w:sz="4" w:space="0"/>
            </w:tcBorders>
            <w:noWrap/>
            <w:vAlign w:val="center"/>
          </w:tcPr>
          <w:p w14:paraId="47D5D518">
            <w:pPr>
              <w:widowControl/>
              <w:jc w:val="left"/>
              <w:textAlignment w:val="center"/>
              <w:rPr>
                <w:rFonts w:ascii="宋体" w:hAnsi="宋体"/>
                <w:b/>
                <w:szCs w:val="21"/>
              </w:rPr>
            </w:pPr>
            <w:r>
              <w:rPr>
                <w:rFonts w:hint="eastAsia" w:ascii="宋体" w:hAnsi="宋体" w:cs="宋体"/>
                <w:szCs w:val="21"/>
              </w:rPr>
              <w:t>▲交付的时间和地点</w:t>
            </w:r>
          </w:p>
        </w:tc>
        <w:tc>
          <w:tcPr>
            <w:tcW w:w="6122" w:type="dxa"/>
            <w:tcBorders>
              <w:top w:val="single" w:color="000000" w:sz="4" w:space="0"/>
              <w:left w:val="single" w:color="000000" w:sz="4" w:space="0"/>
              <w:bottom w:val="single" w:color="000000" w:sz="4" w:space="0"/>
              <w:right w:val="single" w:color="000000" w:sz="4" w:space="0"/>
            </w:tcBorders>
            <w:noWrap/>
            <w:vAlign w:val="center"/>
          </w:tcPr>
          <w:p w14:paraId="0ABFF589">
            <w:pPr>
              <w:jc w:val="left"/>
              <w:rPr>
                <w:rFonts w:ascii="宋体" w:hAnsi="宋体" w:cs="宋体"/>
                <w:szCs w:val="21"/>
              </w:rPr>
            </w:pPr>
            <w:r>
              <w:rPr>
                <w:rFonts w:hint="eastAsia" w:ascii="宋体" w:hAnsi="宋体" w:cs="宋体"/>
                <w:szCs w:val="21"/>
              </w:rPr>
              <w:t>1.交付时间：合同签订后</w:t>
            </w:r>
            <w:r>
              <w:rPr>
                <w:rFonts w:ascii="宋体" w:hAnsi="宋体" w:cs="宋体"/>
                <w:szCs w:val="21"/>
              </w:rPr>
              <w:t>30</w:t>
            </w:r>
            <w:r>
              <w:rPr>
                <w:rFonts w:hint="eastAsia" w:ascii="宋体" w:hAnsi="宋体" w:cs="宋体"/>
                <w:szCs w:val="21"/>
              </w:rPr>
              <w:t>日内投入使用。</w:t>
            </w:r>
          </w:p>
          <w:p w14:paraId="3ABEE822">
            <w:pPr>
              <w:widowControl/>
              <w:jc w:val="left"/>
              <w:textAlignment w:val="center"/>
              <w:rPr>
                <w:rFonts w:ascii="宋体" w:hAnsi="宋体"/>
                <w:b/>
                <w:szCs w:val="21"/>
              </w:rPr>
            </w:pPr>
            <w:r>
              <w:rPr>
                <w:rFonts w:hint="eastAsia" w:ascii="宋体" w:hAnsi="宋体" w:cs="宋体"/>
                <w:szCs w:val="21"/>
              </w:rPr>
              <w:t>2.交付地点：采购人指定地点。</w:t>
            </w:r>
          </w:p>
        </w:tc>
      </w:tr>
      <w:tr w14:paraId="0B2C41C7">
        <w:tblPrEx>
          <w:tblCellMar>
            <w:top w:w="0" w:type="dxa"/>
            <w:left w:w="108" w:type="dxa"/>
            <w:bottom w:w="0" w:type="dxa"/>
            <w:right w:w="108" w:type="dxa"/>
          </w:tblCellMar>
        </w:tblPrEx>
        <w:trPr>
          <w:trHeight w:val="600" w:hRule="atLeast"/>
          <w:jc w:val="center"/>
        </w:trPr>
        <w:tc>
          <w:tcPr>
            <w:tcW w:w="3615" w:type="dxa"/>
            <w:tcBorders>
              <w:top w:val="single" w:color="000000" w:sz="4" w:space="0"/>
              <w:left w:val="single" w:color="000000" w:sz="4" w:space="0"/>
              <w:bottom w:val="single" w:color="000000" w:sz="4" w:space="0"/>
              <w:right w:val="single" w:color="000000" w:sz="4" w:space="0"/>
            </w:tcBorders>
            <w:noWrap/>
            <w:vAlign w:val="center"/>
          </w:tcPr>
          <w:p w14:paraId="00FB63A1">
            <w:pPr>
              <w:widowControl/>
              <w:jc w:val="left"/>
              <w:textAlignment w:val="center"/>
              <w:rPr>
                <w:rFonts w:ascii="宋体" w:hAnsi="宋体" w:cs="宋体"/>
                <w:szCs w:val="21"/>
              </w:rPr>
            </w:pPr>
            <w:r>
              <w:rPr>
                <w:rFonts w:hint="eastAsia" w:ascii="宋体" w:hAnsi="宋体" w:cs="宋体"/>
                <w:szCs w:val="21"/>
              </w:rPr>
              <w:t>▲合同签订时间</w:t>
            </w:r>
          </w:p>
        </w:tc>
        <w:tc>
          <w:tcPr>
            <w:tcW w:w="6122" w:type="dxa"/>
            <w:tcBorders>
              <w:top w:val="single" w:color="000000" w:sz="4" w:space="0"/>
              <w:left w:val="single" w:color="000000" w:sz="4" w:space="0"/>
              <w:bottom w:val="single" w:color="000000" w:sz="4" w:space="0"/>
              <w:right w:val="single" w:color="000000" w:sz="4" w:space="0"/>
            </w:tcBorders>
            <w:noWrap/>
            <w:vAlign w:val="center"/>
          </w:tcPr>
          <w:p w14:paraId="7A256954">
            <w:pPr>
              <w:widowControl/>
              <w:jc w:val="left"/>
              <w:textAlignment w:val="center"/>
              <w:rPr>
                <w:rFonts w:ascii="宋体" w:hAnsi="宋体"/>
                <w:b/>
                <w:szCs w:val="21"/>
              </w:rPr>
            </w:pPr>
            <w:r>
              <w:rPr>
                <w:rFonts w:hint="eastAsia" w:ascii="宋体" w:hAnsi="宋体" w:cs="宋体"/>
                <w:szCs w:val="21"/>
              </w:rPr>
              <w:t>自成交通知书发</w:t>
            </w:r>
            <w:r>
              <w:rPr>
                <w:rFonts w:hint="eastAsia" w:ascii="宋体" w:hAnsi="宋体" w:cs="宋体"/>
                <w:color w:val="auto"/>
                <w:szCs w:val="21"/>
              </w:rPr>
              <w:t>出之日起</w:t>
            </w:r>
            <w:r>
              <w:rPr>
                <w:rFonts w:hint="eastAsia" w:ascii="宋体" w:hAnsi="宋体" w:cs="宋体"/>
                <w:color w:val="auto"/>
                <w:szCs w:val="21"/>
                <w:u w:val="single"/>
                <w:lang w:val="en-US" w:eastAsia="zh-CN"/>
              </w:rPr>
              <w:t>20</w:t>
            </w:r>
            <w:r>
              <w:rPr>
                <w:rFonts w:hint="eastAsia" w:ascii="宋体" w:hAnsi="宋体" w:cs="宋体"/>
                <w:color w:val="auto"/>
                <w:szCs w:val="21"/>
              </w:rPr>
              <w:t>日内。</w:t>
            </w:r>
          </w:p>
        </w:tc>
      </w:tr>
      <w:tr w14:paraId="077AD321">
        <w:tblPrEx>
          <w:tblCellMar>
            <w:top w:w="0" w:type="dxa"/>
            <w:left w:w="108" w:type="dxa"/>
            <w:bottom w:w="0" w:type="dxa"/>
            <w:right w:w="108" w:type="dxa"/>
          </w:tblCellMar>
        </w:tblPrEx>
        <w:trPr>
          <w:trHeight w:val="600" w:hRule="atLeast"/>
          <w:jc w:val="center"/>
        </w:trPr>
        <w:tc>
          <w:tcPr>
            <w:tcW w:w="3615" w:type="dxa"/>
            <w:tcBorders>
              <w:top w:val="single" w:color="000000" w:sz="4" w:space="0"/>
              <w:left w:val="single" w:color="000000" w:sz="4" w:space="0"/>
              <w:bottom w:val="single" w:color="000000" w:sz="4" w:space="0"/>
              <w:right w:val="single" w:color="000000" w:sz="4" w:space="0"/>
            </w:tcBorders>
            <w:noWrap/>
            <w:vAlign w:val="center"/>
          </w:tcPr>
          <w:p w14:paraId="764E9E3D">
            <w:pPr>
              <w:widowControl/>
              <w:jc w:val="left"/>
              <w:textAlignment w:val="center"/>
              <w:rPr>
                <w:rFonts w:ascii="宋体" w:hAnsi="宋体" w:cs="宋体"/>
                <w:szCs w:val="21"/>
              </w:rPr>
            </w:pPr>
            <w:r>
              <w:rPr>
                <w:rFonts w:hint="eastAsia" w:ascii="宋体" w:hAnsi="宋体" w:cs="宋体"/>
                <w:szCs w:val="21"/>
              </w:rPr>
              <w:t>▲付款条件</w:t>
            </w:r>
          </w:p>
        </w:tc>
        <w:tc>
          <w:tcPr>
            <w:tcW w:w="6122" w:type="dxa"/>
            <w:tcBorders>
              <w:top w:val="single" w:color="000000" w:sz="4" w:space="0"/>
              <w:left w:val="single" w:color="000000" w:sz="4" w:space="0"/>
              <w:bottom w:val="single" w:color="000000" w:sz="4" w:space="0"/>
              <w:right w:val="single" w:color="000000" w:sz="4" w:space="0"/>
            </w:tcBorders>
            <w:noWrap/>
            <w:vAlign w:val="center"/>
          </w:tcPr>
          <w:p w14:paraId="545FFA75">
            <w:pPr>
              <w:widowControl/>
              <w:jc w:val="left"/>
              <w:textAlignment w:val="center"/>
              <w:rPr>
                <w:rFonts w:ascii="宋体" w:hAnsi="宋体" w:cs="宋体"/>
                <w:szCs w:val="21"/>
              </w:rPr>
            </w:pPr>
            <w:r>
              <w:rPr>
                <w:rFonts w:hint="eastAsia" w:ascii="宋体" w:hAnsi="宋体" w:cs="宋体"/>
                <w:szCs w:val="21"/>
              </w:rPr>
              <w:t>本项目无预付款，乙方在安装完毕并通过验收合格后三个工作日内将合法发票开具给甲方，甲方在收到发票后</w:t>
            </w:r>
            <w:r>
              <w:rPr>
                <w:rFonts w:hint="eastAsia" w:ascii="宋体" w:hAnsi="宋体" w:cs="宋体"/>
                <w:szCs w:val="21"/>
                <w:lang w:val="en-US" w:eastAsia="zh-CN"/>
              </w:rPr>
              <w:t>二十</w:t>
            </w:r>
            <w:r>
              <w:rPr>
                <w:rFonts w:hint="eastAsia" w:ascii="宋体" w:hAnsi="宋体" w:cs="宋体"/>
                <w:szCs w:val="21"/>
              </w:rPr>
              <w:t>个工作日内一次性付清乙方的全部货款。</w:t>
            </w:r>
          </w:p>
        </w:tc>
      </w:tr>
      <w:tr w14:paraId="5C7E97E4">
        <w:tblPrEx>
          <w:tblCellMar>
            <w:top w:w="0" w:type="dxa"/>
            <w:left w:w="108" w:type="dxa"/>
            <w:bottom w:w="0" w:type="dxa"/>
            <w:right w:w="108" w:type="dxa"/>
          </w:tblCellMar>
        </w:tblPrEx>
        <w:trPr>
          <w:trHeight w:val="600" w:hRule="atLeast"/>
          <w:jc w:val="center"/>
        </w:trPr>
        <w:tc>
          <w:tcPr>
            <w:tcW w:w="3615" w:type="dxa"/>
            <w:tcBorders>
              <w:top w:val="single" w:color="000000" w:sz="4" w:space="0"/>
              <w:left w:val="single" w:color="000000" w:sz="4" w:space="0"/>
              <w:bottom w:val="single" w:color="000000" w:sz="4" w:space="0"/>
              <w:right w:val="single" w:color="000000" w:sz="4" w:space="0"/>
            </w:tcBorders>
            <w:noWrap/>
            <w:vAlign w:val="center"/>
          </w:tcPr>
          <w:p w14:paraId="6C422575">
            <w:pPr>
              <w:jc w:val="left"/>
              <w:rPr>
                <w:rFonts w:ascii="宋体" w:hAnsi="宋体" w:cs="宋体"/>
                <w:szCs w:val="21"/>
              </w:rPr>
            </w:pPr>
            <w:r>
              <w:rPr>
                <w:rFonts w:hint="eastAsia" w:ascii="宋体" w:hAnsi="宋体" w:cs="宋体"/>
                <w:szCs w:val="21"/>
              </w:rPr>
              <w:t>▲售后服务</w:t>
            </w:r>
          </w:p>
        </w:tc>
        <w:tc>
          <w:tcPr>
            <w:tcW w:w="6122" w:type="dxa"/>
            <w:tcBorders>
              <w:top w:val="single" w:color="000000" w:sz="4" w:space="0"/>
              <w:left w:val="single" w:color="000000" w:sz="4" w:space="0"/>
              <w:bottom w:val="single" w:color="000000" w:sz="4" w:space="0"/>
              <w:right w:val="single" w:color="000000" w:sz="4" w:space="0"/>
            </w:tcBorders>
            <w:noWrap/>
            <w:vAlign w:val="center"/>
          </w:tcPr>
          <w:p w14:paraId="14DF33F5">
            <w:pPr>
              <w:rPr>
                <w:rFonts w:ascii="宋体" w:hAnsi="宋体" w:cs="宋体"/>
                <w:szCs w:val="21"/>
              </w:rPr>
            </w:pPr>
            <w:r>
              <w:rPr>
                <w:rFonts w:hint="eastAsia" w:ascii="宋体" w:hAnsi="宋体" w:cs="宋体"/>
                <w:szCs w:val="21"/>
              </w:rPr>
              <w:t>1.质保期：按国家有关产品“三包”规定执行“三包”，质保期除特别注明外，最短不得少于</w:t>
            </w:r>
            <w:r>
              <w:rPr>
                <w:rFonts w:hint="eastAsia" w:ascii="宋体" w:hAnsi="宋体" w:cs="宋体"/>
                <w:szCs w:val="21"/>
                <w:u w:val="single"/>
              </w:rPr>
              <w:t xml:space="preserve"> </w:t>
            </w:r>
            <w:r>
              <w:rPr>
                <w:rFonts w:ascii="宋体" w:hAnsi="宋体" w:cs="宋体"/>
                <w:szCs w:val="21"/>
                <w:u w:val="single"/>
              </w:rPr>
              <w:t>3</w:t>
            </w:r>
            <w:r>
              <w:rPr>
                <w:rFonts w:hint="eastAsia" w:ascii="宋体" w:hAnsi="宋体" w:cs="宋体"/>
                <w:szCs w:val="21"/>
                <w:u w:val="single"/>
              </w:rPr>
              <w:t xml:space="preserve"> </w:t>
            </w:r>
            <w:r>
              <w:rPr>
                <w:rFonts w:hint="eastAsia" w:ascii="宋体" w:hAnsi="宋体" w:cs="宋体"/>
                <w:szCs w:val="21"/>
              </w:rPr>
              <w:t>年。质保期内负责上门服务、维修、更换配件，不得收取任何费用。</w:t>
            </w:r>
          </w:p>
          <w:p w14:paraId="69EC448C">
            <w:pPr>
              <w:rPr>
                <w:rFonts w:ascii="宋体" w:hAnsi="宋体" w:cs="宋体"/>
                <w:szCs w:val="21"/>
              </w:rPr>
            </w:pPr>
            <w:r>
              <w:rPr>
                <w:rFonts w:hint="eastAsia" w:ascii="宋体" w:hAnsi="宋体" w:cs="宋体"/>
                <w:szCs w:val="21"/>
              </w:rPr>
              <w:t xml:space="preserve">2.售后服务费用包含在报价中，售后服务内容如下： </w:t>
            </w:r>
          </w:p>
          <w:p w14:paraId="60ACCB46">
            <w:pPr>
              <w:rPr>
                <w:rFonts w:ascii="宋体" w:hAnsi="宋体" w:cs="宋体"/>
                <w:szCs w:val="21"/>
              </w:rPr>
            </w:pPr>
            <w:r>
              <w:rPr>
                <w:rFonts w:hint="eastAsia" w:ascii="宋体" w:hAnsi="宋体" w:cs="宋体"/>
                <w:szCs w:val="21"/>
              </w:rPr>
              <w:t>（1）负责上门安装调试，培训操作人员。</w:t>
            </w:r>
          </w:p>
          <w:p w14:paraId="5B3486B2">
            <w:pPr>
              <w:rPr>
                <w:rFonts w:hint="eastAsia" w:ascii="宋体" w:hAnsi="宋体" w:cs="宋体"/>
                <w:szCs w:val="21"/>
              </w:rPr>
            </w:pPr>
            <w:r>
              <w:rPr>
                <w:rFonts w:hint="eastAsia" w:ascii="宋体" w:hAnsi="宋体" w:cs="宋体"/>
                <w:szCs w:val="21"/>
              </w:rPr>
              <w:t>（2）定期回访以及对维护。</w:t>
            </w:r>
          </w:p>
          <w:p w14:paraId="63ACA6EA">
            <w:pPr>
              <w:rPr>
                <w:rFonts w:hint="eastAsia" w:ascii="宋体" w:hAnsi="宋体" w:cs="宋体"/>
                <w:szCs w:val="21"/>
              </w:rPr>
            </w:pPr>
            <w:r>
              <w:rPr>
                <w:rFonts w:ascii="宋体" w:hAnsi="宋体" w:cs="宋体"/>
                <w:color w:val="auto"/>
                <w:szCs w:val="21"/>
              </w:rPr>
              <w:t>3.</w:t>
            </w:r>
            <w:r>
              <w:rPr>
                <w:rFonts w:hint="eastAsia" w:ascii="宋体" w:hAnsi="宋体" w:cs="宋体"/>
                <w:color w:val="auto"/>
                <w:szCs w:val="21"/>
              </w:rPr>
              <w:t>维保服务：三年后设备软件升级和硬件维保服务，一年不能超过设备总价</w:t>
            </w:r>
            <w:r>
              <w:rPr>
                <w:rFonts w:ascii="宋体" w:hAnsi="宋体" w:cs="宋体"/>
                <w:color w:val="auto"/>
                <w:szCs w:val="21"/>
              </w:rPr>
              <w:t>10%</w:t>
            </w:r>
            <w:r>
              <w:rPr>
                <w:rFonts w:hint="eastAsia" w:ascii="宋体" w:hAnsi="宋体" w:cs="宋体"/>
                <w:color w:val="auto"/>
                <w:szCs w:val="21"/>
              </w:rPr>
              <w:t>，三年不能超设备总价3</w:t>
            </w:r>
            <w:r>
              <w:rPr>
                <w:rFonts w:ascii="宋体" w:hAnsi="宋体" w:cs="宋体"/>
                <w:color w:val="auto"/>
                <w:szCs w:val="21"/>
              </w:rPr>
              <w:t>0%</w:t>
            </w:r>
            <w:r>
              <w:rPr>
                <w:rFonts w:hint="eastAsia" w:ascii="宋体" w:hAnsi="宋体" w:cs="宋体"/>
                <w:color w:val="auto"/>
                <w:szCs w:val="21"/>
              </w:rPr>
              <w:t>。</w:t>
            </w:r>
          </w:p>
        </w:tc>
      </w:tr>
      <w:tr w14:paraId="624DA621">
        <w:tblPrEx>
          <w:tblCellMar>
            <w:top w:w="0" w:type="dxa"/>
            <w:left w:w="108" w:type="dxa"/>
            <w:bottom w:w="0" w:type="dxa"/>
            <w:right w:w="108" w:type="dxa"/>
          </w:tblCellMar>
        </w:tblPrEx>
        <w:trPr>
          <w:trHeight w:val="600" w:hRule="atLeast"/>
          <w:jc w:val="center"/>
        </w:trPr>
        <w:tc>
          <w:tcPr>
            <w:tcW w:w="3615" w:type="dxa"/>
            <w:tcBorders>
              <w:top w:val="single" w:color="000000" w:sz="4" w:space="0"/>
              <w:left w:val="single" w:color="000000" w:sz="4" w:space="0"/>
              <w:bottom w:val="single" w:color="000000" w:sz="4" w:space="0"/>
              <w:right w:val="single" w:color="000000" w:sz="4" w:space="0"/>
            </w:tcBorders>
            <w:noWrap/>
            <w:vAlign w:val="center"/>
          </w:tcPr>
          <w:p w14:paraId="459386DC">
            <w:pPr>
              <w:widowControl/>
              <w:jc w:val="left"/>
              <w:textAlignment w:val="center"/>
              <w:rPr>
                <w:rFonts w:ascii="宋体" w:hAnsi="宋体" w:cs="宋体"/>
                <w:szCs w:val="21"/>
              </w:rPr>
            </w:pPr>
            <w:r>
              <w:rPr>
                <w:rFonts w:hint="eastAsia" w:ascii="宋体" w:hAnsi="宋体" w:cs="宋体"/>
                <w:szCs w:val="21"/>
              </w:rPr>
              <w:t>▲</w:t>
            </w:r>
            <w:r>
              <w:rPr>
                <w:rFonts w:hint="eastAsia" w:ascii="宋体" w:hAnsi="宋体" w:cs="宋体"/>
                <w:kern w:val="0"/>
                <w:szCs w:val="21"/>
                <w:lang w:bidi="ar"/>
              </w:rPr>
              <w:t>规范标准</w:t>
            </w:r>
          </w:p>
        </w:tc>
        <w:tc>
          <w:tcPr>
            <w:tcW w:w="6122" w:type="dxa"/>
            <w:tcBorders>
              <w:top w:val="single" w:color="000000" w:sz="4" w:space="0"/>
              <w:left w:val="single" w:color="000000" w:sz="4" w:space="0"/>
              <w:bottom w:val="single" w:color="000000" w:sz="4" w:space="0"/>
              <w:right w:val="single" w:color="000000" w:sz="4" w:space="0"/>
            </w:tcBorders>
            <w:noWrap/>
            <w:vAlign w:val="center"/>
          </w:tcPr>
          <w:p w14:paraId="03EA159D">
            <w:pPr>
              <w:widowControl/>
              <w:jc w:val="left"/>
              <w:textAlignment w:val="center"/>
              <w:rPr>
                <w:rFonts w:ascii="宋体" w:hAnsi="宋体" w:cs="宋体"/>
                <w:szCs w:val="21"/>
              </w:rPr>
            </w:pPr>
            <w:r>
              <w:rPr>
                <w:rFonts w:hint="eastAsia" w:ascii="宋体" w:hAnsi="宋体" w:cs="宋体"/>
                <w:kern w:val="0"/>
                <w:szCs w:val="21"/>
                <w:lang w:bidi="ar"/>
              </w:rPr>
              <w:t>执行国家标准、行业标准、地方标准及其他标准、规范。</w:t>
            </w:r>
          </w:p>
        </w:tc>
      </w:tr>
      <w:tr w14:paraId="24F13FE1">
        <w:tblPrEx>
          <w:tblCellMar>
            <w:top w:w="0" w:type="dxa"/>
            <w:left w:w="108" w:type="dxa"/>
            <w:bottom w:w="0" w:type="dxa"/>
            <w:right w:w="108" w:type="dxa"/>
          </w:tblCellMar>
        </w:tblPrEx>
        <w:trPr>
          <w:trHeight w:val="600" w:hRule="atLeast"/>
          <w:jc w:val="center"/>
        </w:trPr>
        <w:tc>
          <w:tcPr>
            <w:tcW w:w="3615" w:type="dxa"/>
            <w:tcBorders>
              <w:top w:val="single" w:color="000000" w:sz="4" w:space="0"/>
              <w:left w:val="single" w:color="000000" w:sz="4" w:space="0"/>
              <w:bottom w:val="single" w:color="000000" w:sz="4" w:space="0"/>
              <w:right w:val="single" w:color="000000" w:sz="4" w:space="0"/>
            </w:tcBorders>
            <w:noWrap/>
            <w:vAlign w:val="center"/>
          </w:tcPr>
          <w:p w14:paraId="5BC29C58">
            <w:pPr>
              <w:tabs>
                <w:tab w:val="left" w:pos="180"/>
                <w:tab w:val="left" w:pos="1620"/>
              </w:tabs>
              <w:spacing w:line="360" w:lineRule="auto"/>
              <w:jc w:val="left"/>
              <w:rPr>
                <w:rFonts w:ascii="宋体" w:hAnsi="宋体"/>
                <w:szCs w:val="21"/>
              </w:rPr>
            </w:pPr>
            <w:r>
              <w:rPr>
                <w:rFonts w:hint="eastAsia" w:ascii="宋体" w:hAnsi="宋体" w:cs="宋体"/>
                <w:szCs w:val="21"/>
              </w:rPr>
              <w:t>▲</w:t>
            </w:r>
            <w:r>
              <w:rPr>
                <w:rFonts w:hint="eastAsia" w:ascii="宋体" w:hAnsi="宋体"/>
                <w:b/>
                <w:szCs w:val="21"/>
              </w:rPr>
              <w:t>验收标准</w:t>
            </w:r>
          </w:p>
        </w:tc>
        <w:tc>
          <w:tcPr>
            <w:tcW w:w="6122" w:type="dxa"/>
            <w:tcBorders>
              <w:top w:val="single" w:color="000000" w:sz="4" w:space="0"/>
              <w:left w:val="single" w:color="000000" w:sz="4" w:space="0"/>
              <w:bottom w:val="single" w:color="000000" w:sz="4" w:space="0"/>
              <w:right w:val="single" w:color="000000" w:sz="4" w:space="0"/>
            </w:tcBorders>
            <w:noWrap/>
            <w:vAlign w:val="center"/>
          </w:tcPr>
          <w:p w14:paraId="4CDE040C">
            <w:pPr>
              <w:rPr>
                <w:rFonts w:ascii="宋体" w:hAnsi="宋体" w:cs="宋体"/>
                <w:szCs w:val="21"/>
              </w:rPr>
            </w:pPr>
            <w:r>
              <w:rPr>
                <w:rFonts w:hint="eastAsia" w:ascii="宋体" w:hAnsi="宋体" w:cs="宋体"/>
                <w:szCs w:val="21"/>
              </w:rPr>
              <w:t>验收过程中所产生的一一切费用均由成交人承担。报价时应考虑相关费用。</w:t>
            </w:r>
          </w:p>
          <w:p w14:paraId="1673C395">
            <w:pPr>
              <w:rPr>
                <w:rFonts w:ascii="宋体" w:hAnsi="宋体" w:cs="宋体"/>
                <w:szCs w:val="21"/>
              </w:rPr>
            </w:pPr>
            <w:r>
              <w:rPr>
                <w:rFonts w:hint="eastAsia" w:ascii="宋体" w:hAnsi="宋体" w:cs="宋体"/>
                <w:szCs w:val="21"/>
              </w:rPr>
              <w:t>1.成交人代表必须参与现场安装、调试，验货时严格按照本次招标参数进行验货。如供货时出现有货物停产的情况，成交人必须提供具备与原货物技术参数要求相同或高于原货物技术参数要求的替代产品。</w:t>
            </w:r>
          </w:p>
          <w:p w14:paraId="5B925F76">
            <w:pPr>
              <w:widowControl/>
              <w:jc w:val="left"/>
              <w:textAlignment w:val="center"/>
              <w:rPr>
                <w:rFonts w:ascii="宋体" w:hAnsi="宋体" w:cs="宋体"/>
                <w:szCs w:val="21"/>
              </w:rPr>
            </w:pPr>
            <w:r>
              <w:rPr>
                <w:rFonts w:hint="eastAsia" w:ascii="宋体" w:hAnsi="宋体" w:cs="宋体"/>
                <w:szCs w:val="21"/>
              </w:rPr>
              <w:t>2.成交人应当保证其所提供的产品为符合国家知识产权法律法规要求的正规正版产品，为确保投标人所提供产品参数的真实性，中标产品验收时进行现场测试，满足要求后方能进行验收。若成交人所提供的产品为不符合国家知识产权法律法规要求的非正规正版产品或属于假冒伪劣商品的，其合同无效，还将按照国家相关法律法规的规定提请有关监管部门对其进行处理；</w:t>
            </w:r>
          </w:p>
          <w:p w14:paraId="691E6EB3">
            <w:pPr>
              <w:rPr>
                <w:rFonts w:hint="eastAsia" w:ascii="宋体" w:hAnsi="宋体" w:cs="宋体"/>
                <w:szCs w:val="21"/>
              </w:rPr>
            </w:pPr>
            <w:r>
              <w:rPr>
                <w:rFonts w:hint="eastAsia" w:ascii="宋体" w:hAnsi="宋体" w:cs="宋体"/>
                <w:szCs w:val="21"/>
              </w:rPr>
              <w:t>3</w:t>
            </w:r>
            <w:r>
              <w:rPr>
                <w:rFonts w:ascii="宋体" w:hAnsi="宋体" w:cs="宋体"/>
                <w:szCs w:val="21"/>
              </w:rPr>
              <w:t>.</w:t>
            </w:r>
            <w:r>
              <w:rPr>
                <w:rFonts w:hint="eastAsia" w:ascii="宋体" w:hAnsi="宋体" w:cs="宋体"/>
                <w:szCs w:val="21"/>
              </w:rPr>
              <w:t xml:space="preserve"> 为保证产品可用性，供货时采购人有权对产品功能进行逐条验证，若不满足功能需求的，按虚假应标处理，采购人有权解除合同，供应商应赔偿因此对采购人造成的全部损失；</w:t>
            </w:r>
          </w:p>
          <w:p w14:paraId="3F432D4B">
            <w:pPr>
              <w:rPr>
                <w:rFonts w:hint="eastAsia" w:ascii="宋体" w:hAnsi="宋体" w:cs="宋体"/>
                <w:szCs w:val="21"/>
              </w:rPr>
            </w:pPr>
            <w:r>
              <w:rPr>
                <w:rFonts w:hint="eastAsia" w:ascii="宋体" w:hAnsi="宋体" w:cs="宋体"/>
                <w:szCs w:val="21"/>
              </w:rPr>
              <w:t>4.验收时必须提供生产厂家针对本项目开具的售后服务承诺函。（加盖单位公章）。</w:t>
            </w:r>
          </w:p>
          <w:p w14:paraId="3ED169B7">
            <w:pPr>
              <w:rPr>
                <w:rFonts w:hint="default" w:ascii="宋体" w:hAnsi="宋体" w:eastAsia="宋体" w:cs="宋体"/>
                <w:szCs w:val="21"/>
                <w:lang w:val="en-US" w:eastAsia="zh-CN"/>
              </w:rPr>
            </w:pPr>
            <w:r>
              <w:rPr>
                <w:rFonts w:hint="eastAsia" w:ascii="宋体" w:hAnsi="宋体" w:cs="宋体"/>
                <w:szCs w:val="21"/>
                <w:lang w:val="en-US" w:eastAsia="zh-CN"/>
              </w:rPr>
              <w:t>5.</w:t>
            </w:r>
            <w:r>
              <w:rPr>
                <w:rFonts w:hint="eastAsia" w:ascii="宋体" w:hAnsi="宋体" w:cs="宋体"/>
                <w:szCs w:val="21"/>
              </w:rPr>
              <w:t>竟标供应商必须完全响应品牌、型号、参数，对不能满足参数要求虚假响应，或者无法正常交货影响业主使用的，业主可作为废标处理，并按有关规定处理；</w:t>
            </w:r>
          </w:p>
        </w:tc>
      </w:tr>
    </w:tbl>
    <w:p w14:paraId="1A9D0624">
      <w:pPr>
        <w:rPr>
          <w:rFonts w:hint="eastAsia"/>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7F540">
    <w:pPr>
      <w:pStyle w:val="5"/>
      <w:jc w:val="both"/>
    </w:pPr>
  </w:p>
  <w:p w14:paraId="7046854F">
    <w:pPr>
      <w:widowControl/>
      <w:spacing w:line="440" w:lineRule="exact"/>
      <w:jc w:val="left"/>
      <w:rPr>
        <w:rFonts w:hint="eastAsia" w:ascii="宋体" w:hAnsi="宋体" w:cs="宋体"/>
        <w:color w:val="0000FF"/>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Y2NiOTE2MzVmMDE3NWEzODhkNDFlMjNiMjc3YTAifQ=="/>
  </w:docVars>
  <w:rsids>
    <w:rsidRoot w:val="1FD73D14"/>
    <w:rsid w:val="000B5BD4"/>
    <w:rsid w:val="001506A7"/>
    <w:rsid w:val="001E04E8"/>
    <w:rsid w:val="00261324"/>
    <w:rsid w:val="00270770"/>
    <w:rsid w:val="00285185"/>
    <w:rsid w:val="002B0662"/>
    <w:rsid w:val="003178AB"/>
    <w:rsid w:val="00342F48"/>
    <w:rsid w:val="003956EA"/>
    <w:rsid w:val="0042553F"/>
    <w:rsid w:val="004262DD"/>
    <w:rsid w:val="004668AF"/>
    <w:rsid w:val="00484B12"/>
    <w:rsid w:val="004C274C"/>
    <w:rsid w:val="0050787C"/>
    <w:rsid w:val="00514804"/>
    <w:rsid w:val="005844EF"/>
    <w:rsid w:val="005E49FD"/>
    <w:rsid w:val="005F7E64"/>
    <w:rsid w:val="00613E27"/>
    <w:rsid w:val="00647869"/>
    <w:rsid w:val="00656251"/>
    <w:rsid w:val="00871BA8"/>
    <w:rsid w:val="00890553"/>
    <w:rsid w:val="008B00DE"/>
    <w:rsid w:val="008C2A1B"/>
    <w:rsid w:val="008F2A5C"/>
    <w:rsid w:val="00962430"/>
    <w:rsid w:val="009F02C6"/>
    <w:rsid w:val="00A072B8"/>
    <w:rsid w:val="00A1218D"/>
    <w:rsid w:val="00A60B74"/>
    <w:rsid w:val="00A75A0F"/>
    <w:rsid w:val="00AD5023"/>
    <w:rsid w:val="00B04D08"/>
    <w:rsid w:val="00BE14DB"/>
    <w:rsid w:val="00C37C20"/>
    <w:rsid w:val="00CC1D0A"/>
    <w:rsid w:val="00CF71D4"/>
    <w:rsid w:val="00D026B2"/>
    <w:rsid w:val="00D27A79"/>
    <w:rsid w:val="00DA0A16"/>
    <w:rsid w:val="00F5711E"/>
    <w:rsid w:val="00FC4C1F"/>
    <w:rsid w:val="00FF1316"/>
    <w:rsid w:val="06806A6A"/>
    <w:rsid w:val="0A00497C"/>
    <w:rsid w:val="0BA6192E"/>
    <w:rsid w:val="0CE42333"/>
    <w:rsid w:val="15EC4007"/>
    <w:rsid w:val="163F682C"/>
    <w:rsid w:val="1CD06430"/>
    <w:rsid w:val="1FD73D14"/>
    <w:rsid w:val="20C725C4"/>
    <w:rsid w:val="22D14CB0"/>
    <w:rsid w:val="23963804"/>
    <w:rsid w:val="27271343"/>
    <w:rsid w:val="27337CE7"/>
    <w:rsid w:val="29422464"/>
    <w:rsid w:val="2B0E4E85"/>
    <w:rsid w:val="2D7800A1"/>
    <w:rsid w:val="383766D8"/>
    <w:rsid w:val="39E1660B"/>
    <w:rsid w:val="3DF668A1"/>
    <w:rsid w:val="405C1C05"/>
    <w:rsid w:val="447D214A"/>
    <w:rsid w:val="46066A79"/>
    <w:rsid w:val="47E81FD1"/>
    <w:rsid w:val="58B55EFF"/>
    <w:rsid w:val="69DB153D"/>
    <w:rsid w:val="6BAB7C09"/>
    <w:rsid w:val="6D870E2A"/>
    <w:rsid w:val="71C56D5B"/>
    <w:rsid w:val="774D6AA8"/>
    <w:rsid w:val="78BC7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link w:val="9"/>
    <w:qFormat/>
    <w:uiPriority w:val="99"/>
    <w:pPr>
      <w:widowControl/>
      <w:spacing w:after="200" w:line="276" w:lineRule="auto"/>
      <w:ind w:left="720"/>
      <w:contextualSpacing/>
      <w:jc w:val="left"/>
    </w:pPr>
    <w:rPr>
      <w:rFonts w:asciiTheme="minorHAnsi" w:hAnsiTheme="minorHAnsi" w:eastAsiaTheme="minorEastAsia" w:cstheme="minorBidi"/>
      <w:kern w:val="0"/>
      <w:sz w:val="22"/>
      <w:szCs w:val="22"/>
    </w:rPr>
  </w:style>
  <w:style w:type="character" w:customStyle="1" w:styleId="9">
    <w:name w:val="列出段落 字符"/>
    <w:link w:val="8"/>
    <w:qFormat/>
    <w:uiPriority w:val="99"/>
    <w:rPr>
      <w:sz w:val="22"/>
      <w:szCs w:val="22"/>
    </w:rPr>
  </w:style>
  <w:style w:type="character" w:customStyle="1" w:styleId="10">
    <w:name w:val="页眉 字符"/>
    <w:basedOn w:val="7"/>
    <w:link w:val="5"/>
    <w:qFormat/>
    <w:uiPriority w:val="0"/>
    <w:rPr>
      <w:rFonts w:ascii="Times New Roman" w:hAnsi="Times New Roman" w:eastAsia="宋体" w:cs="Times New Roman"/>
      <w:kern w:val="2"/>
      <w:sz w:val="18"/>
      <w:szCs w:val="18"/>
    </w:rPr>
  </w:style>
  <w:style w:type="character" w:customStyle="1" w:styleId="11">
    <w:name w:val="页脚 字符"/>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2755</Words>
  <Characters>2960</Characters>
  <Lines>20</Lines>
  <Paragraphs>5</Paragraphs>
  <TotalTime>6</TotalTime>
  <ScaleCrop>false</ScaleCrop>
  <LinksUpToDate>false</LinksUpToDate>
  <CharactersWithSpaces>2992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秃秃</dc:creator>
  <cp:lastModifiedBy>蔡周晓</cp:lastModifiedBy>
  <cp:lastPrinted>2026-07-08T00:49:00Z</cp:lastPrinted>
  <dcterms:modified xsi:type="dcterms:W3CDTF">2026-07-16T06:55:21Z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A4B6718C76554724822968FF94D91143_13</vt:lpwstr>
  </property>
  <property fmtid="{D5CDD505-2E9C-101B-9397-08002B2CF9AE}" pid="4" name="KSOTemplateDocerSaveRecord">
    <vt:lpwstr>eyJoZGlkIjoiMTZjMzE1NzQ4NzMxZjNhYjE5YmZhZTllZTUyYzhlODEiLCJ1c2VySWQiOiIxNzE0ODU2MTM4In0=</vt:lpwstr>
  </property>
</Properties>
</file>