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0A4FC">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rPr>
        <w:t>广西金融职业技术学院会计学院</w:t>
      </w:r>
      <w:r>
        <w:rPr>
          <w:rFonts w:hint="eastAsia" w:ascii="宋体" w:hAnsi="宋体" w:eastAsia="宋体" w:cs="宋体"/>
          <w:b/>
          <w:bCs/>
          <w:sz w:val="32"/>
          <w:szCs w:val="32"/>
          <w:lang w:val="en-US" w:eastAsia="zh-CN"/>
        </w:rPr>
        <w:t>“现代学徒”基地项目</w:t>
      </w:r>
    </w:p>
    <w:p w14:paraId="6300DF0D">
      <w:pPr>
        <w:jc w:val="center"/>
        <w:rPr>
          <w:rFonts w:ascii="宋体" w:hAnsi="宋体" w:eastAsia="宋体" w:cs="宋体"/>
          <w:b/>
          <w:bCs/>
          <w:sz w:val="32"/>
          <w:szCs w:val="32"/>
        </w:rPr>
      </w:pPr>
      <w:r>
        <w:rPr>
          <w:rFonts w:hint="eastAsia" w:ascii="宋体" w:hAnsi="宋体" w:eastAsia="宋体" w:cs="宋体"/>
          <w:b/>
          <w:bCs/>
          <w:sz w:val="32"/>
          <w:szCs w:val="32"/>
        </w:rPr>
        <w:t>在线询价文件</w:t>
      </w:r>
    </w:p>
    <w:p w14:paraId="37835445">
      <w:pPr>
        <w:numPr>
          <w:ilvl w:val="0"/>
          <w:numId w:val="1"/>
        </w:numPr>
        <w:spacing w:line="440" w:lineRule="exact"/>
        <w:rPr>
          <w:rFonts w:ascii="宋体" w:hAnsi="宋体"/>
          <w:sz w:val="28"/>
          <w:szCs w:val="28"/>
        </w:rPr>
      </w:pPr>
      <w:r>
        <w:rPr>
          <w:rFonts w:hint="eastAsia" w:ascii="宋体" w:hAnsi="宋体"/>
          <w:bCs/>
          <w:sz w:val="28"/>
          <w:szCs w:val="28"/>
        </w:rPr>
        <w:t>项目名称</w:t>
      </w:r>
      <w:r>
        <w:rPr>
          <w:rFonts w:hint="eastAsia" w:ascii="宋体" w:hAnsi="宋体"/>
          <w:bCs/>
          <w:sz w:val="28"/>
          <w:szCs w:val="28"/>
          <w:lang w:eastAsia="zh-CN"/>
        </w:rPr>
        <w:t>：</w:t>
      </w:r>
      <w:r>
        <w:rPr>
          <w:rFonts w:hint="eastAsia" w:ascii="宋体" w:hAnsi="宋体" w:eastAsia="宋体" w:cs="宋体"/>
          <w:b w:val="0"/>
          <w:bCs w:val="0"/>
          <w:sz w:val="32"/>
          <w:szCs w:val="32"/>
        </w:rPr>
        <w:t>广西金融职业技术学院</w:t>
      </w:r>
      <w:r>
        <w:rPr>
          <w:rFonts w:hint="eastAsia"/>
          <w:sz w:val="28"/>
          <w:szCs w:val="28"/>
        </w:rPr>
        <w:t>会计学院“现代学徒”</w:t>
      </w:r>
      <w:r>
        <w:rPr>
          <w:rFonts w:hint="eastAsia"/>
          <w:sz w:val="28"/>
          <w:szCs w:val="28"/>
          <w:lang w:val="en-US" w:eastAsia="zh-CN"/>
        </w:rPr>
        <w:t>基地</w:t>
      </w:r>
      <w:r>
        <w:rPr>
          <w:rFonts w:hint="eastAsia"/>
          <w:sz w:val="28"/>
          <w:szCs w:val="28"/>
        </w:rPr>
        <w:t>项目</w:t>
      </w:r>
    </w:p>
    <w:p w14:paraId="1DC44610">
      <w:pPr>
        <w:numPr>
          <w:ilvl w:val="0"/>
          <w:numId w:val="1"/>
        </w:numPr>
        <w:spacing w:line="440" w:lineRule="exact"/>
        <w:rPr>
          <w:rFonts w:ascii="宋体" w:hAnsi="宋体"/>
          <w:bCs/>
          <w:sz w:val="28"/>
          <w:szCs w:val="28"/>
        </w:rPr>
      </w:pPr>
      <w:r>
        <w:rPr>
          <w:rFonts w:hint="eastAsia" w:ascii="宋体" w:hAnsi="宋体"/>
          <w:bCs/>
          <w:sz w:val="28"/>
          <w:szCs w:val="28"/>
        </w:rPr>
        <w:t>项目预算金额：</w:t>
      </w:r>
      <w:r>
        <w:rPr>
          <w:rFonts w:hint="eastAsia" w:ascii="宋体" w:hAnsi="宋体"/>
          <w:bCs/>
          <w:sz w:val="28"/>
          <w:szCs w:val="28"/>
          <w:lang w:val="en-US" w:eastAsia="zh-CN"/>
        </w:rPr>
        <w:t>64.45</w:t>
      </w:r>
      <w:r>
        <w:rPr>
          <w:rFonts w:hint="eastAsia" w:ascii="宋体" w:hAnsi="宋体"/>
          <w:bCs/>
          <w:sz w:val="28"/>
          <w:szCs w:val="28"/>
        </w:rPr>
        <w:t>万元</w:t>
      </w:r>
    </w:p>
    <w:p w14:paraId="523348ED">
      <w:pPr>
        <w:numPr>
          <w:ilvl w:val="0"/>
          <w:numId w:val="1"/>
        </w:numPr>
        <w:spacing w:line="440" w:lineRule="exact"/>
        <w:rPr>
          <w:rFonts w:hint="eastAsia" w:ascii="宋体" w:hAnsi="宋体"/>
          <w:bCs/>
          <w:sz w:val="28"/>
          <w:szCs w:val="28"/>
          <w:highlight w:val="none"/>
        </w:rPr>
      </w:pPr>
      <w:r>
        <w:rPr>
          <w:rFonts w:hint="eastAsia" w:ascii="宋体" w:hAnsi="宋体"/>
          <w:bCs/>
          <w:sz w:val="28"/>
          <w:szCs w:val="28"/>
          <w:highlight w:val="none"/>
        </w:rPr>
        <w:t>采购需求中带“▲”的条款</w:t>
      </w:r>
      <w:r>
        <w:rPr>
          <w:rFonts w:hint="eastAsia" w:ascii="宋体" w:hAnsi="宋体"/>
          <w:bCs/>
          <w:sz w:val="28"/>
          <w:szCs w:val="28"/>
          <w:highlight w:val="none"/>
          <w:lang w:val="en-US" w:eastAsia="zh-CN"/>
        </w:rPr>
        <w:t>为</w:t>
      </w:r>
      <w:r>
        <w:rPr>
          <w:rFonts w:hint="eastAsia" w:ascii="宋体" w:hAnsi="宋体"/>
          <w:bCs/>
          <w:sz w:val="28"/>
          <w:szCs w:val="28"/>
          <w:highlight w:val="none"/>
        </w:rPr>
        <w:t>实质性</w:t>
      </w:r>
      <w:r>
        <w:rPr>
          <w:rFonts w:hint="eastAsia" w:ascii="宋体" w:hAnsi="宋体"/>
          <w:bCs/>
          <w:sz w:val="28"/>
          <w:szCs w:val="28"/>
          <w:highlight w:val="none"/>
          <w:lang w:val="en-US" w:eastAsia="zh-CN"/>
        </w:rPr>
        <w:t>响应</w:t>
      </w:r>
      <w:r>
        <w:rPr>
          <w:rFonts w:hint="eastAsia" w:ascii="宋体" w:hAnsi="宋体"/>
          <w:bCs/>
          <w:sz w:val="28"/>
          <w:szCs w:val="28"/>
          <w:highlight w:val="none"/>
        </w:rPr>
        <w:t>要求。</w:t>
      </w:r>
    </w:p>
    <w:p w14:paraId="03E4B5D9">
      <w:pPr>
        <w:numPr>
          <w:ilvl w:val="0"/>
          <w:numId w:val="1"/>
        </w:numPr>
        <w:spacing w:line="440" w:lineRule="exact"/>
        <w:rPr>
          <w:rFonts w:ascii="宋体" w:hAnsi="宋体"/>
          <w:bCs/>
          <w:sz w:val="28"/>
          <w:szCs w:val="28"/>
        </w:rPr>
      </w:pPr>
      <w:r>
        <w:rPr>
          <w:rFonts w:hint="eastAsia" w:ascii="宋体" w:hAnsi="宋体"/>
          <w:bCs/>
          <w:sz w:val="28"/>
          <w:szCs w:val="28"/>
        </w:rPr>
        <w:t>采购项目技术规格、参数及要求</w:t>
      </w:r>
    </w:p>
    <w:tbl>
      <w:tblPr>
        <w:tblStyle w:val="7"/>
        <w:tblW w:w="5000" w:type="pct"/>
        <w:tblInd w:w="0" w:type="dxa"/>
        <w:tblLayout w:type="autofit"/>
        <w:tblCellMar>
          <w:top w:w="0" w:type="dxa"/>
          <w:left w:w="108" w:type="dxa"/>
          <w:bottom w:w="0" w:type="dxa"/>
          <w:right w:w="108" w:type="dxa"/>
        </w:tblCellMar>
      </w:tblPr>
      <w:tblGrid>
        <w:gridCol w:w="427"/>
        <w:gridCol w:w="1116"/>
        <w:gridCol w:w="5"/>
        <w:gridCol w:w="427"/>
        <w:gridCol w:w="3366"/>
        <w:gridCol w:w="427"/>
        <w:gridCol w:w="638"/>
        <w:gridCol w:w="741"/>
        <w:gridCol w:w="428"/>
        <w:gridCol w:w="947"/>
      </w:tblGrid>
      <w:tr w14:paraId="2ADB373E">
        <w:tblPrEx>
          <w:tblCellMar>
            <w:top w:w="0" w:type="dxa"/>
            <w:left w:w="108" w:type="dxa"/>
            <w:bottom w:w="0" w:type="dxa"/>
            <w:right w:w="108" w:type="dxa"/>
          </w:tblCellMar>
        </w:tblPrEx>
        <w:trPr>
          <w:trHeight w:val="1709" w:hRule="atLeast"/>
        </w:trPr>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F2193">
            <w:pPr>
              <w:widowControl/>
              <w:ind w:firstLine="0" w:firstLineChars="0"/>
              <w:jc w:val="center"/>
              <w:textAlignment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bidi="ar"/>
              </w:rPr>
              <w:t>项号</w:t>
            </w: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F36DE">
            <w:pPr>
              <w:widowControl/>
              <w:ind w:firstLine="0" w:firstLineChars="0"/>
              <w:jc w:val="center"/>
              <w:textAlignment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bidi="ar"/>
              </w:rPr>
              <w:t>服务项目名称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C1504">
            <w:pPr>
              <w:widowControl/>
              <w:ind w:firstLine="0" w:firstLineChars="0"/>
              <w:jc w:val="center"/>
              <w:textAlignment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bidi="ar"/>
              </w:rPr>
              <w:t>单位</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1A6F">
            <w:pPr>
              <w:widowControl/>
              <w:ind w:firstLine="0" w:firstLineChars="0"/>
              <w:jc w:val="center"/>
              <w:textAlignment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bidi="ar"/>
              </w:rPr>
              <w:t>货物（服务）内容及具体要求、技术参数</w:t>
            </w:r>
          </w:p>
        </w:tc>
        <w:tc>
          <w:tcPr>
            <w:tcW w:w="250" w:type="pct"/>
            <w:tcBorders>
              <w:top w:val="single" w:color="000000" w:sz="4" w:space="0"/>
              <w:left w:val="single" w:color="000000" w:sz="4" w:space="0"/>
              <w:right w:val="single" w:color="000000" w:sz="4" w:space="0"/>
            </w:tcBorders>
            <w:shd w:val="clear" w:color="auto" w:fill="auto"/>
            <w:vAlign w:val="center"/>
          </w:tcPr>
          <w:p w14:paraId="6880F2F7">
            <w:pPr>
              <w:widowControl/>
              <w:ind w:firstLine="0" w:firstLineChars="0"/>
              <w:jc w:val="center"/>
              <w:textAlignment w:val="center"/>
              <w:rPr>
                <w:rFonts w:hint="eastAsia" w:ascii="仿宋" w:hAnsi="仿宋" w:eastAsia="仿宋" w:cs="仿宋"/>
                <w:b/>
                <w:bCs/>
                <w:color w:val="000000"/>
                <w:kern w:val="0"/>
                <w:sz w:val="21"/>
                <w:szCs w:val="21"/>
                <w:highlight w:val="none"/>
                <w:lang w:bidi="ar"/>
              </w:rPr>
            </w:pPr>
            <w:r>
              <w:rPr>
                <w:rFonts w:hint="eastAsia" w:ascii="仿宋" w:hAnsi="仿宋" w:eastAsia="仿宋" w:cs="仿宋"/>
                <w:b/>
                <w:bCs/>
                <w:color w:val="000000"/>
                <w:kern w:val="0"/>
                <w:sz w:val="21"/>
                <w:szCs w:val="21"/>
                <w:highlight w:val="none"/>
                <w:lang w:bidi="ar"/>
              </w:rPr>
              <w:t>数量</w:t>
            </w:r>
          </w:p>
        </w:tc>
        <w:tc>
          <w:tcPr>
            <w:tcW w:w="374" w:type="pct"/>
            <w:tcBorders>
              <w:top w:val="single" w:color="000000" w:sz="4" w:space="0"/>
              <w:left w:val="single" w:color="000000" w:sz="4" w:space="0"/>
              <w:right w:val="single" w:color="000000" w:sz="4" w:space="0"/>
            </w:tcBorders>
            <w:shd w:val="clear" w:color="auto" w:fill="auto"/>
            <w:vAlign w:val="center"/>
          </w:tcPr>
          <w:p w14:paraId="0141F59F">
            <w:pPr>
              <w:widowControl/>
              <w:ind w:firstLine="0" w:firstLineChars="0"/>
              <w:jc w:val="center"/>
              <w:textAlignment w:val="center"/>
              <w:rPr>
                <w:rFonts w:hint="eastAsia" w:ascii="仿宋" w:hAnsi="仿宋" w:eastAsia="仿宋" w:cs="仿宋"/>
                <w:b/>
                <w:bCs/>
                <w:color w:val="000000"/>
                <w:kern w:val="0"/>
                <w:sz w:val="21"/>
                <w:szCs w:val="21"/>
                <w:highlight w:val="none"/>
                <w:lang w:bidi="ar"/>
              </w:rPr>
            </w:pPr>
            <w:r>
              <w:rPr>
                <w:rFonts w:hint="eastAsia" w:ascii="仿宋" w:hAnsi="仿宋" w:eastAsia="仿宋" w:cs="仿宋"/>
                <w:b/>
                <w:bCs/>
                <w:color w:val="000000"/>
                <w:kern w:val="0"/>
                <w:sz w:val="21"/>
                <w:szCs w:val="21"/>
                <w:highlight w:val="none"/>
                <w:lang w:bidi="ar"/>
              </w:rPr>
              <w:t>单价</w:t>
            </w:r>
          </w:p>
          <w:p w14:paraId="35500A73">
            <w:pPr>
              <w:widowControl/>
              <w:ind w:firstLine="0" w:firstLineChars="0"/>
              <w:jc w:val="center"/>
              <w:textAlignment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bidi="ar"/>
              </w:rPr>
              <w:t>（万元）</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3C69">
            <w:pPr>
              <w:widowControl/>
              <w:ind w:firstLine="0" w:firstLineChars="0"/>
              <w:jc w:val="center"/>
              <w:textAlignment w:val="center"/>
              <w:rPr>
                <w:rFonts w:hint="eastAsia" w:ascii="仿宋" w:hAnsi="仿宋" w:eastAsia="仿宋" w:cs="仿宋"/>
                <w:b/>
                <w:bCs/>
                <w:color w:val="000000"/>
                <w:kern w:val="0"/>
                <w:sz w:val="21"/>
                <w:szCs w:val="21"/>
                <w:highlight w:val="none"/>
                <w:lang w:bidi="ar"/>
              </w:rPr>
            </w:pPr>
            <w:r>
              <w:rPr>
                <w:rFonts w:hint="eastAsia" w:ascii="仿宋" w:hAnsi="仿宋" w:eastAsia="仿宋" w:cs="仿宋"/>
                <w:b/>
                <w:bCs/>
                <w:color w:val="000000"/>
                <w:kern w:val="0"/>
                <w:sz w:val="21"/>
                <w:szCs w:val="21"/>
                <w:highlight w:val="none"/>
                <w:lang w:bidi="ar"/>
              </w:rPr>
              <w:t>合计</w:t>
            </w:r>
          </w:p>
          <w:p w14:paraId="3113225D">
            <w:pPr>
              <w:widowControl/>
              <w:ind w:firstLine="0" w:firstLineChars="0"/>
              <w:jc w:val="center"/>
              <w:textAlignment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bidi="ar"/>
              </w:rPr>
              <w:t>（万元）</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466E6">
            <w:pPr>
              <w:widowControl/>
              <w:ind w:firstLine="0" w:firstLineChars="0"/>
              <w:jc w:val="center"/>
              <w:textAlignment w:val="center"/>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bidi="ar"/>
              </w:rPr>
              <w:t>备注</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8E21">
            <w:pPr>
              <w:widowControl/>
              <w:ind w:firstLine="0" w:firstLineChars="0"/>
              <w:jc w:val="center"/>
              <w:textAlignment w:val="center"/>
              <w:rPr>
                <w:rFonts w:hint="eastAsia" w:ascii="仿宋" w:hAnsi="仿宋" w:eastAsia="仿宋" w:cs="仿宋"/>
                <w:b/>
                <w:bCs/>
                <w:color w:val="000000"/>
                <w:kern w:val="0"/>
                <w:sz w:val="21"/>
                <w:szCs w:val="21"/>
                <w:highlight w:val="none"/>
                <w:lang w:val="en-US" w:eastAsia="zh-CN" w:bidi="ar"/>
              </w:rPr>
            </w:pPr>
            <w:r>
              <w:rPr>
                <w:rFonts w:hint="eastAsia" w:ascii="仿宋" w:hAnsi="仿宋" w:eastAsia="仿宋" w:cs="仿宋"/>
                <w:b/>
                <w:bCs/>
                <w:color w:val="000000"/>
                <w:kern w:val="0"/>
                <w:sz w:val="21"/>
                <w:szCs w:val="21"/>
                <w:highlight w:val="none"/>
                <w:lang w:val="en-US" w:eastAsia="zh-CN" w:bidi="ar"/>
              </w:rPr>
              <w:t>推荐品牌</w:t>
            </w:r>
          </w:p>
        </w:tc>
      </w:tr>
      <w:tr w14:paraId="1F665007">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AAF6">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75D93">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4人办公桌</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303B">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套</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0C942">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屏风卡位2400*1200*1250mm：</w:t>
            </w:r>
            <w:r>
              <w:rPr>
                <w:rFonts w:hint="eastAsia" w:ascii="仿宋" w:hAnsi="仿宋" w:eastAsia="仿宋" w:cs="仿宋"/>
                <w:color w:val="000000"/>
                <w:kern w:val="0"/>
                <w:sz w:val="21"/>
                <w:szCs w:val="21"/>
                <w:lang w:bidi="ar"/>
              </w:rPr>
              <w:br w:type="textWrapping"/>
            </w:r>
            <w:r>
              <w:rPr>
                <w:rFonts w:hint="eastAsia" w:ascii="宋体" w:hAnsi="宋体"/>
                <w:bCs/>
                <w:sz w:val="28"/>
                <w:szCs w:val="28"/>
                <w:highlight w:val="none"/>
              </w:rPr>
              <w:t>▲</w:t>
            </w:r>
            <w:r>
              <w:rPr>
                <w:rFonts w:hint="eastAsia" w:ascii="仿宋" w:hAnsi="仿宋" w:eastAsia="仿宋" w:cs="仿宋"/>
                <w:color w:val="000000"/>
                <w:kern w:val="0"/>
                <w:sz w:val="21"/>
                <w:szCs w:val="21"/>
                <w:highlight w:val="none"/>
                <w:lang w:bidi="ar"/>
              </w:rPr>
              <w:t>1、</w:t>
            </w:r>
            <w:r>
              <w:rPr>
                <w:rFonts w:hint="eastAsia" w:ascii="仿宋" w:hAnsi="仿宋" w:eastAsia="仿宋" w:cs="仿宋"/>
                <w:color w:val="000000"/>
                <w:kern w:val="0"/>
                <w:sz w:val="21"/>
                <w:szCs w:val="21"/>
                <w:lang w:bidi="ar"/>
              </w:rPr>
              <w:t>基材：</w:t>
            </w:r>
            <w:r>
              <w:rPr>
                <w:rFonts w:hint="eastAsia" w:ascii="仿宋" w:hAnsi="仿宋" w:eastAsia="仿宋" w:cs="仿宋"/>
                <w:i w:val="0"/>
                <w:iCs w:val="0"/>
                <w:color w:val="000000"/>
                <w:kern w:val="0"/>
                <w:sz w:val="21"/>
                <w:szCs w:val="21"/>
                <w:u w:val="none"/>
                <w:lang w:val="en-US" w:eastAsia="zh-CN" w:bidi="ar"/>
              </w:rPr>
              <w:t>桌面采用25厘厚优质颗粒板，颗粒板需通过QB/T 4371-2012</w:t>
            </w:r>
            <w:r>
              <w:rPr>
                <w:rFonts w:hint="eastAsia" w:ascii="仿宋" w:hAnsi="仿宋" w:eastAsia="仿宋" w:cs="仿宋"/>
                <w:i w:val="0"/>
                <w:iCs w:val="0"/>
                <w:color w:val="000000"/>
                <w:kern w:val="0"/>
                <w:sz w:val="21"/>
                <w:szCs w:val="21"/>
                <w:highlight w:val="none"/>
                <w:u w:val="none"/>
                <w:lang w:val="en-US" w:eastAsia="zh-CN" w:bidi="ar"/>
              </w:rPr>
              <w:t>（或提供同等及以上效力的其他标准）</w:t>
            </w:r>
            <w:r>
              <w:rPr>
                <w:rFonts w:hint="eastAsia" w:ascii="仿宋" w:hAnsi="仿宋" w:eastAsia="仿宋" w:cs="仿宋"/>
                <w:i w:val="0"/>
                <w:iCs w:val="0"/>
                <w:color w:val="000000"/>
                <w:kern w:val="0"/>
                <w:sz w:val="21"/>
                <w:szCs w:val="21"/>
                <w:u w:val="none"/>
                <w:lang w:val="en-US" w:eastAsia="zh-CN" w:bidi="ar"/>
              </w:rPr>
              <w:t>《家具抗菌性能的评价》抑菌率-金黄色葡萄球菌、大肠杆菌(大肠埃希氏菌)、抗菌性能合格达到90%以上。供货时提供第三方权威机构出具的抗菌性能检测报告复印件。</w:t>
            </w:r>
            <w:r>
              <w:rPr>
                <w:rFonts w:hint="eastAsia" w:ascii="仿宋" w:hAnsi="仿宋" w:eastAsia="仿宋" w:cs="仿宋"/>
                <w:color w:val="000000"/>
                <w:kern w:val="0"/>
                <w:sz w:val="21"/>
                <w:szCs w:val="21"/>
                <w:lang w:bidi="ar"/>
              </w:rPr>
              <w:t xml:space="preserve">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2、封边胶：</w:t>
            </w:r>
            <w:r>
              <w:rPr>
                <w:rFonts w:hint="eastAsia" w:ascii="仿宋" w:hAnsi="仿宋" w:eastAsia="仿宋" w:cs="仿宋"/>
                <w:i w:val="0"/>
                <w:iCs w:val="0"/>
                <w:color w:val="000000"/>
                <w:kern w:val="0"/>
                <w:sz w:val="21"/>
                <w:szCs w:val="21"/>
                <w:u w:val="none"/>
                <w:lang w:val="en-US" w:eastAsia="zh-CN" w:bidi="ar"/>
              </w:rPr>
              <w:t>表面应无皱纹、裂纹、折痕、暗条痕染色线、刀线、油脂、污点、黑斑黏胶和杂质，无明显气泡、针孔、划痕、波纹等瑕疵；表面应光滑，花纹应清晰、均匀、无漏印；背胶处理应均匀；边缘应光滑平直，无缺损塑料封边条理化性能：耐干热性、耐磨性、耐老化性、耐冷热循环性。</w:t>
            </w:r>
            <w:r>
              <w:rPr>
                <w:rFonts w:hint="eastAsia" w:ascii="仿宋" w:hAnsi="仿宋" w:eastAsia="仿宋" w:cs="仿宋"/>
                <w:color w:val="000000"/>
                <w:kern w:val="0"/>
                <w:sz w:val="21"/>
                <w:szCs w:val="21"/>
                <w:lang w:bidi="ar"/>
              </w:rPr>
              <w:t>。</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3、采用优质胶粘剂，</w:t>
            </w:r>
            <w:r>
              <w:rPr>
                <w:rFonts w:hint="eastAsia" w:ascii="仿宋" w:hAnsi="仿宋" w:eastAsia="仿宋" w:cs="仿宋"/>
                <w:color w:val="000000"/>
                <w:kern w:val="0"/>
                <w:sz w:val="21"/>
                <w:szCs w:val="21"/>
                <w:highlight w:val="none"/>
                <w:lang w:bidi="ar"/>
              </w:rPr>
              <w:t>胶粘剂应符合GB 18583-2008《室内装饰装修材料胶粘剂中有害物质限量》、GB 33372-2020《胶粘剂挥发性有机化合物限量》，水基型胶粘剂VOC含量限量室内装饰装修-聚乙酸乙烯酯类≤50g/L、水基型胶粘剂中有害物质限量值、游离甲醛≤1.0g/kg；苯≤≤0.20g/kg；甲苯+二甲苯≤0.3g/kg；总挥发性有机物≤30g/L。</w:t>
            </w:r>
            <w:r>
              <w:rPr>
                <w:rFonts w:hint="eastAsia" w:ascii="宋体" w:hAnsi="宋体"/>
                <w:bCs/>
                <w:sz w:val="28"/>
                <w:szCs w:val="28"/>
                <w:highlight w:val="none"/>
              </w:rPr>
              <w:t>▲</w:t>
            </w:r>
            <w:r>
              <w:rPr>
                <w:rFonts w:hint="eastAsia" w:ascii="宋体" w:hAnsi="宋体"/>
                <w:bCs/>
                <w:sz w:val="28"/>
                <w:szCs w:val="28"/>
                <w:highlight w:val="none"/>
                <w:lang w:val="en-US" w:eastAsia="zh-CN"/>
              </w:rPr>
              <w:t>4</w:t>
            </w:r>
            <w:r>
              <w:rPr>
                <w:rFonts w:hint="eastAsia" w:ascii="仿宋" w:hAnsi="仿宋" w:eastAsia="仿宋" w:cs="仿宋"/>
                <w:color w:val="000000"/>
                <w:kern w:val="0"/>
                <w:sz w:val="21"/>
                <w:szCs w:val="21"/>
                <w:highlight w:val="none"/>
                <w:lang w:bidi="ar"/>
              </w:rPr>
              <w:t>、</w:t>
            </w:r>
            <w:r>
              <w:rPr>
                <w:rFonts w:hint="eastAsia" w:ascii="仿宋" w:hAnsi="仿宋" w:eastAsia="仿宋" w:cs="仿宋"/>
                <w:i w:val="0"/>
                <w:iCs w:val="0"/>
                <w:color w:val="000000"/>
                <w:kern w:val="0"/>
                <w:sz w:val="21"/>
                <w:szCs w:val="21"/>
                <w:u w:val="none"/>
                <w:lang w:val="en-US" w:eastAsia="zh-CN" w:bidi="ar"/>
              </w:rPr>
              <w:t>五金配件：采用优质品牌五金配件（供货时需提供品牌标识，无品牌标识不予签收）</w:t>
            </w:r>
            <w:r>
              <w:rPr>
                <w:rFonts w:hint="eastAsia" w:ascii="仿宋" w:hAnsi="仿宋" w:eastAsia="仿宋" w:cs="仿宋"/>
                <w:color w:val="000000"/>
                <w:kern w:val="0"/>
                <w:sz w:val="21"/>
                <w:szCs w:val="21"/>
                <w:lang w:bidi="ar"/>
              </w:rPr>
              <w:t>。</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5</w:t>
            </w:r>
            <w:r>
              <w:rPr>
                <w:rFonts w:hint="eastAsia" w:ascii="仿宋" w:hAnsi="仿宋" w:eastAsia="仿宋" w:cs="仿宋"/>
                <w:color w:val="000000"/>
                <w:kern w:val="0"/>
                <w:sz w:val="21"/>
                <w:szCs w:val="21"/>
                <w:lang w:bidi="ar"/>
              </w:rPr>
              <w:t>、屏风上隔采用半透明玻璃。带三抽屉活动柜，抽屉轨道为三节轨道，抽屉颜色与桌面相同。</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6</w:t>
            </w:r>
            <w:r>
              <w:rPr>
                <w:rFonts w:hint="eastAsia" w:ascii="仿宋" w:hAnsi="仿宋" w:eastAsia="仿宋" w:cs="仿宋"/>
                <w:color w:val="000000"/>
                <w:kern w:val="0"/>
                <w:sz w:val="21"/>
                <w:szCs w:val="21"/>
                <w:lang w:bidi="ar"/>
              </w:rPr>
              <w:t>、配套</w:t>
            </w:r>
            <w:r>
              <w:rPr>
                <w:rFonts w:hint="eastAsia" w:ascii="仿宋" w:hAnsi="仿宋" w:eastAsia="仿宋" w:cs="仿宋"/>
                <w:color w:val="000000"/>
                <w:kern w:val="0"/>
                <w:sz w:val="21"/>
                <w:szCs w:val="21"/>
                <w:lang w:val="en-US" w:eastAsia="zh-CN" w:bidi="ar"/>
              </w:rPr>
              <w:t>弓形</w:t>
            </w:r>
            <w:r>
              <w:rPr>
                <w:rFonts w:hint="eastAsia" w:ascii="仿宋" w:hAnsi="仿宋" w:eastAsia="仿宋" w:cs="仿宋"/>
                <w:color w:val="000000"/>
                <w:kern w:val="0"/>
                <w:sz w:val="21"/>
                <w:szCs w:val="21"/>
                <w:lang w:bidi="ar"/>
              </w:rPr>
              <w:t>靠背椅子。</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8C1B">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BDA16">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0.55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397D">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0.55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F0FC8">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FD9A0">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志远浩云、国鹏、红杉</w:t>
            </w:r>
          </w:p>
        </w:tc>
      </w:tr>
      <w:tr w14:paraId="582161DF">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B3749">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0E48F">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制冷系统</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3DB0">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台</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A04F5">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1.系列名称:天花机</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2.空调类型:中央空调</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3.冷暖类型:单冷型</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4.变频/定频:定频</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5.空调匹数:3P</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6.能效比:3.35</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7.制冷剂:R32</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8.制冷量:</w:t>
            </w:r>
            <w:r>
              <w:rPr>
                <w:rFonts w:hint="eastAsia" w:ascii="仿宋" w:hAnsi="仿宋" w:eastAsia="仿宋" w:cs="仿宋"/>
                <w:color w:val="000000"/>
                <w:kern w:val="0"/>
                <w:sz w:val="21"/>
                <w:szCs w:val="21"/>
                <w:lang w:val="en-US" w:eastAsia="zh-CN" w:bidi="ar"/>
              </w:rPr>
              <w:t>≥</w:t>
            </w:r>
            <w:r>
              <w:rPr>
                <w:rFonts w:hint="eastAsia" w:ascii="仿宋" w:hAnsi="仿宋" w:eastAsia="仿宋" w:cs="仿宋"/>
                <w:color w:val="000000"/>
                <w:kern w:val="0"/>
                <w:sz w:val="21"/>
                <w:szCs w:val="21"/>
                <w:lang w:bidi="ar"/>
              </w:rPr>
              <w:t>7200W</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9.制冷功率:</w:t>
            </w:r>
            <w:r>
              <w:rPr>
                <w:rFonts w:hint="eastAsia" w:ascii="仿宋" w:hAnsi="仿宋" w:eastAsia="仿宋" w:cs="仿宋"/>
                <w:color w:val="000000"/>
                <w:kern w:val="0"/>
                <w:sz w:val="21"/>
                <w:szCs w:val="21"/>
                <w:lang w:val="en-US" w:eastAsia="zh-CN" w:bidi="ar"/>
              </w:rPr>
              <w:t>≤</w:t>
            </w:r>
            <w:r>
              <w:rPr>
                <w:rFonts w:hint="eastAsia" w:ascii="仿宋" w:hAnsi="仿宋" w:eastAsia="仿宋" w:cs="仿宋"/>
                <w:color w:val="000000"/>
                <w:kern w:val="0"/>
                <w:sz w:val="21"/>
                <w:szCs w:val="21"/>
                <w:lang w:bidi="ar"/>
              </w:rPr>
              <w:t>2200W</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10.循环风量:</w:t>
            </w:r>
            <w:r>
              <w:rPr>
                <w:rFonts w:hint="eastAsia" w:ascii="仿宋" w:hAnsi="仿宋" w:eastAsia="仿宋" w:cs="仿宋"/>
                <w:color w:val="000000"/>
                <w:kern w:val="0"/>
                <w:sz w:val="21"/>
                <w:szCs w:val="21"/>
                <w:lang w:val="en-US" w:eastAsia="zh-CN" w:bidi="ar"/>
              </w:rPr>
              <w:t>≥</w:t>
            </w:r>
            <w:r>
              <w:rPr>
                <w:rFonts w:hint="eastAsia" w:ascii="仿宋" w:hAnsi="仿宋" w:eastAsia="仿宋" w:cs="仿宋"/>
                <w:color w:val="000000"/>
                <w:kern w:val="0"/>
                <w:sz w:val="21"/>
                <w:szCs w:val="21"/>
                <w:lang w:bidi="ar"/>
              </w:rPr>
              <w:t>1280m3/h</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11.电源性能:220V/50Hz</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12.室内机尺寸:840×200×840mm</w:t>
            </w:r>
            <w:r>
              <w:rPr>
                <w:rFonts w:hint="eastAsia" w:ascii="仿宋" w:hAnsi="仿宋" w:eastAsia="仿宋" w:cs="仿宋"/>
                <w:color w:val="000000"/>
                <w:kern w:val="0"/>
                <w:sz w:val="21"/>
                <w:szCs w:val="21"/>
                <w:lang w:val="en-US" w:eastAsia="zh-CN" w:bidi="ar"/>
              </w:rPr>
              <w:t>±10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13.室外机尺寸:895×700×340mm</w:t>
            </w:r>
            <w:r>
              <w:rPr>
                <w:rFonts w:hint="eastAsia" w:ascii="仿宋" w:hAnsi="仿宋" w:eastAsia="仿宋" w:cs="仿宋"/>
                <w:color w:val="000000"/>
                <w:kern w:val="0"/>
                <w:sz w:val="21"/>
                <w:szCs w:val="21"/>
                <w:lang w:val="en-US" w:eastAsia="zh-CN" w:bidi="ar"/>
              </w:rPr>
              <w:t>±10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14.包括天花机的的安装调试。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F7ECA">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BA7DE">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1.2</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A1C19">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2.40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9B774">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8DAAA">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美的、格力、奥克斯</w:t>
            </w:r>
          </w:p>
        </w:tc>
      </w:tr>
      <w:tr w14:paraId="0005FF54">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D98F">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96FC5">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彩色激光多功能一体打印机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E405F">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台</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FF48B">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1.功能：打印/复印/扫描；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2.最大处理幅面：A4 ；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3.耗材类型： 鼓粉一体 ；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4.标准容量：黑色：1300页，彩色：1200页；</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5.高容量：黑色：3200页，彩色：2500页；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6.双面功能：自动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7.网络功能：支持无线/有线网络打印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8.移动打印：WIFI（IEEE802.11b/g/n），Wi-Fi Direct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9.黑白打印速度：25ppm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10.彩色打印速度：25ppm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11.打印分辨率：600×600dpi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12.首页打印时间 ：黑白10.9秒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13.打印语言：HP PCL6，PostScript，HP PCL5，PDF，URF，PWG-Raster，PCLM，JPEG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14.月打印负荷：大致4万页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15.复印速度：25cpm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16.复印分辨率：600×600dpi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17.连续复印：1-999页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18.缩放范围：25-400%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19.扫描控制器：标准配置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20.扫描类型：平板+馈纸式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21.扫描元件：CIS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22.扫描速度：黑白：19ppm，彩色：8ppm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23.光学分辨率：300dpi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24.最大分辨率：1200dpi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25.扫描尺寸平板：216×297mm（最大）</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26.ADF：216×356mm（最大），210×148mm（最小）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27.扫描格式： JPEG，PDF，TIFF，PDF/A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28.传真控制器：标准配置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29.传真类型： 彩色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30.调制解调器速度： 33.6kbps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31.传真分辨率： 300×300dpi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32.传真内存： 最多500页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33.拨号功能：速拨号：200个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34.显示屏： </w:t>
            </w:r>
            <w:r>
              <w:rPr>
                <w:rFonts w:hint="eastAsia" w:ascii="仿宋" w:hAnsi="仿宋" w:eastAsia="仿宋" w:cs="仿宋"/>
                <w:color w:val="000000"/>
                <w:kern w:val="0"/>
                <w:sz w:val="21"/>
                <w:szCs w:val="21"/>
                <w:lang w:val="en-US" w:eastAsia="zh-CN" w:bidi="ar"/>
              </w:rPr>
              <w:t>≥</w:t>
            </w:r>
            <w:r>
              <w:rPr>
                <w:rFonts w:hint="eastAsia" w:ascii="仿宋" w:hAnsi="仿宋" w:eastAsia="仿宋" w:cs="仿宋"/>
                <w:color w:val="000000"/>
                <w:kern w:val="0"/>
                <w:sz w:val="21"/>
                <w:szCs w:val="21"/>
                <w:lang w:bidi="ar"/>
              </w:rPr>
              <w:t xml:space="preserve">4英寸全彩触控屏(480x272) ；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35.处理器：1.2GHz ；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36.内存：512MB；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37.接口类型：USB2.0，10Base-T/100Base-TX/1000Base-T（RJ-45网络接口）；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38.电源电压： AC 220-240V，50/60Hz；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39.耗电量：打印：416W，就绪：7.6W，睡眠：0.95W，关机：0.05W；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40.产品重量：净重：17.1kg，毛重：20.60kg；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41.环境参数：工作温度：15°C-30°C，工作湿度：30%-70% 相对湿度。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B57E">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6E8D6">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B36C">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0.50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18C82">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1C6EC">
            <w:pPr>
              <w:keepNext w:val="0"/>
              <w:keepLines w:val="0"/>
              <w:widowControl/>
              <w:suppressLineNumbers w:val="0"/>
              <w:jc w:val="both"/>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联想、惠普、爱普生</w:t>
            </w:r>
          </w:p>
        </w:tc>
      </w:tr>
      <w:tr w14:paraId="78EBAF93">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9E96">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068D5">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大资料柜</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AFFFD">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个</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5C5B1">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 w:val="21"/>
                <w:szCs w:val="21"/>
                <w:lang w:val="en-US" w:eastAsia="zh-CN" w:bidi="ar"/>
              </w:rPr>
              <w:t>1.</w:t>
            </w:r>
            <w:r>
              <w:rPr>
                <w:rFonts w:hint="eastAsia" w:ascii="仿宋" w:hAnsi="仿宋" w:eastAsia="仿宋" w:cs="仿宋"/>
                <w:color w:val="000000"/>
                <w:kern w:val="0"/>
                <w:sz w:val="21"/>
                <w:szCs w:val="21"/>
                <w:lang w:bidi="ar"/>
              </w:rPr>
              <w:t>规格：800mm*400mm*2000mm；</w:t>
            </w:r>
            <w:r>
              <w:rPr>
                <w:rFonts w:hint="eastAsia" w:ascii="仿宋" w:hAnsi="仿宋" w:eastAsia="仿宋" w:cs="仿宋"/>
                <w:color w:val="000000"/>
                <w:kern w:val="0"/>
                <w:sz w:val="21"/>
                <w:szCs w:val="21"/>
                <w:lang w:bidi="ar"/>
              </w:rPr>
              <w:br w:type="textWrapping"/>
            </w:r>
            <w:r>
              <w:rPr>
                <w:rFonts w:hint="eastAsia" w:ascii="仿宋" w:hAnsi="仿宋" w:eastAsia="仿宋" w:cs="仿宋"/>
                <w:i w:val="0"/>
                <w:iCs w:val="0"/>
                <w:color w:val="000000"/>
                <w:kern w:val="0"/>
                <w:sz w:val="21"/>
                <w:szCs w:val="21"/>
                <w:u w:val="none"/>
                <w:lang w:val="en-US" w:eastAsia="zh-CN" w:bidi="ar"/>
              </w:rPr>
              <w:t>2.采用木质材质，表面光滑不变形；</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3.抗压耐磨，整体结构稳固；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4.零甲醛喷涂，绿色环保，不褪色不脱落。</w:t>
            </w:r>
          </w:p>
          <w:p w14:paraId="59C34A5B">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5.</w:t>
            </w:r>
            <w:r>
              <w:rPr>
                <w:rFonts w:hint="eastAsia" w:ascii="仿宋" w:hAnsi="仿宋" w:eastAsia="仿宋" w:cs="仿宋"/>
                <w:color w:val="auto"/>
                <w:sz w:val="21"/>
                <w:szCs w:val="21"/>
              </w:rPr>
              <w:t>质保三年。</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310B6">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1D3C2">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0.3</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BF70F">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0.60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A6121">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1404A">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志远浩云、国鹏、红杉</w:t>
            </w:r>
          </w:p>
        </w:tc>
      </w:tr>
      <w:tr w14:paraId="35C0E2C0">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32C6">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F1116">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小资料柜</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2DC75">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个</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736BE">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val="en-US" w:eastAsia="zh-CN" w:bidi="ar"/>
              </w:rPr>
              <w:t>1.</w:t>
            </w:r>
            <w:r>
              <w:rPr>
                <w:rFonts w:hint="eastAsia" w:ascii="仿宋" w:hAnsi="仿宋" w:eastAsia="仿宋" w:cs="仿宋"/>
                <w:color w:val="000000"/>
                <w:kern w:val="0"/>
                <w:sz w:val="21"/>
                <w:szCs w:val="21"/>
                <w:lang w:bidi="ar"/>
              </w:rPr>
              <w:t>规格：800mm*400mm*1000mm；</w:t>
            </w:r>
            <w:r>
              <w:rPr>
                <w:rFonts w:hint="eastAsia" w:ascii="仿宋" w:hAnsi="仿宋" w:eastAsia="仿宋" w:cs="仿宋"/>
                <w:color w:val="000000"/>
                <w:kern w:val="0"/>
                <w:sz w:val="21"/>
                <w:szCs w:val="21"/>
                <w:lang w:bidi="ar"/>
              </w:rPr>
              <w:br w:type="textWrapping"/>
            </w:r>
            <w:r>
              <w:rPr>
                <w:rFonts w:hint="eastAsia" w:ascii="仿宋" w:hAnsi="仿宋" w:eastAsia="仿宋" w:cs="仿宋"/>
                <w:i w:val="0"/>
                <w:iCs w:val="0"/>
                <w:color w:val="000000"/>
                <w:kern w:val="0"/>
                <w:sz w:val="21"/>
                <w:szCs w:val="21"/>
                <w:u w:val="none"/>
                <w:lang w:val="en-US" w:eastAsia="zh-CN" w:bidi="ar"/>
              </w:rPr>
              <w:t>2.采用木质材质，表面光滑不变形；</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3.抗压耐磨，整体结构稳固；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4.零甲醛喷涂，绿色环保，不褪色不脱落。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3C2A">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2EB6">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0.2</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323E">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0.20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C4D8D">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CC7E6">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志远浩云、国鹏、红杉</w:t>
            </w:r>
          </w:p>
        </w:tc>
      </w:tr>
      <w:tr w14:paraId="7EACA120">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0CDD">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301F3">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6人位课桌</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8082A">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张</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8A96F">
            <w:pPr>
              <w:widowControl/>
              <w:ind w:firstLine="0" w:firstLineChars="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 w:val="21"/>
                <w:szCs w:val="21"/>
                <w:lang w:bidi="ar"/>
              </w:rPr>
              <w:t>▲1、尺寸：2700*</w:t>
            </w:r>
            <w:r>
              <w:rPr>
                <w:rFonts w:hint="eastAsia" w:ascii="仿宋" w:hAnsi="仿宋" w:eastAsia="仿宋" w:cs="仿宋"/>
                <w:color w:val="000000"/>
                <w:kern w:val="0"/>
                <w:sz w:val="21"/>
                <w:szCs w:val="21"/>
                <w:lang w:val="en-US" w:eastAsia="zh-CN" w:bidi="ar"/>
              </w:rPr>
              <w:t>120</w:t>
            </w:r>
            <w:r>
              <w:rPr>
                <w:rFonts w:hint="eastAsia" w:ascii="仿宋" w:hAnsi="仿宋" w:eastAsia="仿宋" w:cs="仿宋"/>
                <w:color w:val="000000"/>
                <w:kern w:val="0"/>
                <w:sz w:val="21"/>
                <w:szCs w:val="21"/>
                <w:lang w:bidi="ar"/>
              </w:rPr>
              <w:t>0*1000mm：</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2</w:t>
            </w:r>
            <w:r>
              <w:rPr>
                <w:rFonts w:hint="eastAsia" w:ascii="仿宋" w:hAnsi="仿宋" w:eastAsia="仿宋" w:cs="仿宋"/>
                <w:color w:val="000000"/>
                <w:kern w:val="0"/>
                <w:sz w:val="21"/>
                <w:szCs w:val="21"/>
                <w:lang w:bidi="ar"/>
              </w:rPr>
              <w:t>、基材：</w:t>
            </w:r>
            <w:r>
              <w:rPr>
                <w:rFonts w:hint="eastAsia" w:ascii="仿宋" w:hAnsi="仿宋" w:eastAsia="仿宋" w:cs="仿宋"/>
                <w:i w:val="0"/>
                <w:iCs w:val="0"/>
                <w:color w:val="000000"/>
                <w:kern w:val="0"/>
                <w:sz w:val="21"/>
                <w:szCs w:val="21"/>
                <w:u w:val="none"/>
                <w:lang w:val="en-US" w:eastAsia="zh-CN" w:bidi="ar"/>
              </w:rPr>
              <w:t>采用25厘厚优质颗粒板，颗粒板需通过QB/T 4371-2012</w:t>
            </w:r>
            <w:r>
              <w:rPr>
                <w:rFonts w:hint="eastAsia" w:ascii="仿宋" w:hAnsi="仿宋" w:eastAsia="仿宋" w:cs="仿宋"/>
                <w:i w:val="0"/>
                <w:iCs w:val="0"/>
                <w:color w:val="000000"/>
                <w:kern w:val="0"/>
                <w:sz w:val="21"/>
                <w:szCs w:val="21"/>
                <w:highlight w:val="none"/>
                <w:u w:val="none"/>
                <w:lang w:val="en-US" w:eastAsia="zh-CN" w:bidi="ar"/>
              </w:rPr>
              <w:t>（或提供同等及以上效力的其他标准）</w:t>
            </w:r>
            <w:r>
              <w:rPr>
                <w:rFonts w:hint="eastAsia" w:ascii="仿宋" w:hAnsi="仿宋" w:eastAsia="仿宋" w:cs="仿宋"/>
                <w:i w:val="0"/>
                <w:iCs w:val="0"/>
                <w:color w:val="000000"/>
                <w:kern w:val="0"/>
                <w:sz w:val="21"/>
                <w:szCs w:val="21"/>
                <w:u w:val="none"/>
                <w:lang w:val="en-US" w:eastAsia="zh-CN" w:bidi="ar"/>
              </w:rPr>
              <w:t>《家具抗菌性能的评价》抑菌率-金黄色葡萄球菌、大肠杆菌(大肠埃希氏菌)、抗菌性能合格达到90%以上。供货时提供第三方权威机构出具的抗菌性能检测报告复印件</w:t>
            </w:r>
            <w:r>
              <w:rPr>
                <w:rFonts w:hint="eastAsia" w:ascii="仿宋" w:hAnsi="仿宋" w:eastAsia="仿宋" w:cs="仿宋"/>
                <w:color w:val="000000"/>
                <w:kern w:val="0"/>
                <w:sz w:val="21"/>
                <w:szCs w:val="21"/>
                <w:lang w:bidi="ar"/>
              </w:rPr>
              <w:t xml:space="preserve">。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3</w:t>
            </w:r>
            <w:r>
              <w:rPr>
                <w:rFonts w:hint="eastAsia" w:ascii="仿宋" w:hAnsi="仿宋" w:eastAsia="仿宋" w:cs="仿宋"/>
                <w:color w:val="000000"/>
                <w:kern w:val="0"/>
                <w:sz w:val="21"/>
                <w:szCs w:val="21"/>
                <w:lang w:bidi="ar"/>
              </w:rPr>
              <w:t>、封边胶：</w:t>
            </w:r>
            <w:r>
              <w:rPr>
                <w:rFonts w:hint="eastAsia" w:ascii="仿宋" w:hAnsi="仿宋" w:eastAsia="仿宋" w:cs="仿宋"/>
                <w:i w:val="0"/>
                <w:iCs w:val="0"/>
                <w:color w:val="000000"/>
                <w:kern w:val="0"/>
                <w:sz w:val="21"/>
                <w:szCs w:val="21"/>
                <w:u w:val="none"/>
                <w:lang w:val="en-US" w:eastAsia="zh-CN" w:bidi="ar"/>
              </w:rPr>
              <w:t>塑料封边条：表面应无皱纹、裂纹、折痕、暗条痕染色线、刀线、油脂、污点、黑斑黏胶和杂质，无明显气泡、针孔、划痕、波纹等瑕疵；表面应光滑，花纹应清晰、均匀、无漏印；背胶处理应均匀；边缘应光滑平直，无缺损塑料封边条理化性能：耐干热性、耐磨性、耐老化性、耐冷热循环性</w:t>
            </w:r>
            <w:r>
              <w:rPr>
                <w:rFonts w:hint="eastAsia" w:ascii="仿宋" w:hAnsi="仿宋" w:eastAsia="仿宋" w:cs="仿宋"/>
                <w:color w:val="000000"/>
                <w:kern w:val="0"/>
                <w:sz w:val="21"/>
                <w:szCs w:val="21"/>
                <w:lang w:bidi="ar"/>
              </w:rPr>
              <w:t>。</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4</w:t>
            </w:r>
            <w:r>
              <w:rPr>
                <w:rFonts w:hint="eastAsia" w:ascii="仿宋" w:hAnsi="仿宋" w:eastAsia="仿宋" w:cs="仿宋"/>
                <w:color w:val="000000"/>
                <w:kern w:val="0"/>
                <w:sz w:val="21"/>
                <w:szCs w:val="21"/>
                <w:lang w:bidi="ar"/>
              </w:rPr>
              <w:t>、采用优质胶粘剂，胶粘剂应符合GB 18583-2008《室内装饰装修材料胶粘剂中有害物质限量》、GB 33372-2020《胶粘剂挥发性有机化合物限量》，水基型胶粘剂VOC含量限量室内装饰装修-聚乙酸乙烯酯类≤50g/L、水基型胶粘剂中有害物质限量值、游离甲醛≤1.0g/kg；苯≤≤0.20g/kg；甲苯+二甲苯≤0.3g/kg；总挥发性有机物≤30g/L。</w:t>
            </w:r>
            <w:r>
              <w:rPr>
                <w:rFonts w:hint="eastAsia" w:ascii="仿宋" w:hAnsi="仿宋" w:eastAsia="仿宋" w:cs="仿宋"/>
                <w:color w:val="000000"/>
                <w:kern w:val="0"/>
                <w:sz w:val="21"/>
                <w:szCs w:val="21"/>
                <w:highlight w:val="none"/>
                <w:lang w:bidi="ar"/>
              </w:rPr>
              <w:t>▲5</w:t>
            </w:r>
            <w:r>
              <w:rPr>
                <w:rFonts w:hint="eastAsia" w:ascii="仿宋" w:hAnsi="仿宋" w:eastAsia="仿宋" w:cs="仿宋"/>
                <w:color w:val="000000"/>
                <w:kern w:val="0"/>
                <w:sz w:val="21"/>
                <w:szCs w:val="21"/>
                <w:lang w:bidi="ar"/>
              </w:rPr>
              <w:t>、</w:t>
            </w:r>
            <w:r>
              <w:rPr>
                <w:rFonts w:hint="eastAsia" w:ascii="仿宋" w:hAnsi="仿宋" w:eastAsia="仿宋" w:cs="仿宋"/>
                <w:i w:val="0"/>
                <w:iCs w:val="0"/>
                <w:color w:val="000000"/>
                <w:kern w:val="0"/>
                <w:sz w:val="21"/>
                <w:szCs w:val="21"/>
                <w:u w:val="none"/>
                <w:lang w:val="en-US" w:eastAsia="zh-CN" w:bidi="ar"/>
              </w:rPr>
              <w:t>五金配件：采用优质品牌五金配件（供货时需提供品牌标识，无品牌标识不予签收）。</w:t>
            </w:r>
          </w:p>
          <w:p w14:paraId="3E37276D">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6、屏风上隔采用半透明玻璃。带三抽屉活动柜，抽屉轨道为三节轨道，抽屉颜色与桌面相同。</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7、配套</w:t>
            </w:r>
            <w:r>
              <w:rPr>
                <w:rFonts w:hint="eastAsia" w:ascii="仿宋" w:hAnsi="仿宋" w:eastAsia="仿宋" w:cs="仿宋"/>
                <w:color w:val="000000"/>
                <w:kern w:val="0"/>
                <w:sz w:val="21"/>
                <w:szCs w:val="21"/>
                <w:lang w:val="en-US" w:eastAsia="zh-CN" w:bidi="ar"/>
              </w:rPr>
              <w:t>弓形</w:t>
            </w:r>
            <w:r>
              <w:rPr>
                <w:rFonts w:hint="eastAsia" w:ascii="仿宋" w:hAnsi="仿宋" w:eastAsia="仿宋" w:cs="仿宋"/>
                <w:color w:val="000000"/>
                <w:kern w:val="0"/>
                <w:sz w:val="21"/>
                <w:szCs w:val="21"/>
                <w:lang w:bidi="ar"/>
              </w:rPr>
              <w:t>靠背椅子。</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728DB">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6</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BE6B1">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C0D56">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3.00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EE439">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64D9">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志远浩云、国鹏、红杉</w:t>
            </w:r>
          </w:p>
        </w:tc>
      </w:tr>
      <w:tr w14:paraId="07CA63BA">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6A22">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2ED32">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4人位课桌</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CFC1">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张</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68010">
            <w:pPr>
              <w:widowControl/>
              <w:ind w:firstLine="0" w:firstLineChars="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 w:val="21"/>
                <w:szCs w:val="21"/>
                <w:lang w:bidi="ar"/>
              </w:rPr>
              <w:t>▲1、尺寸：1800*</w:t>
            </w:r>
            <w:r>
              <w:rPr>
                <w:rFonts w:hint="eastAsia" w:ascii="仿宋" w:hAnsi="仿宋" w:eastAsia="仿宋" w:cs="仿宋"/>
                <w:color w:val="000000"/>
                <w:kern w:val="0"/>
                <w:sz w:val="21"/>
                <w:szCs w:val="21"/>
                <w:lang w:val="en-US" w:eastAsia="zh-CN" w:bidi="ar"/>
              </w:rPr>
              <w:t>120</w:t>
            </w:r>
            <w:r>
              <w:rPr>
                <w:rFonts w:hint="eastAsia" w:ascii="仿宋" w:hAnsi="仿宋" w:eastAsia="仿宋" w:cs="仿宋"/>
                <w:color w:val="000000"/>
                <w:kern w:val="0"/>
                <w:sz w:val="21"/>
                <w:szCs w:val="21"/>
                <w:lang w:bidi="ar"/>
              </w:rPr>
              <w:t>0*1000mm：</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2</w:t>
            </w:r>
            <w:r>
              <w:rPr>
                <w:rFonts w:hint="eastAsia" w:ascii="仿宋" w:hAnsi="仿宋" w:eastAsia="仿宋" w:cs="仿宋"/>
                <w:color w:val="000000"/>
                <w:kern w:val="0"/>
                <w:sz w:val="21"/>
                <w:szCs w:val="21"/>
                <w:lang w:bidi="ar"/>
              </w:rPr>
              <w:t>、基材：</w:t>
            </w:r>
            <w:r>
              <w:rPr>
                <w:rFonts w:hint="eastAsia" w:ascii="仿宋" w:hAnsi="仿宋" w:eastAsia="仿宋" w:cs="仿宋"/>
                <w:i w:val="0"/>
                <w:iCs w:val="0"/>
                <w:color w:val="000000"/>
                <w:kern w:val="0"/>
                <w:sz w:val="21"/>
                <w:szCs w:val="21"/>
                <w:u w:val="none"/>
                <w:lang w:val="en-US" w:eastAsia="zh-CN" w:bidi="ar"/>
              </w:rPr>
              <w:t>采用25厘厚优质颗粒板，颗粒板需通过QB/T 4371-2012</w:t>
            </w:r>
            <w:r>
              <w:rPr>
                <w:rFonts w:hint="eastAsia" w:ascii="仿宋" w:hAnsi="仿宋" w:eastAsia="仿宋" w:cs="仿宋"/>
                <w:i w:val="0"/>
                <w:iCs w:val="0"/>
                <w:color w:val="000000"/>
                <w:kern w:val="0"/>
                <w:sz w:val="21"/>
                <w:szCs w:val="21"/>
                <w:highlight w:val="none"/>
                <w:u w:val="none"/>
                <w:lang w:val="en-US" w:eastAsia="zh-CN" w:bidi="ar"/>
              </w:rPr>
              <w:t>（或提供同等及以上效力的其他标准）</w:t>
            </w:r>
            <w:r>
              <w:rPr>
                <w:rFonts w:hint="eastAsia" w:ascii="仿宋" w:hAnsi="仿宋" w:eastAsia="仿宋" w:cs="仿宋"/>
                <w:i w:val="0"/>
                <w:iCs w:val="0"/>
                <w:color w:val="000000"/>
                <w:kern w:val="0"/>
                <w:sz w:val="21"/>
                <w:szCs w:val="21"/>
                <w:u w:val="none"/>
                <w:lang w:val="en-US" w:eastAsia="zh-CN" w:bidi="ar"/>
              </w:rPr>
              <w:t>《家具抗菌性能的评价》抑菌率-金黄色葡萄球菌、大肠杆菌(大肠埃希氏菌)、抗菌性能合格达到90%以上。供货时提供第三方权威机构出具的抗菌性能检测报告复印件</w:t>
            </w:r>
            <w:r>
              <w:rPr>
                <w:rFonts w:hint="eastAsia" w:ascii="仿宋" w:hAnsi="仿宋" w:eastAsia="仿宋" w:cs="仿宋"/>
                <w:color w:val="000000"/>
                <w:kern w:val="0"/>
                <w:sz w:val="21"/>
                <w:szCs w:val="21"/>
                <w:lang w:bidi="ar"/>
              </w:rPr>
              <w:t xml:space="preserve">。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3</w:t>
            </w:r>
            <w:r>
              <w:rPr>
                <w:rFonts w:hint="eastAsia" w:ascii="仿宋" w:hAnsi="仿宋" w:eastAsia="仿宋" w:cs="仿宋"/>
                <w:color w:val="000000"/>
                <w:kern w:val="0"/>
                <w:sz w:val="21"/>
                <w:szCs w:val="21"/>
                <w:lang w:bidi="ar"/>
              </w:rPr>
              <w:t>、封边胶：</w:t>
            </w:r>
            <w:r>
              <w:rPr>
                <w:rFonts w:hint="eastAsia" w:ascii="仿宋" w:hAnsi="仿宋" w:eastAsia="仿宋" w:cs="仿宋"/>
                <w:i w:val="0"/>
                <w:iCs w:val="0"/>
                <w:color w:val="000000"/>
                <w:kern w:val="0"/>
                <w:sz w:val="21"/>
                <w:szCs w:val="21"/>
                <w:u w:val="none"/>
                <w:lang w:val="en-US" w:eastAsia="zh-CN" w:bidi="ar"/>
              </w:rPr>
              <w:t>塑料封边条：表面应无皱纹、裂纹、折痕、暗条痕染色线、刀线、油脂、污点、黑斑黏胶和杂质，无明显气泡、针孔、划痕、波纹等瑕疵；表面应光滑，花纹应清晰、均匀、无漏印；背胶处理应均匀；边缘应光滑平直，无缺损塑料封边条理化性能：耐干热性、耐磨性、耐老化性、耐冷热循环性</w:t>
            </w:r>
            <w:r>
              <w:rPr>
                <w:rFonts w:hint="eastAsia" w:ascii="仿宋" w:hAnsi="仿宋" w:eastAsia="仿宋" w:cs="仿宋"/>
                <w:color w:val="000000"/>
                <w:kern w:val="0"/>
                <w:sz w:val="21"/>
                <w:szCs w:val="21"/>
                <w:lang w:bidi="ar"/>
              </w:rPr>
              <w:t>。</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4</w:t>
            </w:r>
            <w:r>
              <w:rPr>
                <w:rFonts w:hint="eastAsia" w:ascii="仿宋" w:hAnsi="仿宋" w:eastAsia="仿宋" w:cs="仿宋"/>
                <w:color w:val="000000"/>
                <w:kern w:val="0"/>
                <w:sz w:val="21"/>
                <w:szCs w:val="21"/>
                <w:lang w:bidi="ar"/>
              </w:rPr>
              <w:t>、采用优质胶粘剂，胶粘剂应符合GB 18583-2008《室内装饰装修材料胶粘剂中有害物质限量》、GB 33372-2020《胶粘剂挥发性有机化合物限量》，水基型胶粘剂VOC含量限量室内装饰装修-聚乙酸乙烯酯类≤50g/L、水基型胶粘剂中有害物质限量值、游离甲醛≤1.0g/kg；苯≤≤0.20g/kg；甲苯+二甲苯≤0.3g/kg；总挥发性有机物≤30g/L。</w:t>
            </w:r>
            <w:r>
              <w:rPr>
                <w:rFonts w:hint="eastAsia" w:ascii="仿宋" w:hAnsi="仿宋" w:eastAsia="仿宋" w:cs="仿宋"/>
                <w:color w:val="000000"/>
                <w:kern w:val="0"/>
                <w:sz w:val="21"/>
                <w:szCs w:val="21"/>
                <w:highlight w:val="none"/>
                <w:lang w:bidi="ar"/>
              </w:rPr>
              <w:t>▲5、</w:t>
            </w:r>
            <w:r>
              <w:rPr>
                <w:rFonts w:hint="eastAsia" w:ascii="仿宋" w:hAnsi="仿宋" w:eastAsia="仿宋" w:cs="仿宋"/>
                <w:i w:val="0"/>
                <w:iCs w:val="0"/>
                <w:color w:val="000000"/>
                <w:kern w:val="0"/>
                <w:sz w:val="21"/>
                <w:szCs w:val="21"/>
                <w:highlight w:val="none"/>
                <w:u w:val="none"/>
                <w:lang w:val="en-US" w:eastAsia="zh-CN" w:bidi="ar"/>
              </w:rPr>
              <w:t>五</w:t>
            </w:r>
            <w:r>
              <w:rPr>
                <w:rFonts w:hint="eastAsia" w:ascii="仿宋" w:hAnsi="仿宋" w:eastAsia="仿宋" w:cs="仿宋"/>
                <w:i w:val="0"/>
                <w:iCs w:val="0"/>
                <w:color w:val="000000"/>
                <w:kern w:val="0"/>
                <w:sz w:val="21"/>
                <w:szCs w:val="21"/>
                <w:u w:val="none"/>
                <w:lang w:val="en-US" w:eastAsia="zh-CN" w:bidi="ar"/>
              </w:rPr>
              <w:t>金配件：采用优质品牌五金配件（供货时需提供品牌标识，无品牌标识不予签收）。</w:t>
            </w:r>
          </w:p>
          <w:p w14:paraId="4C05A92F">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6、屏风上隔采用半透明玻璃。带三抽屉活动柜，抽屉轨道为三节轨道，抽屉颜色与桌面相同。</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7、配套</w:t>
            </w:r>
            <w:r>
              <w:rPr>
                <w:rFonts w:hint="eastAsia" w:ascii="仿宋" w:hAnsi="仿宋" w:eastAsia="仿宋" w:cs="仿宋"/>
                <w:color w:val="000000"/>
                <w:kern w:val="0"/>
                <w:sz w:val="21"/>
                <w:szCs w:val="21"/>
                <w:lang w:val="en-US" w:eastAsia="zh-CN" w:bidi="ar"/>
              </w:rPr>
              <w:t>弓形</w:t>
            </w:r>
            <w:r>
              <w:rPr>
                <w:rFonts w:hint="eastAsia" w:ascii="仿宋" w:hAnsi="仿宋" w:eastAsia="仿宋" w:cs="仿宋"/>
                <w:color w:val="000000"/>
                <w:kern w:val="0"/>
                <w:sz w:val="21"/>
                <w:szCs w:val="21"/>
                <w:lang w:bidi="ar"/>
              </w:rPr>
              <w:t>靠背椅子。</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2E98B">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58A4C">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0.4</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7A2A5">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0.80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AB442">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0E9E9">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志远浩云、国鹏、红杉</w:t>
            </w:r>
          </w:p>
        </w:tc>
      </w:tr>
      <w:tr w14:paraId="0F8E3D55">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6C02">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B2F03">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6人位会议桌</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CC8A0">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张</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B739A">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工作台尺寸：2000*1100*750CM</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1、采用优质环保高密度颗粒板，甲醛释放量达到国家标准。</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2、采用优质支架，表面经过酸洗磷化喷漆等处理，使用牢固，防锈防腐蚀，不掉漆，不变形。</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3、优质连接件，容易安装，加固加牢，经久耐用，不易松动。</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4、贴心圆角包边设计，防碰撞，机器封边，不易脱落不割手，安全耐用。</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5.配套全钢结构椅子，加厚乳胶座垫，透气网格靠背支撑。</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66996">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8A69A">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A5C75">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0.50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24453">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96FC7">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志远浩云、国鹏、红杉</w:t>
            </w:r>
          </w:p>
        </w:tc>
      </w:tr>
      <w:tr w14:paraId="1D80F72D">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B6B0">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A0BC8">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教师操作台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39BF8">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套</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5391">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1.产品名称：教师多媒体讲台</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2.产品风格：现代简约</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3.主要材质: 加厚环保板材 ，板厚25mm</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4.颜色分类: 浅胡桃色或柚木色</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5.桌面尺寸: 桌面长宽高98*68*86cm（±20mm），支持现场定制尺寸</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6.配置：金属拉手、滑轨、抽屉、推拉键盘托、屏幕旋转托等；</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7.配套全钢结构椅子，加厚乳胶座垫，透气网格靠背支撑。</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66DC">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5203B">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w:t>
            </w:r>
            <w:r>
              <w:rPr>
                <w:rFonts w:hint="eastAsia" w:ascii="仿宋" w:hAnsi="仿宋" w:eastAsia="仿宋" w:cs="仿宋"/>
                <w:color w:val="000000"/>
                <w:kern w:val="0"/>
                <w:sz w:val="21"/>
                <w:szCs w:val="21"/>
                <w:lang w:val="en-US" w:eastAsia="zh-CN" w:bidi="ar"/>
              </w:rPr>
              <w:t>25</w:t>
            </w:r>
            <w:r>
              <w:rPr>
                <w:rFonts w:hint="eastAsia" w:ascii="仿宋" w:hAnsi="仿宋" w:eastAsia="仿宋" w:cs="仿宋"/>
                <w:color w:val="000000"/>
                <w:kern w:val="0"/>
                <w:sz w:val="21"/>
                <w:szCs w:val="21"/>
                <w:lang w:bidi="ar"/>
              </w:rPr>
              <w:t xml:space="preserve"> </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58EBF">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0.</w:t>
            </w:r>
            <w:r>
              <w:rPr>
                <w:rFonts w:hint="eastAsia" w:ascii="仿宋" w:hAnsi="仿宋" w:eastAsia="仿宋" w:cs="仿宋"/>
                <w:color w:val="000000"/>
                <w:kern w:val="0"/>
                <w:sz w:val="21"/>
                <w:szCs w:val="21"/>
                <w:lang w:val="en-US" w:eastAsia="zh-CN" w:bidi="ar"/>
              </w:rPr>
              <w:t>25</w:t>
            </w:r>
            <w:r>
              <w:rPr>
                <w:rFonts w:hint="eastAsia" w:ascii="仿宋" w:hAnsi="仿宋" w:eastAsia="仿宋" w:cs="仿宋"/>
                <w:color w:val="000000"/>
                <w:kern w:val="0"/>
                <w:sz w:val="21"/>
                <w:szCs w:val="21"/>
                <w:lang w:bidi="ar"/>
              </w:rPr>
              <w:t xml:space="preserve">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D35B">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BCD1">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志远浩云、国鹏、红杉</w:t>
            </w:r>
          </w:p>
        </w:tc>
      </w:tr>
      <w:tr w14:paraId="33573568">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C527">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E08D9">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网络配套</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25BA1">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项</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6C28F">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1、48口千兆交换机：</w:t>
            </w:r>
            <w:r>
              <w:rPr>
                <w:rFonts w:hint="eastAsia" w:ascii="仿宋" w:hAnsi="仿宋" w:eastAsia="仿宋" w:cs="仿宋"/>
                <w:color w:val="000000"/>
                <w:kern w:val="0"/>
                <w:sz w:val="21"/>
                <w:szCs w:val="21"/>
                <w:lang w:val="en-US" w:eastAsia="zh-CN" w:bidi="ar"/>
              </w:rPr>
              <w:t>2</w:t>
            </w:r>
            <w:r>
              <w:rPr>
                <w:rFonts w:hint="eastAsia" w:ascii="仿宋" w:hAnsi="仿宋" w:eastAsia="仿宋" w:cs="仿宋"/>
                <w:color w:val="000000"/>
                <w:kern w:val="0"/>
                <w:sz w:val="21"/>
                <w:szCs w:val="21"/>
                <w:lang w:bidi="ar"/>
              </w:rPr>
              <w:t>台。技术参数要求：</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(1)单台配置要求：提供≥48个千兆电口，≥4个千兆SFP端口；</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(2)交换容量≥256Gbps，转发性能≥96Mpps，支持所有端口线速转发；</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(3)支持802.1Q (最大4K个VLAN)、支持基于协议的VLAN、IP子网的VLAN、MAC的VLAN；</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(4)动态链路聚合(802.3ad)/ 静态端口聚合、802.1p、802.1Q、电缆诊断；</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(5)支持STP(802.1D)/ RSTP(802.1w)/ MSTP(802.1s)；</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(6)支持Diff-Serv QoS、支持SP/WRR/SP+WRR；</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(7)支持IGMP V1/V2/V3 Snooping；</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(8)支持多种DoS攻击检测功能，ARP防攻击、TCP攻击防御、端口安全功能；</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(9)支持6KV业务端口防雷能力；</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(10)支持中文WEB管理、支持SNMP协议管理。</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2、网络机柜：1个。参数如下：</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(1)规格（W×D×H）约：600 mm×600 mm×1610 mm（±20mm）,32U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(2)外观：机柜表面光洁，色泽均匀、无流积、无起泡，无裂纹金属件无毛刺锈蚀，涂覆标志符合国标的要求。</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(3)颜色：黑色</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(4)材料：采用高强度的钢冷轧板，主体方孔条约为2.0mm，其他安装梁约为1.5mm，侧板约为1.2mm</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(5)结构：19英寸，标准立柱，成型材结构，落地式机柜的结构：框架、底部加固以达到增强机柜强度的效果。侧后为可拆钢板门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(6)前门：采用高强度钢化玻璃结构：让机柜内设备运行情况能及时清楚掌握，玻璃门(门边条带各种透气孔)。机柜前门配典雅锁。</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(7)后门：采用带锁无网孔钢质后门。机柜具有防尘性，后门配典雅锁，前后门可互换。</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(8)散热：采用顶部低噪声轴流风机主动散热方式，风机不少于二个，电源为220伏。</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(9)层板：每台机柜提供1个固定层板,每块层板可承重不少于200KG；</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(10)电源：每台机配置一个八位万能输出电源插排。</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6B51E">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DE292">
            <w:pPr>
              <w:widowControl/>
              <w:ind w:firstLine="0" w:firstLineChars="0"/>
              <w:jc w:val="center"/>
              <w:textAlignment w:val="center"/>
              <w:rPr>
                <w:rFonts w:hint="eastAsia" w:ascii="仿宋" w:hAnsi="仿宋" w:eastAsia="仿宋" w:cs="仿宋"/>
                <w:color w:val="000000"/>
                <w:kern w:val="2"/>
                <w:sz w:val="21"/>
                <w:szCs w:val="21"/>
                <w:lang w:val="en-US" w:eastAsia="zh-CN" w:bidi="ar-SA"/>
              </w:rPr>
            </w:pPr>
            <w:bookmarkStart w:id="0" w:name="_GoBack"/>
            <w:bookmarkEnd w:id="0"/>
            <w:r>
              <w:rPr>
                <w:rFonts w:hint="eastAsia" w:ascii="仿宋" w:hAnsi="仿宋" w:eastAsia="仿宋" w:cs="仿宋"/>
                <w:color w:val="000000"/>
                <w:kern w:val="0"/>
                <w:sz w:val="21"/>
                <w:szCs w:val="21"/>
                <w:lang w:bidi="ar"/>
              </w:rPr>
              <w:t>0.6</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2E71F">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0.60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AC961">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237D5">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华为、H3C、锐捷</w:t>
            </w:r>
          </w:p>
        </w:tc>
      </w:tr>
      <w:tr w14:paraId="49BE4936">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2ADF">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5DBC1">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实训终端</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A2495">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套</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34935">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▲1.CPU：不低于英特尔酷睿i9 13900系列；</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2.内存：16GB；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3.硬盘：≥SSD 512GB；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4.屏幕尺寸：16英寸；</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5.屏幕刷新率：165Hz</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6.显卡：独立显卡；</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7.无线网卡：WiFi6E，支持802.11ax无线协议；</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8.外壳材质：A面金属；</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9.蓝牙：支持蓝牙5.3模块；</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10.操作系统：预装正版Windows 1</w:t>
            </w:r>
            <w:r>
              <w:rPr>
                <w:rFonts w:hint="eastAsia" w:ascii="仿宋" w:hAnsi="仿宋" w:eastAsia="仿宋" w:cs="仿宋"/>
                <w:color w:val="000000"/>
                <w:kern w:val="0"/>
                <w:sz w:val="21"/>
                <w:szCs w:val="21"/>
                <w:lang w:val="en-US" w:eastAsia="zh-CN" w:bidi="ar"/>
              </w:rPr>
              <w:t>1.质保三年。</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3CF7F">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44</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1FFA2">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1.00 </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257C5">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44.00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C4E4E">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6AF90">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联想、戴尔、华硕</w:t>
            </w:r>
          </w:p>
        </w:tc>
      </w:tr>
      <w:tr w14:paraId="39C32D98">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2AFE">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64ED5">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办公终端</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98DC">
            <w:pPr>
              <w:widowControl/>
              <w:ind w:firstLine="0" w:firstLineChars="0"/>
              <w:jc w:val="center"/>
              <w:rPr>
                <w:rFonts w:hint="eastAsia" w:ascii="仿宋" w:hAnsi="仿宋" w:eastAsia="仿宋" w:cs="仿宋"/>
                <w:color w:val="000000"/>
                <w:kern w:val="2"/>
                <w:sz w:val="21"/>
                <w:szCs w:val="21"/>
                <w:lang w:val="en-US" w:eastAsia="zh-CN" w:bidi="ar-SA"/>
              </w:rPr>
            </w:pP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EA37C">
            <w:pPr>
              <w:widowControl/>
              <w:ind w:firstLine="0" w:firstLineChars="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 CPU：满足同等参数或以上，即英特尔酷睿i9 14900系列；</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2.硬盘容量：≧512GB固态硬盘。</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3.内存容量：≧16GB DDR</w:t>
            </w:r>
            <w:r>
              <w:rPr>
                <w:rFonts w:hint="eastAsia" w:ascii="仿宋" w:hAnsi="仿宋" w:eastAsia="仿宋" w:cs="仿宋"/>
                <w:color w:val="000000"/>
                <w:kern w:val="0"/>
                <w:sz w:val="21"/>
                <w:szCs w:val="21"/>
                <w:lang w:val="en-US" w:eastAsia="zh-CN" w:bidi="ar"/>
              </w:rPr>
              <w:t>5</w:t>
            </w:r>
            <w:r>
              <w:rPr>
                <w:rFonts w:hint="eastAsia" w:ascii="仿宋" w:hAnsi="仿宋" w:eastAsia="仿宋" w:cs="仿宋"/>
                <w:color w:val="000000"/>
                <w:kern w:val="0"/>
                <w:sz w:val="21"/>
                <w:szCs w:val="21"/>
                <w:lang w:bidi="ar"/>
              </w:rPr>
              <w:t>预留可扩容插槽。</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4.显卡：独立显卡，显存容量不低于6GB。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5.光驱：选配（默认无光驱）。</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6.网卡：10/100/1000M自适应，RJ45接口。</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7.正版操作系统： </w:t>
            </w:r>
            <w:r>
              <w:rPr>
                <w:rFonts w:hint="eastAsia" w:ascii="仿宋" w:hAnsi="仿宋" w:eastAsia="仿宋" w:cs="仿宋"/>
                <w:i w:val="0"/>
                <w:iCs w:val="0"/>
                <w:color w:val="000000"/>
                <w:kern w:val="0"/>
                <w:sz w:val="21"/>
                <w:szCs w:val="21"/>
                <w:u w:val="none"/>
                <w:lang w:val="en-US" w:eastAsia="zh-CN" w:bidi="ar"/>
              </w:rPr>
              <w:t>Windows 11 64位操作系统及以上</w:t>
            </w:r>
            <w:r>
              <w:rPr>
                <w:rFonts w:hint="eastAsia" w:ascii="仿宋" w:hAnsi="仿宋" w:eastAsia="仿宋" w:cs="仿宋"/>
                <w:color w:val="000000"/>
                <w:kern w:val="0"/>
                <w:sz w:val="21"/>
                <w:szCs w:val="21"/>
                <w:lang w:bidi="ar"/>
              </w:rPr>
              <w:t>。</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8</w:t>
            </w:r>
            <w:r>
              <w:rPr>
                <w:rFonts w:hint="eastAsia" w:ascii="仿宋" w:hAnsi="仿宋" w:eastAsia="仿宋" w:cs="仿宋"/>
                <w:color w:val="000000"/>
                <w:kern w:val="0"/>
                <w:sz w:val="21"/>
                <w:szCs w:val="21"/>
                <w:lang w:bidi="ar"/>
              </w:rPr>
              <w:t>.鼠标、键盘：光电鼠标、标准键盘。</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9</w:t>
            </w:r>
            <w:r>
              <w:rPr>
                <w:rFonts w:hint="eastAsia" w:ascii="仿宋" w:hAnsi="仿宋" w:eastAsia="仿宋" w:cs="仿宋"/>
                <w:color w:val="000000"/>
                <w:kern w:val="0"/>
                <w:sz w:val="21"/>
                <w:szCs w:val="21"/>
                <w:lang w:bidi="ar"/>
              </w:rPr>
              <w:t>.电源：≧260W 能效85%；110V/220V。</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0</w:t>
            </w:r>
            <w:r>
              <w:rPr>
                <w:rFonts w:hint="eastAsia" w:ascii="仿宋" w:hAnsi="仿宋" w:eastAsia="仿宋" w:cs="仿宋"/>
                <w:color w:val="000000"/>
                <w:kern w:val="0"/>
                <w:sz w:val="21"/>
                <w:szCs w:val="21"/>
                <w:lang w:bidi="ar"/>
              </w:rPr>
              <w:t>.机箱预留装双硬盘的空间。</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1</w:t>
            </w:r>
            <w:r>
              <w:rPr>
                <w:rFonts w:hint="eastAsia" w:ascii="仿宋" w:hAnsi="仿宋" w:eastAsia="仿宋" w:cs="仿宋"/>
                <w:color w:val="000000"/>
                <w:kern w:val="0"/>
                <w:sz w:val="21"/>
                <w:szCs w:val="21"/>
                <w:lang w:bidi="ar"/>
              </w:rPr>
              <w:t>.显示器:不低于23.8寸，具有低蓝光护眼功能。</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w:t>
            </w:r>
            <w:r>
              <w:rPr>
                <w:rFonts w:hint="eastAsia" w:ascii="仿宋" w:hAnsi="仿宋" w:eastAsia="仿宋" w:cs="仿宋"/>
                <w:color w:val="000000"/>
                <w:kern w:val="0"/>
                <w:sz w:val="21"/>
                <w:szCs w:val="21"/>
                <w:lang w:val="en-US" w:eastAsia="zh-CN" w:bidi="ar"/>
              </w:rPr>
              <w:t>2</w:t>
            </w:r>
            <w:r>
              <w:rPr>
                <w:rFonts w:hint="eastAsia" w:ascii="仿宋" w:hAnsi="仿宋" w:eastAsia="仿宋" w:cs="仿宋"/>
                <w:color w:val="000000"/>
                <w:kern w:val="0"/>
                <w:sz w:val="21"/>
                <w:szCs w:val="21"/>
                <w:lang w:bidi="ar"/>
              </w:rPr>
              <w:t>.质保：三年。</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92EE8">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5</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B657D">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1.20</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1BE8B">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6.00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BC204">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D7CEE">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联想、戴尔、华硕</w:t>
            </w:r>
          </w:p>
        </w:tc>
      </w:tr>
      <w:tr w14:paraId="612D416F">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C565">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1D0BD">
            <w:pPr>
              <w:widowControl/>
              <w:ind w:firstLine="0" w:firstLineChar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专业音箱</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10BE7">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套</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6815">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1.频率响应：≥45Hz-18kHz(±3dB)；</w:t>
            </w:r>
          </w:p>
          <w:p w14:paraId="7FB5AC21">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2.灵敏度：≥90dB(±3dB) /(1W@1m)；</w:t>
            </w:r>
          </w:p>
          <w:p w14:paraId="06196065">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3.标称阻抗：≥8Ω；</w:t>
            </w:r>
          </w:p>
          <w:p w14:paraId="0DD830B1">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4.额定功率：250W(Nominal额定) .1000W(Peak峰值) ；</w:t>
            </w:r>
          </w:p>
          <w:p w14:paraId="1A85EEF9">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5.覆盖角度：90°(H 水平) x 70°(V 垂直)；</w:t>
            </w:r>
          </w:p>
          <w:p w14:paraId="2286F42D">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6.最大声压：≤120 Magnet(磁钢)140mm. VC(音圈直径) Φ50mm ；</w:t>
            </w:r>
          </w:p>
          <w:p w14:paraId="39008B3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7.高音：1x1寸. VC(音圈直径) Φ34mm ；</w:t>
            </w:r>
          </w:p>
          <w:p w14:paraId="2A05CD34">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8.箱体尺寸：约345*340*600/610（含胶脚）(mm)(长深高）；</w:t>
            </w:r>
          </w:p>
          <w:p w14:paraId="192C3CF6">
            <w:pPr>
              <w:widowControl/>
              <w:ind w:firstLine="0" w:firstLineChars="0"/>
              <w:jc w:val="left"/>
              <w:textAlignment w:val="center"/>
              <w:rPr>
                <w:rFonts w:hint="eastAsia" w:ascii="仿宋" w:hAnsi="仿宋" w:eastAsia="仿宋" w:cs="仿宋"/>
                <w:color w:val="000000"/>
                <w:kern w:val="0"/>
                <w:sz w:val="21"/>
                <w:szCs w:val="21"/>
                <w:highlight w:val="yellow"/>
                <w:lang w:bidi="ar"/>
              </w:rPr>
            </w:pPr>
            <w:r>
              <w:rPr>
                <w:rFonts w:hint="eastAsia" w:ascii="仿宋" w:hAnsi="仿宋" w:eastAsia="仿宋" w:cs="仿宋"/>
                <w:color w:val="000000"/>
                <w:kern w:val="0"/>
                <w:sz w:val="21"/>
                <w:szCs w:val="21"/>
                <w:highlight w:val="none"/>
                <w:lang w:bidi="ar"/>
              </w:rPr>
              <w:t>9.重量：≤16.5kg。</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A7272">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14E7C">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0.2</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637A">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0.2</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EFB7">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905AF">
            <w:pPr>
              <w:widowControl/>
              <w:ind w:firstLine="0" w:firstLineChars="0"/>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佳比、JSL、YAMAHA</w:t>
            </w:r>
          </w:p>
        </w:tc>
      </w:tr>
      <w:tr w14:paraId="6D2F3EBC">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78FB">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52C56">
            <w:pPr>
              <w:widowControl/>
              <w:ind w:firstLine="0" w:firstLineChar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调音台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83331">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台</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1D0E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1.6路单声+2立体声（10路）2编组和2路混合输出；AUX辅助输出，2轨信号输入；2路独立录音输出和耳机监听输出口，可调超重低音输出；</w:t>
            </w:r>
          </w:p>
          <w:p w14:paraId="26FA208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2.带中频扫描，可调频率 ；     </w:t>
            </w:r>
          </w:p>
          <w:p w14:paraId="1CEF6FAE">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3.麦克风通道内置动态降噪系统；</w:t>
            </w:r>
          </w:p>
          <w:p w14:paraId="6EEEAE4A">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4.≥ 100种DSP效果，逼真声场；</w:t>
            </w:r>
          </w:p>
          <w:p w14:paraId="4F43787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5.≥7段立体声图示均衡器；</w:t>
            </w:r>
          </w:p>
          <w:p w14:paraId="740B7441">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6.平衡式麦克风XLR输入和平衡式线路TRS输入，3段通道均衡，台湾产100mm双滑轨推子，手感润滑而经久耐用； </w:t>
            </w:r>
          </w:p>
          <w:p w14:paraId="5CBAC0CD">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7.独立PFL开关，可监听通道输入、录音输入信号以及混响、主混音和编组输出信号；</w:t>
            </w:r>
          </w:p>
          <w:p w14:paraId="42ECEC9E">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8.48V 幻象电源，为输入端口提供极化电压和方便连接电容式话筒； </w:t>
            </w:r>
          </w:p>
          <w:p w14:paraId="294E444C">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9.分频点扫描式超重低音输出，兼容演艺、会议、的士高娱乐等许多场合；耳机监听接口；</w:t>
            </w:r>
          </w:p>
          <w:p w14:paraId="3E2051E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10.USB声卡播放功能，可用USB 线连接电脑播放音乐，并可控制电脑音量、选择歌曲、播放和暂停功能；</w:t>
            </w:r>
          </w:p>
          <w:p w14:paraId="3195730D">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11.TF 读卡器和文件下载功能，可连接电脑，读取、编辑和下载TF卡文件；</w:t>
            </w:r>
          </w:p>
          <w:p w14:paraId="094245B5">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12.USB和TF 双介质储存器接口；</w:t>
            </w:r>
          </w:p>
          <w:p w14:paraId="49919A8D">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13. 内置高清格式解码多媒体播放器，可以播放MP3、SBC、ACC、WAV、FLAC、APE、WMA、AC C、F1A格式歌曲；</w:t>
            </w:r>
          </w:p>
          <w:p w14:paraId="5C49396A">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14.内置蓝牙妆收播放功能；</w:t>
            </w:r>
          </w:p>
          <w:p w14:paraId="66411AE3">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15.带开关控制DJ灯USB接口；</w:t>
            </w:r>
          </w:p>
          <w:p w14:paraId="03439CB8">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16..智能反馈抑制功能；</w:t>
            </w:r>
          </w:p>
          <w:p w14:paraId="3253A62E">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17.2.8英寸超大蓝光LCD （液晶）显示；</w:t>
            </w:r>
          </w:p>
          <w:p w14:paraId="3B73A421">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18.内置WAV 格式数字录音功能，可现场录音；</w:t>
            </w:r>
          </w:p>
          <w:p w14:paraId="0987960E">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19.精准对数式双10位LED 电平显示； </w:t>
            </w:r>
          </w:p>
          <w:p w14:paraId="1C258068">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20.可拆卸铝合金侧板，方便安装到机柜。</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6ADA1">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6EB70">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0.55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1951C">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0.55</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51E32">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965FA">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佳比、JSL、YAMAHA</w:t>
            </w:r>
          </w:p>
        </w:tc>
      </w:tr>
      <w:tr w14:paraId="1C707859">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7FC8">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E7B12">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数字功放</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A104C">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台</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6400E">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1.输出功率:（8Ω）2x600W；                                        </w:t>
            </w:r>
          </w:p>
          <w:p w14:paraId="1E3275C2">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2.输出功率:（4Ω）2x850W；</w:t>
            </w:r>
          </w:p>
          <w:p w14:paraId="2D8EBBC6">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3.输出功率8Ω桥接 1800W；</w:t>
            </w:r>
          </w:p>
          <w:p w14:paraId="7579F59A">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4.频率响应 20Hz-20kHz ±0.3dB；  </w:t>
            </w:r>
          </w:p>
          <w:p w14:paraId="1F094C40">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5.输入灵敏度 0.775V/1.0V/1.4V ；</w:t>
            </w:r>
          </w:p>
          <w:p w14:paraId="7C56993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6.信噪比（A计权） 108dB； </w:t>
            </w:r>
          </w:p>
          <w:p w14:paraId="212746C3">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7.最低负载阻抗 (单个通道)&gt;4Ω  ；   </w:t>
            </w:r>
          </w:p>
          <w:p w14:paraId="1DE9CED7">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8.输入阻抗 (平衡):20kΩ   (不平衡):10KΩ ；    </w:t>
            </w:r>
          </w:p>
          <w:p w14:paraId="19C36BA3">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9.正常功耗 220x2.0；  </w:t>
            </w:r>
          </w:p>
          <w:p w14:paraId="0AD2AEB6">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10.阻尼系数 &gt;500@1KHz ； </w:t>
            </w:r>
          </w:p>
          <w:p w14:paraId="0EDEAF32">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11.总谐波失真 &lt;0.01；     </w:t>
            </w:r>
          </w:p>
          <w:p w14:paraId="3436BCA4">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12.转换速率 &gt;30V/uS；     </w:t>
            </w:r>
          </w:p>
          <w:p w14:paraId="32B99017">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13.机身高度 2U；    </w:t>
            </w:r>
          </w:p>
          <w:p w14:paraId="2316F6F1">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14.电源要求 AC 220V±10%  50-60Hz ；     </w:t>
            </w:r>
          </w:p>
          <w:p w14:paraId="5E7E148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15.机身尺寸 470x430x90mm ；</w:t>
            </w:r>
          </w:p>
          <w:p w14:paraId="63743A01">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16.重量≤23kg。</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F59FA">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8FCA3">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0.4</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7AC4A">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0.4</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583A0">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590A">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佳比、JSL、YAMAHA</w:t>
            </w:r>
          </w:p>
        </w:tc>
      </w:tr>
      <w:tr w14:paraId="59783262">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6B65">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71AFA">
            <w:pPr>
              <w:widowControl/>
              <w:ind w:firstLine="0" w:firstLineChar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电源时序器</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D4DF5">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台</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08466">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1.内置RS-485接口并支持多设备级联控制，通过PC上位机或中控设备对设备进行设置管理；</w:t>
            </w:r>
          </w:p>
          <w:p w14:paraId="63214611">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2.内置1 2 8 6 4智能显示窗，可以实时显示当前电压,日期,时间,通道开关状态等参数；</w:t>
            </w:r>
          </w:p>
          <w:p w14:paraId="21DD1864">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3.8路开关通道输出，每路启动延时和停止延时时间可以自由设置；</w:t>
            </w:r>
          </w:p>
          <w:p w14:paraId="7E3DB1E5">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4.内置时钟芯片，实时显示当前日期及时间；</w:t>
            </w:r>
          </w:p>
          <w:p w14:paraId="633A68DD">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5.欠压，过压检测保护及报警；</w:t>
            </w:r>
          </w:p>
          <w:p w14:paraId="206A31BA">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6.使用电压：~220V 50Hz；</w:t>
            </w:r>
          </w:p>
          <w:p w14:paraId="55BCE54B">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7.电源输出：8路可控，一路直接输出；</w:t>
            </w:r>
          </w:p>
          <w:p w14:paraId="28703E6C">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8.启动延时：启动即开，1到2 4 0秒，从不开启；</w:t>
            </w:r>
          </w:p>
          <w:p w14:paraId="6F16162A">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9.停止延时：停止即关，1到2 4 0秒，从不关闭；</w:t>
            </w:r>
          </w:p>
          <w:p w14:paraId="2FE3E71E">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10.最大电流：20A@220V 50Hz；</w:t>
            </w:r>
          </w:p>
          <w:p w14:paraId="354F3B33">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11.显示内容：时间，每路状态，电压；</w:t>
            </w:r>
          </w:p>
          <w:p w14:paraId="778609F9">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12.显示方式：1 2 8 6 4点阵显示屏, LED；</w:t>
            </w:r>
          </w:p>
          <w:p w14:paraId="4B64790D">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13.单路电流：20A。</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39366">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8EA2E">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0.25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4E90A">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0.25</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68B14">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C9484">
            <w:pPr>
              <w:widowControl/>
              <w:ind w:firstLine="0" w:firstLineChars="0"/>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佳比、JSL、YAMAHA</w:t>
            </w:r>
          </w:p>
        </w:tc>
      </w:tr>
      <w:tr w14:paraId="70D649C1">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02DE">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8550C">
            <w:pPr>
              <w:widowControl/>
              <w:ind w:firstLine="0" w:firstLineChar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无线手持话筒</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26120">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套</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44AFD">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1.独特内置式天线设计，无需外接天线，节省空间，简便操作；</w:t>
            </w:r>
          </w:p>
          <w:p w14:paraId="227FCFD7">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2.UHF高频段传输，频段完全避开最新手机工作频率，极强抗干扰能力及远距离接收；</w:t>
            </w:r>
          </w:p>
          <w:p w14:paraId="20CE0E02">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3.DLL锁相环多信道频率合成技术，自动频率跟踪补偿技术，保证产品长时间使用；</w:t>
            </w:r>
          </w:p>
          <w:p w14:paraId="466AF45C">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4.双频段纯铜芯天线，双通道独立接收互不干扰；</w:t>
            </w:r>
          </w:p>
          <w:p w14:paraId="762DF3E0">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5.应用电源路径管理技术，保证音频、射频电源稳定、纯净无干扰；</w:t>
            </w:r>
          </w:p>
          <w:p w14:paraId="056F1CDD">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6.选用高集成度工业级芯片及微电脑MCU控制，全电子式按键操作方式简明清晰；</w:t>
            </w:r>
          </w:p>
          <w:p w14:paraId="6C76E046">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7.内置精准电子音量调节芯片，精确控制音量调节；</w:t>
            </w:r>
          </w:p>
          <w:p w14:paraId="3D467076">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8.32位数字ID导频，杜绝串频、断频现象；</w:t>
            </w:r>
          </w:p>
          <w:p w14:paraId="143C22E9">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9.红外式自动对频，操作简单；</w:t>
            </w:r>
          </w:p>
          <w:p w14:paraId="707EBA18">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10.多达200个信道可供选择，方便多套设备同时使用；</w:t>
            </w:r>
          </w:p>
          <w:p w14:paraId="138BC0E4">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11.提供隔离的平衡输出音频接口，以及混合输出非平衡音频接口，全面适应各种连接需求；</w:t>
            </w:r>
          </w:p>
          <w:p w14:paraId="1E175F84">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12.专业定制高保真演唱会级咪芯，反应灵敏，声音纯净，动态范围大，采用音频压缩扩展技术，有效减少噪音及啸叫，配合精调零损耗音频传输电路，实现完美声音；</w:t>
            </w:r>
          </w:p>
          <w:p w14:paraId="6107737C">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13.UHF高频段传输，频段完全避开最新手机工作频率，极强抗干扰能力；</w:t>
            </w:r>
          </w:p>
          <w:p w14:paraId="77B34243">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14.DLL锁相环多信道频率合成技术，配合接收机实现自动频率跟踪补偿，满足长时间使用；</w:t>
            </w:r>
          </w:p>
          <w:p w14:paraId="5BBAF3B7">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15.高清LCD显示屏，工作状态实时更新；</w:t>
            </w:r>
          </w:p>
          <w:p w14:paraId="1192EF59">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 xml:space="preserve">16.手持发射机内置高性能MEMS姿态传感器芯片，AI控制智能静音、话筒跌落保护功能； </w:t>
            </w:r>
          </w:p>
          <w:p w14:paraId="0942D1C9">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17.手持发射机及接收机均采用微电脑CPU控制。装配LCD显示屏幕，采用电子式按键控制面板操作。</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FA06">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0FDCF">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0.35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72FCF">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0.35</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B190A">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F8B6D">
            <w:pPr>
              <w:widowControl/>
              <w:ind w:firstLine="0" w:firstLineChars="0"/>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佳比、JSL、YAMAHA</w:t>
            </w:r>
          </w:p>
        </w:tc>
      </w:tr>
      <w:tr w14:paraId="35D79137">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FD05">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86B13">
            <w:pPr>
              <w:widowControl/>
              <w:ind w:firstLine="0" w:firstLineChar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专业会议麦克风</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1A223">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套</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DB054">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1.锌合金底座，频率响应宽广，音质清晰透明，噪音低,</w:t>
            </w:r>
          </w:p>
          <w:p w14:paraId="28523811">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2.话筒ON/OFF超长寿命、高抗静噪轻触开关,</w:t>
            </w:r>
          </w:p>
          <w:p w14:paraId="280DAEBB">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3.话筒开启时，音头红色工作指示灯发亮，鹅颈与底座可分开式,</w:t>
            </w:r>
          </w:p>
          <w:p w14:paraId="2BDF8048">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4.适用于大型会议、公众传播、户外演讲等场合。</w:t>
            </w:r>
          </w:p>
          <w:p w14:paraId="2E355455">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5.指向特性：心形单指向型（驻极体电容式）</w:t>
            </w:r>
          </w:p>
          <w:p w14:paraId="1DAA0057">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6.频率响应(Hz): 40Hz-16KHz</w:t>
            </w:r>
          </w:p>
          <w:p w14:paraId="20032DAB">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7.灵敏感度：-42dB/±3dB（1KHz）</w:t>
            </w:r>
          </w:p>
          <w:p w14:paraId="1AEB5158">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8.低频衰减：125Hz 6dB/OCTAVE</w:t>
            </w:r>
          </w:p>
          <w:p w14:paraId="4CA3F063">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9.输出阻抗：200Ω</w:t>
            </w:r>
          </w:p>
          <w:p w14:paraId="7037927A">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10.最大承受音压：135dB SPL 1KHz At1% T.H.D</w:t>
            </w:r>
          </w:p>
          <w:p w14:paraId="0BA4605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11.信噪比：66dB.1KHz at 1Pa</w:t>
            </w:r>
          </w:p>
          <w:p w14:paraId="0E051CCF">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12.动态范围:111dB.1KHz AT MAX SPL</w:t>
            </w:r>
          </w:p>
          <w:p w14:paraId="185AA0C3">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13.咪线配置：5米双芯屏蔽线</w:t>
            </w:r>
          </w:p>
          <w:p w14:paraId="2001C59A">
            <w:pPr>
              <w:widowControl/>
              <w:ind w:firstLine="0" w:firstLineChars="0"/>
              <w:jc w:val="left"/>
              <w:textAlignment w:val="center"/>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14.电源供应：幻象48V</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101E7">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20D3">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0.25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7F7F4">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0.25</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E83AA">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6C68B">
            <w:pPr>
              <w:widowControl/>
              <w:ind w:firstLine="0" w:firstLineChars="0"/>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佳比、JSL、YAMAHA</w:t>
            </w:r>
          </w:p>
        </w:tc>
      </w:tr>
      <w:tr w14:paraId="5A47F251">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54CC">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1511D">
            <w:pPr>
              <w:widowControl/>
              <w:ind w:firstLine="0" w:firstLineChars="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音响线材</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C3DE">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批</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5506">
            <w:pPr>
              <w:widowControl/>
              <w:ind w:firstLine="0" w:firstLineChars="0"/>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bidi="ar"/>
              </w:rPr>
              <w:t>卡农线、4芯纯铜音响接头、莲花线</w:t>
            </w:r>
            <w:r>
              <w:rPr>
                <w:rFonts w:hint="eastAsia" w:ascii="仿宋" w:hAnsi="仿宋" w:eastAsia="仿宋" w:cs="仿宋"/>
                <w:color w:val="000000"/>
                <w:kern w:val="0"/>
                <w:sz w:val="21"/>
                <w:szCs w:val="21"/>
                <w:highlight w:val="none"/>
                <w:lang w:val="en-US" w:eastAsia="zh-CN" w:bidi="ar"/>
              </w:rPr>
              <w:t>等一批。</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2D4A">
            <w:pPr>
              <w:widowControl/>
              <w:ind w:firstLine="0" w:firstLine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59E95">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0.05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3476">
            <w:pPr>
              <w:widowControl/>
              <w:ind w:firstLine="0" w:firstLineChars="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0.05</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980A">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FDDF0">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秋叶原‌、‌胜为‌、‌山泽</w:t>
            </w:r>
          </w:p>
        </w:tc>
      </w:tr>
      <w:tr w14:paraId="1F9354EE">
        <w:tblPrEx>
          <w:tblCellMar>
            <w:top w:w="0" w:type="dxa"/>
            <w:left w:w="108" w:type="dxa"/>
            <w:bottom w:w="0" w:type="dxa"/>
            <w:right w:w="108" w:type="dxa"/>
          </w:tblCellMar>
        </w:tblPrEx>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5D87">
            <w:pPr>
              <w:widowControl/>
              <w:numPr>
                <w:ilvl w:val="0"/>
                <w:numId w:val="2"/>
              </w:numPr>
              <w:ind w:left="425" w:leftChars="0" w:hanging="425" w:firstLineChars="0"/>
              <w:jc w:val="center"/>
              <w:textAlignment w:val="center"/>
              <w:rPr>
                <w:rFonts w:hint="eastAsia" w:ascii="仿宋" w:hAnsi="仿宋" w:eastAsia="仿宋" w:cs="仿宋"/>
                <w:color w:val="000000"/>
                <w:kern w:val="0"/>
                <w:sz w:val="21"/>
                <w:szCs w:val="21"/>
                <w:highlight w:val="none"/>
                <w:lang w:val="en-US" w:eastAsia="zh-CN" w:bidi="ar"/>
              </w:rPr>
            </w:pP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B562F">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智慧黑板</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0499">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套</w:t>
            </w: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174F">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一、主要参数</w:t>
            </w:r>
          </w:p>
          <w:p w14:paraId="01DBD65E">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外观结构：整机采用三平面一体化拼接设计，外部无任何可见内部功能模块的连接线；全金属背板，边角采用弧形设计，表面无尖锐边缘或凸起；前置接口边缘无棱角、无毛刺。整机尺寸宽≥4200mm，高≥1200mm，厚≤110mm。</w:t>
            </w:r>
          </w:p>
          <w:p w14:paraId="7EA505D0">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液晶屏参数：液晶屏显示尺寸≥86英寸；LCD背光源：DLED；显示比例：16:9；水平、垂直可视角度≥178°；图像分辨率≥3840×2160；灰阶等级≥256级，液晶屏达到A级标准；整机支持1.07B(10bit)色深，显示色彩过渡自然。</w:t>
            </w:r>
          </w:p>
          <w:p w14:paraId="699C7C76">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3.显示性能：对比度≥5000:1；色域覆盖率（NTSC）≥95%；色域覆盖率（sRGB）≥130%；整机待机状态下节能≥99.8%；"</w:t>
            </w:r>
          </w:p>
          <w:p w14:paraId="36AF1979">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4.▲全贴合触控显示：采用全贴合工艺，无可见金属网丝，书写无悬空感，触控无偏移，侧视无重影。</w:t>
            </w:r>
          </w:p>
          <w:p w14:paraId="6E90E3EB">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5.▲操作系统：整机自带安卓系统，安卓版本≥Android14 ，与可插拔式电脑系统形成双系统；RAM≥4G，ROM≥32G；整机适配国产化芯片， 4核CPU，2核GPU,共6核。（供货时需提供具有 CNAS 、CMA 标识的检测机构出具的检测报告复印件）</w:t>
            </w:r>
          </w:p>
          <w:p w14:paraId="1939D3C2">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6.▲采用电容触控方案，支持手指和导电物体书写，Windows、安卓和统信等信创系统全通道支持≥55点触控，光标移动速度≥150帧/秒，触控报点率≥150Hz，触摸分辨率：32768×32768。（供货时需提供具有 CNAS 、CMA 标识的检测机构出具的检测报告复印件）</w:t>
            </w:r>
          </w:p>
          <w:p w14:paraId="7858B429">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7.响应时间: 首点响应时间≤4ms，连续响应时间≤2ms，书写延迟≤10ms。</w:t>
            </w:r>
          </w:p>
          <w:p w14:paraId="03A334B1">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8.▲前置按键: 为方便教学，前置物理按键≤1个，支持调取中控菜单，支持锁定/解锁屏幕、支持整机开机/关机、支持电脑开机/关机、</w:t>
            </w:r>
          </w:p>
          <w:p w14:paraId="505AD310">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9.▲前置接口：为方便教师使用，具备至少前置三路USB3.0，一路Type-C，一路HDMI输入，具有中/英文丝印标识，USB 接口、HDMI接口和Type-C接口支持在Windows、Android 和信创系统下被读取，即插即用。（供货时需提供具有 CNAS 、CMA 标识的检测机构出具的检测报告复印件）</w:t>
            </w:r>
          </w:p>
          <w:p w14:paraId="7FD14918">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9.智能唤醒：通电待机状态下，可通过HDMI插拔、HDMI信号源智能唤醒整机，整机支持有线网络待机唤醒。</w:t>
            </w:r>
          </w:p>
          <w:p w14:paraId="537B1A5E">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 xml:space="preserve">10.▲内置扬声器：整机内置2.2声道音响，发声单元≥4个，内置两腔四驱大音响，总音腔体积≥2L，高频扬声器2*18W，全频扬声器2*18W，总额定功率≥72W。 </w:t>
            </w:r>
          </w:p>
          <w:p w14:paraId="1C79797A">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11.前置声波衍射发声设计：整机底部左右对称设计两组阵列孔，孔径≤1.6mm，孔径可以调整声波传输路径，扩大发声范围，营造均衡、立体的临场音效。"</w:t>
            </w:r>
          </w:p>
          <w:p w14:paraId="22BD6979">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12.整机扬声器在100%音量下，可做到1米处声压级≥91dB，10米处声压级≥85dB，响度差距≤6dB。</w:t>
            </w:r>
          </w:p>
          <w:p w14:paraId="472591AB">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13.▲内置麦克风：内置≥8路麦克风阵列，支持≥14m拾音，支持抗混响、噪声抑制、自动增益控制、远程回声消除等功能，拾音角度≥180°，方便对课堂音频进行采集；内置防啸叫电路，麦克风与喇叭单元啸叫距离≤20cm，有效抑制自激啸叫声。</w:t>
            </w:r>
          </w:p>
          <w:p w14:paraId="2B8FA1CD">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14.▲内置摄像头：内置≥3200万像素摄像头，支持拍摄≥6528*4896分辨率照片，对角线视场角≥141°，支持3D降噪，便于教室拍照、师生画面采集。（供货时需提供具有 CNAS 、CMA 标识的检测机构出具的检测报告复印件）</w:t>
            </w:r>
          </w:p>
          <w:p w14:paraId="6475212E">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15.WiFi和蓝牙: 内置WiFi6模块，支持2.4G/5G双频，支持IEEE 802.11 a/b/g/n/ac/ax协议，能实现上网有效工作距离≥300米；整机蓝牙支持Bluetooth 5.4 标准，支持至少两种模式选择：连手机、连音响。</w:t>
            </w:r>
          </w:p>
          <w:p w14:paraId="6CD1F604">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16.环境色温感知：摄像头支持环境色温监测，能感知周围环境色温，匹配最佳色温显示效果。</w:t>
            </w:r>
          </w:p>
          <w:p w14:paraId="3C6BDC5B">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17.硬件低蓝光背光技术：整机采用硬件低蓝光背光技术，采用低蓝光护眼LED灯珠，从源头减少有害蓝光波段能量。蓝光占比(有害蓝光415~455nm能量综合)/(整体蓝光400~500能量综合)≤30%，低蓝光保护显示不偏色，不泛黄。</w:t>
            </w:r>
          </w:p>
          <w:p w14:paraId="6C4B129F">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18.蓝光防护符合IEC/TR 62778标准，等级为RG0级。"</w:t>
            </w:r>
          </w:p>
          <w:p w14:paraId="78CA20B2">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19.低蓝光护眼模式：整机支持开启/关闭低蓝光护眼模式，开启低蓝光护眼模式后，视网膜蓝光危害（蓝光加权辐射亮度LB）LB ≤0.1W·m-2·sr-1，整机会降低蓝光辐射，呵护师生视力。</w:t>
            </w:r>
          </w:p>
          <w:p w14:paraId="69859191">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20.直流无频闪调光：整机采用直流无频闪DC调光技术，消除闪烁在人眼观看显示器时带来的疲劳感。</w:t>
            </w:r>
          </w:p>
          <w:p w14:paraId="45A8751B">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21.符合闪烁和蓝光防护标准要求：无可察觉的闪烁，符合GB/T 18910.61标准，闪烁等级≤-65dB（60Hz）；"</w:t>
            </w:r>
          </w:p>
          <w:p w14:paraId="13EF33BA">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22.息屏功能: 整机具备息屏功能，可通过前置按键或者手势调取菜单关闭背光，整机仍可正常运行；在息屏状态下，可正常播放音频。整机处于息屏状态时，可通过遥控器、物理按键、五指长按等不少于3种方式唤醒屏幕。</w:t>
            </w:r>
          </w:p>
          <w:p w14:paraId="39139594">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23.侧边栏功能：侧边栏支持选择返回、主页、任务视窗、电脑、批注、截图、半屏显示、信号源、录屏、相机、触控锁、日历、计时器、计算器、投票器、倒计日、聚光灯、放大镜、文件快传、Wifi、热点、摄像头、麦克风、蓝牙、分屏，同时支持快速调节音量和显示亮度。</w:t>
            </w:r>
          </w:p>
          <w:p w14:paraId="348C78AC">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24.▲侧边栏显示控制：为了提升显示画面完整性，侧边栏支持开启/隐藏功能，侧边栏隐藏后可根据需要，通过设置或连续敲击屏幕后恢复显示。"</w:t>
            </w:r>
          </w:p>
          <w:p w14:paraId="62F26181">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25.▲多窗协作：支持多窗协作，支持白板、文件管理器、视频展台、办公软件等应用在屏幕上进行两个应用的分屏显示，可调节分屏的画面比例，可左右更换分屏窗口，可退出分屏显示。</w:t>
            </w:r>
          </w:p>
          <w:p w14:paraId="5F923636">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26.▲半屏下降:整机可通过软件快捷键实现屏幕显示画面下移，可自定义调整下降高度，并可进行触控，方便用户操作；点击屏幕黑色部分即可恢复全屏显示。</w:t>
            </w:r>
          </w:p>
          <w:p w14:paraId="49DB75BE">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27.▲安卓白板支持毛笔、钢笔、铅笔、荧光笔四种书写方式；支持手势识别板擦，手动选择橡皮擦、圈擦、滑动清屏。支持两人以上在选择书写工具的状态下同时书写和擦除，互不影响，方便不同学生在屏幕上进行课堂答题演示。</w:t>
            </w:r>
          </w:p>
          <w:p w14:paraId="5C71BF4E">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28.白板书写内容可导出格式PDF的文档和HMF的白板文件；支持扫描二维码分享和邮件分享白板内容，已保存的白板文件支持再次进行内容编辑，内容包括书写笔迹、图片、图形、表格。</w:t>
            </w:r>
          </w:p>
          <w:p w14:paraId="0C4487DD">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29.智能表格绘制：安卓下支持智能图表绘制，通过识别矩形图形后手绘增加表格行列，表格中书写区域可根据书写内容自适应大小，表格内容与表格边界可同时选中并一起拖动；形成表格对象后可以直接点击按钮添加行或者列，智能图表支持删减表格中的行或者列。</w:t>
            </w:r>
          </w:p>
          <w:p w14:paraId="32D11823">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30.▲支持手写体转标准体，使用白板中的画笔功能在大屏上进行书写时，书写之后的笔记在停笔后自动识别成标准的字体，支持中文、英文、数字、标点符号的识别，使板书更加整洁；支持划线删除标准体，使用二折及以上的折线段或波浪线在标准体文字上贯穿，可直接将被贯穿文字删除，其余文字位置保持不变。</w:t>
            </w:r>
          </w:p>
          <w:p w14:paraId="33B2E413">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31.▲动态批注：启动批注后，批注背景可以正常移动，方便在讲解连续几页的内容或观看视频时可以保留批注内容。</w:t>
            </w:r>
          </w:p>
          <w:p w14:paraId="4CDB6F8E">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32.智能管家：提供六个功能入口：清理加速、故障检测、检测报告、网络检测、常见问题、高级设置。支持内存与缓存垃圾计算并进行优化，支持应用白名单。用户可发起故障检测，检测过程中显示触控框、摄像头、音频输出、麦克风、OPS、光感模块、主板、电源板、NFC、Wifi硬件、网络连接等检测结果正常或不正常，并生成检测报告，支持扫描系统提供的二维码进行在线客服问题报修；支持当前网络、网络速度、网络等级的检测。</w:t>
            </w:r>
          </w:p>
          <w:p w14:paraId="3DB266E8">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33.▲地震预警功能：整机支持地震预警功能，当预警震级达到震级阈值，且地震对用户所在区域的影响（预估烈度）达到烈度阈值，发出提示警报，提醒师生尽快安全有序撤离，确保师生人身安全。（供货时需提供具有 CNAS 、CMA 标识的检测机构出具的检测报告复印件）</w:t>
            </w:r>
          </w:p>
          <w:p w14:paraId="6DFDEF83">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34.整机具备高色准，支持色域可选，分别包含自动、标准模式和扩展模式，可做到高色准△E≤1，画面色彩呈现更加丰富准确。</w:t>
            </w:r>
          </w:p>
          <w:p w14:paraId="3D282C0B">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35.整机电磁干扰ITE达到国标GB/T9254.1-2021 Class B等级要求，符合教室教学场景下多种电子设备共用，无需采取任何电磁辐射防护措施。</w:t>
            </w:r>
          </w:p>
          <w:p w14:paraId="70743494">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36.书写副板：书写副板为两侧分体结构粉书写板，板书笔记易擦拭，擦拭性符合国标GB28231-2011 第4.4条的要求；易于清洁维护；书写副板表面无裂纹、无流痕、无气泡等缺陷，可吸附磁片；副板与整机的缝隙≤0.5mm，段差≤0.5mm。</w:t>
            </w:r>
          </w:p>
          <w:p w14:paraId="60F3E980">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37.微瓷处理工艺：书写面材质表面采用微瓷处理工艺，表面黑色，铅笔硬度不低于9H。</w:t>
            </w:r>
          </w:p>
          <w:p w14:paraId="217BF687">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38.书写副板光泽度：光泽度≤6﹪，符合国标GB28231-2011 第4.2条的要求：没有明显眩光，色调柔和、时尚美观，学生在任何角度都能正常观看，可有效保护师生视力健康。</w:t>
            </w:r>
          </w:p>
          <w:p w14:paraId="115C116B">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39.耐光特性：书写副板具有耐光特性，耐光性符合国标GB28231-2011第4.7条的要求；长时间暴晒后无明显变色。</w:t>
            </w:r>
          </w:p>
          <w:p w14:paraId="64CC2BF2">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40.书写副板要求符合建筑采光设计标准和 GB 7793-2010中小学校教室采光和照明卫生标准，各区域的反射比检测结果全部符合 0.15～0.20 的技术要求。</w:t>
            </w:r>
          </w:p>
          <w:p w14:paraId="68B00B28">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二、OPS电脑配置：</w:t>
            </w:r>
          </w:p>
          <w:p w14:paraId="6BFA24F3">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1、处理器：8核十二线程或以上配置</w:t>
            </w:r>
          </w:p>
          <w:p w14:paraId="684A7F9A">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2、主频≥2.0GHz；</w:t>
            </w:r>
          </w:p>
          <w:p w14:paraId="50830D20">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3、内存≥8G ；硬盘≥256G</w:t>
            </w:r>
          </w:p>
          <w:p w14:paraId="31CBFB5D">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4、独立非扩展的接口：USB3.0≥4个，USB2.0≥2个，DP Out≥1个，HDMI Out≥1个，Line In/Mic In≥1个，Line out≥1个</w:t>
            </w:r>
          </w:p>
          <w:p w14:paraId="489E06A7">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5、内置电脑具备WiFi6和蓝牙5.2功能集成 10/100/1000M 以太网卡</w:t>
            </w:r>
          </w:p>
          <w:p w14:paraId="0FA1A421">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6、操作系统：WIN10系统</w:t>
            </w:r>
          </w:p>
          <w:p w14:paraId="09D1E460">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7、0PS模块与整机连接采用万兆级数据级联，传输速率≥10Gbps</w:t>
            </w:r>
          </w:p>
          <w:p w14:paraId="575FFB82">
            <w:pPr>
              <w:widowControl/>
              <w:ind w:firstLine="0" w:firstLineChars="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8、可插拔电脑模块，无需工具即可快速拆卸模块。</w:t>
            </w:r>
          </w:p>
          <w:p w14:paraId="03EF8754">
            <w:pPr>
              <w:widowControl/>
              <w:ind w:firstLine="0" w:firstLineChars="0"/>
              <w:jc w:val="left"/>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bidi="ar"/>
              </w:rPr>
              <w:t>三、质保三年。</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50B5D">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A9C5B">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3.00 </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20FD3">
            <w:pPr>
              <w:widowControl/>
              <w:ind w:firstLine="0" w:firstLineChars="0"/>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 w:val="21"/>
                <w:szCs w:val="21"/>
                <w:lang w:bidi="ar"/>
              </w:rPr>
              <w:t xml:space="preserve">3.00 </w:t>
            </w:r>
          </w:p>
        </w:tc>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08098">
            <w:pPr>
              <w:widowControl/>
              <w:ind w:firstLine="0" w:firstLineChars="0"/>
              <w:rPr>
                <w:rFonts w:hint="eastAsia" w:ascii="仿宋" w:hAnsi="仿宋" w:eastAsia="仿宋" w:cs="仿宋"/>
                <w:color w:val="000000"/>
                <w:sz w:val="21"/>
                <w:szCs w:val="21"/>
                <w:highlight w:val="none"/>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584F">
            <w:pPr>
              <w:widowControl/>
              <w:ind w:firstLine="0" w:firstLineChars="0"/>
              <w:rPr>
                <w:rFonts w:hint="eastAsia" w:ascii="仿宋" w:hAnsi="仿宋" w:eastAsia="仿宋" w:cs="仿宋"/>
                <w:color w:val="000000"/>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海信、鸿合、希沃</w:t>
            </w:r>
          </w:p>
        </w:tc>
      </w:tr>
      <w:tr w14:paraId="25223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A0E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▲（二）商务要求表</w:t>
            </w:r>
          </w:p>
        </w:tc>
      </w:tr>
      <w:tr w14:paraId="6F713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847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合同签订时间</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DBD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自成交通知书发出之日起 15 个日历日。</w:t>
            </w:r>
          </w:p>
        </w:tc>
      </w:tr>
      <w:tr w14:paraId="637E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879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项目完成时间及服务地点</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0CE84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1.项目完成时间：2026年   月   日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2.服务地点：南宁市大学西路 168 号广西金融职业技术学院</w:t>
            </w:r>
          </w:p>
        </w:tc>
      </w:tr>
      <w:tr w14:paraId="5CF4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A622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付款方式</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08E47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1.付款方式：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合同价款分 2 次支付：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highlight w:val="none"/>
                <w:u w:val="none"/>
                <w:lang w:val="en-US" w:eastAsia="zh-CN" w:bidi="ar"/>
              </w:rPr>
              <w:t>（1）全部货物到学校场地后7个工作日内，经甲方签收后，甲方向乙方支付合同总价款的70%；</w:t>
            </w:r>
            <w:r>
              <w:rPr>
                <w:rFonts w:hint="eastAsia" w:ascii="仿宋" w:hAnsi="仿宋" w:eastAsia="仿宋" w:cs="仿宋"/>
                <w:i w:val="0"/>
                <w:iCs w:val="0"/>
                <w:color w:val="000000"/>
                <w:kern w:val="0"/>
                <w:sz w:val="21"/>
                <w:szCs w:val="21"/>
                <w:highlight w:val="none"/>
                <w:u w:val="none"/>
                <w:lang w:val="en-US" w:eastAsia="zh-CN" w:bidi="ar"/>
              </w:rPr>
              <w:br w:type="textWrapping"/>
            </w:r>
            <w:r>
              <w:rPr>
                <w:rFonts w:hint="eastAsia" w:ascii="仿宋" w:hAnsi="仿宋" w:eastAsia="仿宋" w:cs="仿宋"/>
                <w:i w:val="0"/>
                <w:iCs w:val="0"/>
                <w:color w:val="000000"/>
                <w:kern w:val="0"/>
                <w:sz w:val="21"/>
                <w:szCs w:val="21"/>
                <w:highlight w:val="none"/>
                <w:u w:val="none"/>
                <w:lang w:val="en-US" w:eastAsia="zh-CN" w:bidi="ar"/>
              </w:rPr>
              <w:t>（2）安装验收合格后7个工作日内，甲方向乙方支付合同总价款尾款。</w:t>
            </w:r>
            <w:r>
              <w:rPr>
                <w:rFonts w:hint="eastAsia" w:ascii="仿宋" w:hAnsi="仿宋" w:eastAsia="仿宋" w:cs="仿宋"/>
                <w:i w:val="0"/>
                <w:iCs w:val="0"/>
                <w:color w:val="000000"/>
                <w:kern w:val="0"/>
                <w:sz w:val="21"/>
                <w:szCs w:val="21"/>
                <w:highlight w:val="yellow"/>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2.票据要求：每次付款前成交供应商必须按照合同要求提供真实、有效、 合法的正式发票，并经采购人检查票据合格。一旦发现成交供应商提供虚假发票，除须向采购人补开合法发票外，还须向采购人支付发票票面金额一倍的违约金，且采购人有权终止合同，因终止合同而产生的一切损失均由供应商承担。如乙方未提供符合要求的发票前，甲方有权暂停付款且不视为违约。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3.本合同使用货币币制如未作特别说明均为人民币。</w:t>
            </w:r>
          </w:p>
        </w:tc>
      </w:tr>
      <w:tr w14:paraId="022C2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EBA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履约保证金</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EE84F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1、本合同签订后，乙方应向甲方支付合同总价2%的履约保证金，作为乙方认真履行合同条款的保证。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乙方没有履行本合同项下约定的责任和义务所需承担的违约金、赔偿金及其他费用，甲方有权直接从履约保证金中扣除，履约保证金中不足以扣除的，甲方有权从任何一笔贷款中扣除，剩余履约保证金（如有）自货物验收合格后由甲方无息返还给乙方。</w:t>
            </w:r>
          </w:p>
        </w:tc>
      </w:tr>
      <w:tr w14:paraId="0E67A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B23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质量保证与权利保证</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AC902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乙方应保证所供货物是全新且未使用过得，并完全符合政府采购规定的质量性规格型号和价格、服务要求。乙方应保证其在正确安装、正常使用和保养条件下，在使用寿命期内具有满意的性能。在货物最终交付验收后的质量保证期内，乙方应对由于设计、工艺或材料等缺陷而产生的故障负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2、货物质量应符合生产厂家的出厂标准和现行国家、行业各项标准，出厂标准与国家/行业标准要求不一致时，以要求较高者为准。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3、乙方保证其对货物及服务项下所有内容拥有完整、独立、有效的所有权，且完全有能力授予甲方永久、免费、全球范围内使用货物附属软件（如有）。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4、乙方保证其交付的所有货物、软件、服务等，不会侵犯任何第三方的知识产权和其他权益，如因此发生任何针对甲方的争议、索赔、诉讼等，产生的一切法律责任与费用均由乙方承担。</w:t>
            </w:r>
          </w:p>
        </w:tc>
      </w:tr>
      <w:tr w14:paraId="60DC2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F96D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交付验收</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97CE1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验收按国家有关规定、规范进行，验收时如发现所交付的货物有短装、次品、损坏或其他不符合招标文件规定之情形者，用户单位应做出详尽的现场记录，或由用户单位与中标人双方签署备忘录。此现场记录或备忘录可用作补充、缺失的有效证据，由此产生的有关费用由中标人承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（2）如验收时中标货物达不到规定要求，对采购人造成一定的影响，由中标人承担一切责任，并赔偿所造成的损失。</w:t>
            </w:r>
          </w:p>
        </w:tc>
      </w:tr>
      <w:tr w14:paraId="0282C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ABB1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转包或分包</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06CEC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本合同范围内的货物，应由乙方直接供应，不得转让他人供应，否则，甲方有权解除合同，没收履约保证金并追究乙方违约责任。</w:t>
            </w:r>
          </w:p>
        </w:tc>
      </w:tr>
      <w:tr w14:paraId="6E93C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F92B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包装</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6E280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乙方提供的全部货物均应按照国家标准中关于包装、储运指示标志的规定及其他相关规定进行包装，该包装应适于远程运输和反复拆卸，并具有防潮、防震、防锈、防霉等作用，以确保货物安全无损地运抵甲方指定地点。由于包装不善所造成的损失均由乙方承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乙方应向甲方提供使用货物的有关技术资料，包括相应的每套设备和仪器的中文技术文件，例如：商品目录、图纸、使用说明、质量检验说，明、操作手册、维护手册或服务指南等，该类文件应包装好随货发运</w:t>
            </w:r>
          </w:p>
        </w:tc>
      </w:tr>
      <w:tr w14:paraId="2781F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39D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交付</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A3425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货物类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1、交付期：合同签订后60个工作日内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2、交货方式：现场交货</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3、收货信息：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收货人：韦老师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手机号码：15077109751</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收货地址：广西壮族自治区南宁市西乡塘区大学西路168号</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4、乙方应提前以书面形式通知甲方货物准备妥待运日期及装箱清单，甲方应为接收货物做好前期准备，如甲方不具备接收货物的条件，应在约定的交货日期/日前以书面形式通知对方，并重新确定交货日期。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5、交货前，乙方应对货物作出全面检查和对验收文件进行整理，并列出清单，作为甲方收货验收和使用的技术条件依据，检验结果应随货物交予甲方。</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服务类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1、服务提供日期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2、服务方式: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3、服务地点：</w:t>
            </w:r>
          </w:p>
        </w:tc>
      </w:tr>
      <w:tr w14:paraId="41CF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DC2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安装与验收</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3C48A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货物类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1、到货验收：货物运抵甲方指定地点后，甲方应依</w:t>
            </w:r>
            <w:r>
              <w:rPr>
                <w:rFonts w:hint="eastAsia" w:ascii="仿宋" w:hAnsi="仿宋" w:eastAsia="仿宋" w:cs="仿宋"/>
                <w:i w:val="0"/>
                <w:iCs w:val="0"/>
                <w:color w:val="000000"/>
                <w:kern w:val="0"/>
                <w:sz w:val="21"/>
                <w:szCs w:val="21"/>
                <w:highlight w:val="none"/>
                <w:u w:val="none"/>
                <w:lang w:val="en-US" w:eastAsia="zh-CN" w:bidi="ar"/>
              </w:rPr>
              <w:t>据本合同及在线询价文</w:t>
            </w:r>
            <w:r>
              <w:rPr>
                <w:rFonts w:hint="eastAsia" w:ascii="仿宋" w:hAnsi="仿宋" w:eastAsia="仿宋" w:cs="仿宋"/>
                <w:i w:val="0"/>
                <w:iCs w:val="0"/>
                <w:color w:val="000000"/>
                <w:kern w:val="0"/>
                <w:sz w:val="21"/>
                <w:szCs w:val="21"/>
                <w:u w:val="none"/>
                <w:lang w:val="en-US" w:eastAsia="zh-CN" w:bidi="ar"/>
              </w:rPr>
              <w:t>件上的技术规格要求和国家有关质量标准及时进行验收，如发生所供货物与合同约定不符，甲方有权退货或要求乙方进行更换、补齐，因此造成逾期交货的，乙方应承担逾期交货的违约责任。乙方应在接到甲方要求后30日内予以补救，所产生的费用及法律后果由乙方承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安装调试：甲方对乙方提供的货物在使用前进行调试时，乙方需在甲方指定时间内负责安装并培训甲方的使用操作人员，并协助甲方一起调试，直至符合技术要求。安装调试所需的专用工具、备品备件以及合同规定的其他事项由乙方提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最终验收：货物经安装调试完成且符合技术要求后，甲方进行最终验收。验收时乙方必须在现场。货物符合合同约定的技术规范要求和验收标准的，甲方签署验收合格证明。如货物不符合合同约定的要求的，乙方应当在30日内采取措施消除缺陷后重新申请终验，并承担由此产生的费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4、对技术很复杂的货物，甲方可请国家认可的专业检测机构参与验收，并由其出具质量检测报告，检测费用由乙方承担。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5、货物毁损、灭失的风险，自货物最终验收合格之日起由甲方承担。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服务类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1、验收标准：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2、验收方式：</w:t>
            </w:r>
          </w:p>
        </w:tc>
      </w:tr>
      <w:tr w14:paraId="29213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9C3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保修与售后服务</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712E8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1、质保期为三年，验收合格之日起至质保期届满且经甲方确认无任何质量问题时止。</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2、技术支持</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（1）远程技术支持：乙方应具有稳定的技术支持队伍和完善的服务支持网络，提供24小时技术支持服务，及时响应甲方的技术服务支持需求，提出有效的解决方案，解决甲方在货物使用过程中遇到的实际问题。</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现场技术支持：对于通过电话、邮件等远程技术支持不能解决的问题，乙方应在8小时内派遣相关人员赶赴现场，8小时内排除故障；发生紧急抢修事故的，乙方应在接到甲方通知后2小时内到达现场抢修，并于到达现场8小时内排除故障。乙方未在约定时间内修复的或同一货物经3次维修后仍不能稳定、可靠运行的，甲方有权要求乙方免费更换。返修或更换后的部件保修期应重新计算。</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（3）技术升级支持：乙方应提供货物所配置软件的终身免费维护和升级服务，保证货物正常运行，且不影响甲方其它运行环境。</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3、在质保期内，乙方应对货物出现的质量及安全问题负责处理解决并承担一切费用。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4、质保期届满后，乙方应对本合同项下货物提供终身维修服务，且维修时只收取所维修部件的成本费，服务内容应与质保期内的要求相一致。</w:t>
            </w:r>
          </w:p>
        </w:tc>
      </w:tr>
      <w:tr w14:paraId="0DE2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0BD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保密条款</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F0725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乙方应对履行合同过程中所获悉的属于甲方的且无法自公开渠道获得的文件及资料，应付保密义务。未经甲方书面同意，不得擅自利用或对外发表或披露。违反前述约定的，乙方应向甲方支付违约金0.5万元；违约金不足以弥补甲方损失的，乙方还应负责赔偿。保密期限自乙方接收或知悉甲方信息资料之日起至该信息资料公开之日或甲方书面解除乙方保密义务之日止。</w:t>
            </w:r>
          </w:p>
        </w:tc>
      </w:tr>
      <w:tr w14:paraId="205C8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E418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违约责任</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E94EC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（一）一般违约责任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1、任何一方未履行本合同项下的任何一条款项均被视为违约。违约方应承担因自己的违约行为而给守约方造成的经济损失。</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2、如甲方无正当理由未按合同规定向乙方支付合同价款的，每延迟一天，甲方应向乙方支付相当于延迟付款额5‰的违约金。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3、因乙方其他违约行为导致甲方解除合同的，乙方应向甲方支付合同价款1%的违约金，如造成甲方损失超过违约金的，超出部分由乙方继续承担赔偿责任。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（二）其它违约责任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货物类：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1、本合同项下货物在交货、安装调试、验收及质保期等任何阶段不符合合同约定的技术规范要求和验收标准的，甲方有权向乙方索赔并选择下列一项或多项补救措施：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（1）由乙方采取措施消除设备缺陷或不符合合同之处，如果乙方不能及时消除缺陷，甲方有权自行消除缺陷或不符合合同之处，由此产生的一切费用均由乙方承担。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由乙方在接到甲方通知后7日内用符合合同规定的规格、质量和性能要求的新零件、部件和设备更换有缺陷的设备或用新的技术资料替换有错误的技术资料或补供遗漏的设备或技术资料等，乙方应承担一切费用和风险并承担给甲方造成的全部损失。</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（3）根据货物的低劣程度、损坏程度以及甲方所遭受的损失数额，乙方必须降低货物的价格。</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（4）退货，乙方应退还甲方支付的全部合同款，同时应承担该货物的直接费用（运输、保险、检验、贷款利息及银行手续费等）。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2、甲方无正当理由拒收货物时，应向乙方偿付拒收货款总值1%的违约金。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3、乙方逾期交付货物时，每逾期一日，应按逾期交货总额5‰向甲方支付违约金。逾期超过约定日期30个工作日内不能交货的，甲方有权解除本合同，并要求乙方支付合同总额1%的违约金。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4、乙方未在约定时间安装调试的，参照前款约定承担违约责任。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乙方所交付的货物品种、型号、规格、技术参数、质量不符合合同规定以及反向竞价文件规定标准的，甲方有权拒收该货物，乙方愿意更换货物但逾期交货的，按乙方逾期交货处理。乙方拒绝更换货物的，甲方可单方面解除合同，并要求乙方支付合同总值1%的违约金，违约金不足以弥补甲方损失的，乙方应负责赔偿。</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乙方未能按照约定要求履行保修义务的，每发生一次应向甲方支付100元的违约金，同时，甲方有权委托第三方进行保修，所产生的费用由乙方承担。若因货物缺陷或乙方服务质量等问题造成甲方或任何人员人身、财产损害的，乙方应承担有关责任并作出相应赔偿。</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服务类</w:t>
            </w:r>
          </w:p>
        </w:tc>
      </w:tr>
      <w:tr w14:paraId="774F1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3E6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不可抗力</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A3B72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1、在合同有效期内，任何一方因不可抗力事件导致不能履行合同，则合同履行期可延长，其延长期与不可抗力影响期相同。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本条所述的“不可抗力”系指哪些双方不可预见、不可避免、不可克服的事件，但不包括双方的违约或疏忽。这些事件包括但不限于战争、严重火灾、洪水、台风、地震、国家政策的重大变化，以及双方商定的其他事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3、不可抗力事件发生后，受不可抗力事件影响的一方应立即通知对方，并寄送有关权威机构出具的证明。同时应立即尽一切合理努力采取措施，消除影响，减少损失。</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4、如不可抗力事件持续60日以上，双方应通过友好协商，确定是否继续履行合同。</w:t>
            </w:r>
          </w:p>
        </w:tc>
      </w:tr>
      <w:tr w14:paraId="1F2A6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6F17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法律适用与争议解决</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BC7DA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1、本合同的订立、解释、履行及争议解决，均适用中华人民共和国法律。</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2、本合同履行过程中发生争议的，甲乙双方应友好协商；协商不成的，任何一方可向甲方所在地人民法院起诉。</w:t>
            </w:r>
          </w:p>
        </w:tc>
      </w:tr>
      <w:tr w14:paraId="55C49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7D6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合同生效及其他</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54EB2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1、本合同经甲、乙双方加盖单位公章后生效，合同一式两份，甲、乙双方各执一份，具有同等法律效力。</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2、本次采购过程中</w:t>
            </w:r>
            <w:r>
              <w:rPr>
                <w:rFonts w:hint="eastAsia" w:ascii="仿宋" w:hAnsi="仿宋" w:eastAsia="仿宋" w:cs="仿宋"/>
                <w:i w:val="0"/>
                <w:iCs w:val="0"/>
                <w:color w:val="000000"/>
                <w:kern w:val="0"/>
                <w:sz w:val="21"/>
                <w:szCs w:val="21"/>
                <w:highlight w:val="none"/>
                <w:u w:val="none"/>
                <w:lang w:val="en-US" w:eastAsia="zh-CN" w:bidi="ar"/>
              </w:rPr>
              <w:t>形成的在线询价文件</w:t>
            </w:r>
            <w:r>
              <w:rPr>
                <w:rFonts w:hint="eastAsia" w:ascii="仿宋" w:hAnsi="仿宋" w:eastAsia="仿宋" w:cs="仿宋"/>
                <w:i w:val="0"/>
                <w:iCs w:val="0"/>
                <w:color w:val="000000"/>
                <w:kern w:val="0"/>
                <w:sz w:val="21"/>
                <w:szCs w:val="21"/>
                <w:u w:val="none"/>
                <w:lang w:val="en-US" w:eastAsia="zh-CN" w:bidi="ar"/>
              </w:rPr>
              <w:t>、响应文件、补充协议、附件等与本合同具有同等法律效力。各项文件之间约定不一致的，以签署时间在后者的为准。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3、本合同未尽事宜，遵照《政府采购法》、《民法典》有关条文执行。</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4、本合同的核心内容必须与成交结果一致。甲乙双方不得以任何方式签订合同以外的补充协议，擅自修改合同条款，否则将追究其相关责任。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5、本合同必须在规定时间内备案、公告。</w:t>
            </w:r>
          </w:p>
        </w:tc>
      </w:tr>
      <w:tr w14:paraId="414A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4AF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异常低价响应审查</w:t>
            </w:r>
          </w:p>
        </w:tc>
        <w:tc>
          <w:tcPr>
            <w:tcW w:w="40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BE92BA">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1、评审小组在评审中发现下列情形之一的，应当启动异常低价响应审查程序：</w:t>
            </w:r>
          </w:p>
          <w:p w14:paraId="446374C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（1）响应报价低于全部通过符合性审查供应商响应报价平均值 65% 的，即响应报价＜全部通过符合性审查供应商响应报价平均值×65%； </w:t>
            </w:r>
          </w:p>
          <w:p w14:paraId="161E3314">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（2）响应报价低于通过符合性审查的次低报价供应商响应报价65%的，即响应报价＜通过符合性审查的次低报价供应商响应报价×65%；</w:t>
            </w:r>
          </w:p>
          <w:p w14:paraId="2B8E5C27">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（3）响应报价低于采购项目最高限价65%的，即响应报价＜采购项目最高限价×65%；</w:t>
            </w:r>
          </w:p>
          <w:p w14:paraId="07041C4D">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（4）评审小组基于专业判断，认为供应商报价过低，有可能影响产品质量或者不能诚信履约的其他情形。</w:t>
            </w:r>
          </w:p>
          <w:p w14:paraId="04B1094B">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评审小组启动异常低价响应审查后，属于前述第1项至第4项情形的，应电话联系相关供应商在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可不再重复提交。</w:t>
            </w:r>
          </w:p>
          <w:p w14:paraId="494DDE9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评审小组依据经验，参考同类项目中标（成交）价格、类似产品市场价格水平、行业人工费用标准、国家有关部门指导行业协会发布的行业平均成本等情况，对报价合理性进行判断。过程中要求相关供应商提供相关材料的，不能提供书面说明、证明材料，或者提供的书面说明、证明材料不能证明其报价合理性的，评审小组应当将其作为无效响应处理。</w:t>
            </w:r>
          </w:p>
          <w:p w14:paraId="15E68ADC">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4、异常低价响应审查的启动原因、审查意见和审查结果应当在评审报告中记录，并随供应商提供的相关书面说明及证明材料，以及评审小组有关互联网浏览、查询历史一并归档。</w:t>
            </w:r>
          </w:p>
        </w:tc>
      </w:tr>
    </w:tbl>
    <w:p w14:paraId="4808FF29"/>
    <w:p w14:paraId="474215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68D5E"/>
    <w:multiLevelType w:val="singleLevel"/>
    <w:tmpl w:val="8FD68D5E"/>
    <w:lvl w:ilvl="0" w:tentative="0">
      <w:start w:val="1"/>
      <w:numFmt w:val="chineseCounting"/>
      <w:suff w:val="nothing"/>
      <w:lvlText w:val="%1、"/>
      <w:lvlJc w:val="left"/>
      <w:rPr>
        <w:rFonts w:hint="eastAsia"/>
      </w:rPr>
    </w:lvl>
  </w:abstractNum>
  <w:abstractNum w:abstractNumId="1">
    <w:nsid w:val="E654FF59"/>
    <w:multiLevelType w:val="singleLevel"/>
    <w:tmpl w:val="E654FF59"/>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iY2NiOTE2MzVmMDE3NWEzODhkNDFlMjNiMjc3YTAifQ=="/>
  </w:docVars>
  <w:rsids>
    <w:rsidRoot w:val="00000000"/>
    <w:rsid w:val="02FB5582"/>
    <w:rsid w:val="03FF1D9E"/>
    <w:rsid w:val="043164D2"/>
    <w:rsid w:val="05D47115"/>
    <w:rsid w:val="07996868"/>
    <w:rsid w:val="10120F66"/>
    <w:rsid w:val="16FC2892"/>
    <w:rsid w:val="19486F7F"/>
    <w:rsid w:val="19DD2520"/>
    <w:rsid w:val="1C3E30E2"/>
    <w:rsid w:val="1E9E0A7D"/>
    <w:rsid w:val="1EEE1331"/>
    <w:rsid w:val="31707399"/>
    <w:rsid w:val="35D46B3A"/>
    <w:rsid w:val="38CA4224"/>
    <w:rsid w:val="38E250CA"/>
    <w:rsid w:val="42641245"/>
    <w:rsid w:val="45515BF2"/>
    <w:rsid w:val="45A07F1A"/>
    <w:rsid w:val="4B553E21"/>
    <w:rsid w:val="502925FB"/>
    <w:rsid w:val="50804D38"/>
    <w:rsid w:val="516923D4"/>
    <w:rsid w:val="539C7045"/>
    <w:rsid w:val="56BC19C5"/>
    <w:rsid w:val="5CD31049"/>
    <w:rsid w:val="63046FCC"/>
    <w:rsid w:val="66AF4BCE"/>
    <w:rsid w:val="6A1C5DDE"/>
    <w:rsid w:val="6F8F56B9"/>
    <w:rsid w:val="70025A76"/>
    <w:rsid w:val="7BE95D3C"/>
    <w:rsid w:val="7CBA7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unhideWhenUsed/>
    <w:qFormat/>
    <w:uiPriority w:val="0"/>
    <w:pPr>
      <w:spacing w:after="120"/>
    </w:pPr>
    <w:rPr>
      <w:rFonts w:ascii="Times New Roman" w:hAnsi="Times New Roman" w:cs="Times New Roman"/>
    </w:rPr>
  </w:style>
  <w:style w:type="paragraph" w:styleId="4">
    <w:name w:val="Body Text Indent"/>
    <w:basedOn w:val="1"/>
    <w:qFormat/>
    <w:uiPriority w:val="0"/>
    <w:pPr>
      <w:ind w:firstLine="501" w:firstLineChars="179"/>
    </w:pPr>
  </w:style>
  <w:style w:type="paragraph" w:styleId="5">
    <w:name w:val="Body Text First Indent"/>
    <w:basedOn w:val="3"/>
    <w:qFormat/>
    <w:uiPriority w:val="0"/>
    <w:pPr>
      <w:spacing w:after="0"/>
      <w:ind w:left="138" w:firstLine="420" w:firstLineChars="100"/>
    </w:pPr>
    <w:rPr>
      <w:rFonts w:ascii="宋体" w:hAnsi="宋体"/>
    </w:rPr>
  </w:style>
  <w:style w:type="paragraph" w:styleId="6">
    <w:name w:val="Body Text First Indent 2"/>
    <w:basedOn w:val="4"/>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13966</Words>
  <Characters>16397</Characters>
  <Lines>0</Lines>
  <Paragraphs>0</Paragraphs>
  <TotalTime>159</TotalTime>
  <ScaleCrop>false</ScaleCrop>
  <LinksUpToDate>false</LinksUpToDate>
  <CharactersWithSpaces>16844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2025-12-25T02:55:00Z</dcterms:created>
  <dc:creator>Administrator</dc:creator>
  <cp:lastModifiedBy>蔡周晓</cp:lastModifiedBy>
  <dcterms:modified xsi:type="dcterms:W3CDTF">2026-05-26T08:31:14Z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eyJoZGlkIjoiMTZjMzE1NzQ4NzMxZjNhYjE5YmZhZTllZTUyYzhlODEiLCJ1c2VySWQiOiIxNzE0ODU2MTM4In0=</vt:lpwstr>
  </property>
  <property fmtid="{D5CDD505-2E9C-101B-9397-08002B2CF9AE}" pid="4" name="ICV">
    <vt:lpwstr>D684BA6ACB3F48FA810327B0518F277A_13</vt:lpwstr>
  </property>
</Properties>
</file>