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7"/>
        <w:gridCol w:w="932"/>
        <w:gridCol w:w="2008"/>
        <w:gridCol w:w="6925"/>
        <w:gridCol w:w="537"/>
        <w:gridCol w:w="537"/>
        <w:gridCol w:w="1265"/>
        <w:gridCol w:w="1433"/>
      </w:tblGrid>
      <w:tr w14:paraId="3AFB9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0" w:type="auto"/>
            <w:gridSpan w:val="8"/>
            <w:tcBorders>
              <w:top w:val="nil"/>
              <w:left w:val="nil"/>
              <w:bottom w:val="nil"/>
              <w:right w:val="nil"/>
            </w:tcBorders>
            <w:noWrap/>
            <w:vAlign w:val="center"/>
          </w:tcPr>
          <w:p w14:paraId="0D8080F0">
            <w:pPr>
              <w:keepNext w:val="0"/>
              <w:keepLines w:val="0"/>
              <w:widowControl/>
              <w:suppressLineNumbers w:val="0"/>
              <w:jc w:val="center"/>
              <w:textAlignment w:val="center"/>
              <w:rPr>
                <w:rFonts w:hint="eastAsia" w:ascii="宋体" w:hAnsi="宋体" w:eastAsia="宋体" w:cs="宋体"/>
                <w:i w:val="0"/>
                <w:iCs w:val="0"/>
                <w:color w:val="000000" w:themeColor="text1"/>
                <w:sz w:val="36"/>
                <w:szCs w:val="36"/>
                <w:highlight w:val="none"/>
                <w:u w:val="none"/>
                <w14:textFill>
                  <w14:solidFill>
                    <w14:schemeClr w14:val="tx1"/>
                  </w14:solidFill>
                </w14:textFill>
              </w:rPr>
            </w:pPr>
            <w:r>
              <w:rPr>
                <w:rFonts w:hint="eastAsia" w:ascii="宋体" w:hAnsi="宋体" w:eastAsia="宋体" w:cs="宋体"/>
                <w:color w:val="000000" w:themeColor="text1"/>
                <w:kern w:val="0"/>
                <w:sz w:val="36"/>
                <w:szCs w:val="36"/>
                <w:highlight w:val="none"/>
                <w:u w:val="none"/>
                <w:lang w:bidi="ar"/>
                <w14:textFill>
                  <w14:solidFill>
                    <w14:schemeClr w14:val="tx1"/>
                  </w14:solidFill>
                </w14:textFill>
              </w:rPr>
              <w:t>广西自然资源职业技术学院机房冷通道机柜采购项目</w:t>
            </w:r>
            <w:r>
              <w:rPr>
                <w:rFonts w:hint="eastAsia" w:ascii="宋体" w:hAnsi="宋体" w:eastAsia="宋体" w:cs="宋体"/>
                <w:i w:val="0"/>
                <w:iCs w:val="0"/>
                <w:color w:val="000000" w:themeColor="text1"/>
                <w:kern w:val="0"/>
                <w:sz w:val="36"/>
                <w:szCs w:val="36"/>
                <w:highlight w:val="none"/>
                <w:u w:val="none"/>
                <w:lang w:val="en-US" w:eastAsia="zh-CN" w:bidi="ar"/>
                <w14:textFill>
                  <w14:solidFill>
                    <w14:schemeClr w14:val="tx1"/>
                  </w14:solidFill>
                </w14:textFill>
              </w:rPr>
              <w:t>需求</w:t>
            </w:r>
            <w:r>
              <w:rPr>
                <w:rFonts w:hint="eastAsia" w:ascii="宋体" w:hAnsi="宋体" w:cs="宋体"/>
                <w:i w:val="0"/>
                <w:iCs w:val="0"/>
                <w:color w:val="000000" w:themeColor="text1"/>
                <w:kern w:val="0"/>
                <w:sz w:val="36"/>
                <w:szCs w:val="36"/>
                <w:highlight w:val="none"/>
                <w:u w:val="none"/>
                <w:lang w:val="en-US" w:eastAsia="zh-CN" w:bidi="ar"/>
                <w14:textFill>
                  <w14:solidFill>
                    <w14:schemeClr w14:val="tx1"/>
                  </w14:solidFill>
                </w14:textFill>
              </w:rPr>
              <w:t>文件</w:t>
            </w:r>
          </w:p>
        </w:tc>
      </w:tr>
      <w:tr w14:paraId="3C628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0" w:hRule="atLeast"/>
        </w:trPr>
        <w:tc>
          <w:tcPr>
            <w:tcW w:w="0" w:type="auto"/>
            <w:gridSpan w:val="8"/>
            <w:tcBorders>
              <w:top w:val="nil"/>
              <w:left w:val="nil"/>
              <w:bottom w:val="nil"/>
              <w:right w:val="nil"/>
            </w:tcBorders>
            <w:noWrap w:val="0"/>
            <w:vAlign w:val="center"/>
          </w:tcPr>
          <w:p w14:paraId="51B43B92">
            <w:pPr>
              <w:keepNext w:val="0"/>
              <w:keepLines w:val="0"/>
              <w:widowControl/>
              <w:suppressLineNumbers w:val="0"/>
              <w:jc w:val="left"/>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说明：</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1、本采购需求</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成交</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注▲号的内容为实质性要求和条件，竞价人须满足或响应，若无法完全满足，视为无效竞价。</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2、竞价时必须上传响应文件，响应文件内容包含报价清单（注明所投品牌型号）、商务条款偏离表（注明“正偏离”、“负偏离”或“无偏离”）、技术需求偏离表（注明“正偏离”、“负偏离”或“无偏离”）和“采购需求”中的“技术参数要求”要求提供的相关检测报告</w:t>
            </w:r>
            <w:r>
              <w:rPr>
                <w:rFonts w:hint="eastAsia" w:ascii="宋体" w:hAnsi="宋体" w:cs="宋体"/>
                <w:b/>
                <w:bCs/>
                <w:i w:val="0"/>
                <w:iCs w:val="0"/>
                <w:color w:val="000000" w:themeColor="text1"/>
                <w:kern w:val="0"/>
                <w:sz w:val="24"/>
                <w:szCs w:val="24"/>
                <w:highlight w:val="none"/>
                <w:u w:val="none"/>
                <w:lang w:val="en-US" w:eastAsia="zh-CN" w:bidi="ar"/>
                <w14:textFill>
                  <w14:solidFill>
                    <w14:schemeClr w14:val="tx1"/>
                  </w14:solidFill>
                </w14:textFill>
              </w:rPr>
              <w:t>、承诺函</w:t>
            </w: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复印件等，如所提供的响应文件内容不全或者不符的，视为无效竞价；本项目仅接受意向品牌的产品参与报价，意向品牌以外的产品报价无效。</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3、竞价人必须认真审核</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采购</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文件所有要求，若发现竞价人存在未实质性响应</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采购</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文件行为，将视为无效竞价处理；如明知不满足竞价文件对于品牌、型号、单位资质等要求而进行恶意竞争的，或因竞价人虚假竞价导致竞价无效造成的工期延误及损失，将根据《政采云平台电子卖场权益维护及纠纷处理规则》的规定报有关部门处理，并在税务采购网平台列为失信供应商记录备案。</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4、竞价人竞价时提供的证明材料应真实，如出现虚假应标情况，竞价人除了应接受有关部门的处罚外，还应依据《中华人民共和国民法典》的相关条款来确定赔偿金额。</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5、本次货物采购最高限价为人民币529000元。货物分项最高限价详见表格。</w:t>
            </w:r>
          </w:p>
        </w:tc>
      </w:tr>
      <w:tr w14:paraId="76439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3ABB6F3">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序号</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A06A2B4">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货物名称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3711715">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lang w:val="en-US"/>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意向品牌</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3DBA10B">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技术参数要求</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4E31FB4">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数量</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DCD85BD">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单位</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A54E957">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最高限价单价（元）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ABA0A18">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最高限价单项合计金额（元）</w:t>
            </w:r>
          </w:p>
        </w:tc>
      </w:tr>
      <w:tr w14:paraId="5372C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3DCEB7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360EF1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UPS配电一体柜</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CF12FB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H3C UPS-Y25-150-B</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3D3D2A0">
            <w:pPr>
              <w:keepNext w:val="0"/>
              <w:keepLines w:val="0"/>
              <w:widowControl/>
              <w:numPr>
                <w:ilvl w:val="0"/>
                <w:numId w:val="1"/>
              </w:numPr>
              <w:suppressLineNumbers w:val="0"/>
              <w:jc w:val="left"/>
              <w:textAlignment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UPS配电一体柜应支持集成模块化UPS、进线开关、UPS输入开关、UPS输出开关、维修旁路、IT配电、空调配电及照明配电于单一柜体内，行级空调直接从一体化UPS供电，具备主支路监测功能，10英寸触摸屏。一体化UPS机框容量不小于150KVA</w:t>
            </w:r>
            <w:r>
              <w:rPr>
                <w:rFonts w:hint="eastAsia" w:ascii="宋体" w:hAnsi="宋体" w:eastAsia="宋体" w:cs="宋体"/>
                <w:color w:val="000000" w:themeColor="text1"/>
                <w:sz w:val="24"/>
                <w:highlight w:val="none"/>
                <w14:textFill>
                  <w14:solidFill>
                    <w14:schemeClr w14:val="tx1"/>
                  </w14:solidFill>
                </w14:textFill>
              </w:rPr>
              <w:br w:type="textWrapping"/>
            </w:r>
            <w:r>
              <w:rPr>
                <w:rFonts w:hint="eastAsia" w:ascii="宋体" w:hAnsi="宋体" w:eastAsia="宋体" w:cs="宋体"/>
                <w:color w:val="000000" w:themeColor="text1"/>
                <w:sz w:val="24"/>
                <w:highlight w:val="none"/>
                <w14:textFill>
                  <w14:solidFill>
                    <w14:schemeClr w14:val="tx1"/>
                  </w14:solidFill>
                </w14:textFill>
              </w:rPr>
              <w:t>2.支持主路开关不小于1*400A/3P、UPS输入,输出开关：2*250A/3P维修旁路开关(带锁)1*250A/4P、UPS输出支路：24*40A/1P、市电输出开关：4*63A/3P空调，24*40A/1P、防雷模块不低于C级防雷模块。</w:t>
            </w:r>
            <w:r>
              <w:rPr>
                <w:rFonts w:hint="eastAsia" w:ascii="宋体" w:hAnsi="宋体" w:eastAsia="宋体" w:cs="宋体"/>
                <w:color w:val="000000" w:themeColor="text1"/>
                <w:sz w:val="24"/>
                <w:highlight w:val="none"/>
                <w14:textFill>
                  <w14:solidFill>
                    <w14:schemeClr w14:val="tx1"/>
                  </w14:solidFill>
                </w14:textFill>
              </w:rPr>
              <w:br w:type="textWrapping"/>
            </w:r>
            <w:r>
              <w:rPr>
                <w:rFonts w:hint="eastAsia" w:ascii="宋体" w:hAnsi="宋体" w:eastAsia="宋体" w:cs="宋体"/>
                <w:color w:val="000000" w:themeColor="text1"/>
                <w:sz w:val="24"/>
                <w:highlight w:val="none"/>
                <w14:textFill>
                  <w14:solidFill>
                    <w14:schemeClr w14:val="tx1"/>
                  </w14:solidFill>
                </w14:textFill>
              </w:rPr>
              <w:t>3.为保证UPS产品的高效节能、绿色环保，UPS输入功率因数高达0.99，整机效率＞95%。</w:t>
            </w:r>
            <w:r>
              <w:rPr>
                <w:rFonts w:hint="eastAsia" w:ascii="宋体" w:hAnsi="宋体" w:eastAsia="宋体" w:cs="宋体"/>
                <w:color w:val="000000" w:themeColor="text1"/>
                <w:sz w:val="24"/>
                <w:highlight w:val="none"/>
                <w14:textFill>
                  <w14:solidFill>
                    <w14:schemeClr w14:val="tx1"/>
                  </w14:solidFill>
                </w14:textFill>
              </w:rPr>
              <w:br w:type="textWrapping"/>
            </w:r>
            <w:r>
              <w:rPr>
                <w:rFonts w:hint="eastAsia" w:ascii="宋体" w:hAnsi="宋体" w:eastAsia="宋体" w:cs="宋体"/>
                <w:color w:val="000000" w:themeColor="text1"/>
                <w:sz w:val="24"/>
                <w:highlight w:val="none"/>
                <w14:textFill>
                  <w14:solidFill>
                    <w14:schemeClr w14:val="tx1"/>
                  </w14:solidFill>
                </w14:textFill>
              </w:rPr>
              <w:t>4.UPS系统采用分散非主从控制方式，每个功率模块采用独立的双DSP控制技术，单个模块可独立运行，不依赖集中控制器控制，具备不转旁路热插拔功能，使整个系统独立性增强，互相干扰少。</w:t>
            </w:r>
            <w:r>
              <w:rPr>
                <w:rFonts w:hint="eastAsia" w:ascii="宋体" w:hAnsi="宋体" w:eastAsia="宋体" w:cs="宋体"/>
                <w:color w:val="000000" w:themeColor="text1"/>
                <w:sz w:val="24"/>
                <w:highlight w:val="none"/>
                <w14:textFill>
                  <w14:solidFill>
                    <w14:schemeClr w14:val="tx1"/>
                  </w14:solidFill>
                </w14:textFill>
              </w:rPr>
              <w:br w:type="textWrapping"/>
            </w:r>
            <w:r>
              <w:rPr>
                <w:rFonts w:hint="eastAsia" w:ascii="宋体" w:hAnsi="宋体" w:eastAsia="宋体" w:cs="宋体"/>
                <w:color w:val="000000" w:themeColor="text1"/>
                <w:sz w:val="24"/>
                <w:highlight w:val="none"/>
                <w14:textFill>
                  <w14:solidFill>
                    <w14:schemeClr w14:val="tx1"/>
                  </w14:solidFill>
                </w14:textFill>
              </w:rPr>
              <w:t>5.要求整机采用集中旁路设计，静态旁路模块采用大功率SCR集成模块，杜绝采用小功率单管SCR+继电器方案，避免旁路造成环流问题而引发故障。</w:t>
            </w:r>
            <w:r>
              <w:rPr>
                <w:rFonts w:hint="eastAsia" w:ascii="宋体" w:hAnsi="宋体" w:eastAsia="宋体" w:cs="宋体"/>
                <w:color w:val="000000" w:themeColor="text1"/>
                <w:sz w:val="24"/>
                <w:highlight w:val="none"/>
                <w14:textFill>
                  <w14:solidFill>
                    <w14:schemeClr w14:val="tx1"/>
                  </w14:solidFill>
                </w14:textFill>
              </w:rPr>
              <w:br w:type="textWrapping"/>
            </w:r>
            <w:r>
              <w:rPr>
                <w:rFonts w:hint="eastAsia" w:ascii="宋体" w:hAnsi="宋体" w:eastAsia="宋体" w:cs="宋体"/>
                <w:color w:val="000000" w:themeColor="text1"/>
                <w:sz w:val="24"/>
                <w:highlight w:val="none"/>
                <w14:textFill>
                  <w14:solidFill>
                    <w14:schemeClr w14:val="tx1"/>
                  </w14:solidFill>
                </w14:textFill>
              </w:rPr>
              <w:t>6.模块化UPS的所有模块包括旁路单元、控制单元、功率单元、充电单元等均须支持在线热插拔，达到所有模块全冗余方式，提升系统高可靠性及高可用性。</w:t>
            </w:r>
            <w:r>
              <w:rPr>
                <w:rFonts w:hint="eastAsia" w:ascii="宋体" w:hAnsi="宋体" w:eastAsia="宋体" w:cs="宋体"/>
                <w:color w:val="000000" w:themeColor="text1"/>
                <w:sz w:val="24"/>
                <w:highlight w:val="none"/>
                <w14:textFill>
                  <w14:solidFill>
                    <w14:schemeClr w14:val="tx1"/>
                  </w14:solidFill>
                </w14:textFill>
              </w:rPr>
              <w:br w:type="textWrapping"/>
            </w:r>
            <w:r>
              <w:rPr>
                <w:rFonts w:hint="eastAsia" w:ascii="宋体" w:hAnsi="宋体" w:eastAsia="宋体" w:cs="宋体"/>
                <w:color w:val="000000" w:themeColor="text1"/>
                <w:sz w:val="24"/>
                <w:highlight w:val="none"/>
                <w14:textFill>
                  <w14:solidFill>
                    <w14:schemeClr w14:val="tx1"/>
                  </w14:solidFill>
                </w14:textFill>
              </w:rPr>
              <w:t>7.为便于操作和维护，系统显示须采用7英寸及以上LCD大屏幕触摸屏+LED+按键方式，可提供简体中文、英文、繁体中文及法文四种语言显示。系统应采用分散充电设计，每个功率模块应具有独立的充电功能，避免充电器单点故障，提高系统的可靠性；充电功率可进行1～20%的设置。</w:t>
            </w:r>
            <w:r>
              <w:rPr>
                <w:rFonts w:hint="eastAsia" w:ascii="宋体" w:hAnsi="宋体" w:eastAsia="宋体" w:cs="宋体"/>
                <w:color w:val="000000" w:themeColor="text1"/>
                <w:sz w:val="24"/>
                <w:highlight w:val="none"/>
                <w14:textFill>
                  <w14:solidFill>
                    <w14:schemeClr w14:val="tx1"/>
                  </w14:solidFill>
                </w14:textFill>
              </w:rPr>
              <w:br w:type="textWrapping"/>
            </w:r>
            <w:r>
              <w:rPr>
                <w:rFonts w:hint="eastAsia" w:ascii="宋体" w:hAnsi="宋体" w:eastAsia="宋体" w:cs="宋体"/>
                <w:color w:val="000000" w:themeColor="text1"/>
                <w:sz w:val="24"/>
                <w:highlight w:val="none"/>
                <w14:textFill>
                  <w14:solidFill>
                    <w14:schemeClr w14:val="tx1"/>
                  </w14:solidFill>
                </w14:textFill>
              </w:rPr>
              <w:t>8.输出电流不均衡度≤0.9%。所有电路板均需要采用三防工艺，确保在低恶劣环境下的使用寿命。UPS输出功率因数必须为1，以便与负载完美匹配。系统须满足下述过载能力： 125%额定阻性负载＞10分钟后转旁路输出。机柜之间可以直接并机运行、支持≥3台并机。</w:t>
            </w:r>
            <w:r>
              <w:rPr>
                <w:rFonts w:hint="eastAsia" w:ascii="宋体" w:hAnsi="宋体" w:eastAsia="宋体" w:cs="宋体"/>
                <w:color w:val="000000" w:themeColor="text1"/>
                <w:sz w:val="24"/>
                <w:highlight w:val="none"/>
                <w14:textFill>
                  <w14:solidFill>
                    <w14:schemeClr w14:val="tx1"/>
                  </w14:solidFill>
                </w14:textFill>
              </w:rPr>
              <w:br w:type="textWrapping"/>
            </w:r>
            <w:r>
              <w:rPr>
                <w:rFonts w:hint="eastAsia" w:ascii="宋体" w:hAnsi="宋体" w:eastAsia="宋体" w:cs="宋体"/>
                <w:color w:val="000000" w:themeColor="text1"/>
                <w:sz w:val="24"/>
                <w:highlight w:val="none"/>
                <w14:textFill>
                  <w14:solidFill>
                    <w14:schemeClr w14:val="tx1"/>
                  </w14:solidFill>
                </w14:textFill>
              </w:rPr>
              <w:t>9.电池组节数可进行±32～±40节设置，便于未来遭遇个别电池故障需要维护、更换时, 可灵活调节电池节数的需要。</w:t>
            </w:r>
            <w:r>
              <w:rPr>
                <w:rFonts w:hint="eastAsia" w:ascii="宋体" w:hAnsi="宋体" w:eastAsia="宋体" w:cs="宋体"/>
                <w:color w:val="000000" w:themeColor="text1"/>
                <w:sz w:val="24"/>
                <w:highlight w:val="none"/>
                <w14:textFill>
                  <w14:solidFill>
                    <w14:schemeClr w14:val="tx1"/>
                  </w14:solidFill>
                </w14:textFill>
              </w:rPr>
              <w:br w:type="textWrapping"/>
            </w:r>
            <w:r>
              <w:rPr>
                <w:rFonts w:hint="eastAsia" w:ascii="宋体" w:hAnsi="宋体" w:eastAsia="宋体" w:cs="宋体"/>
                <w:color w:val="000000" w:themeColor="text1"/>
                <w:sz w:val="24"/>
                <w:highlight w:val="none"/>
                <w14:textFill>
                  <w14:solidFill>
                    <w14:schemeClr w14:val="tx1"/>
                  </w14:solidFill>
                </w14:textFill>
              </w:rPr>
              <w:t>10.具备智能休眠模式，当模块的负载率小于休眠负载级别时，控制器根据当前负载量来决定进入休眠模式的模块数量，并在根据所设置的轮休时间来进行休眠轮换，以节省能耗真正实现绿色节能，同时提高系统综合使用寿命。</w:t>
            </w:r>
            <w:r>
              <w:rPr>
                <w:rFonts w:hint="eastAsia" w:ascii="宋体" w:hAnsi="宋体" w:eastAsia="宋体" w:cs="宋体"/>
                <w:color w:val="000000" w:themeColor="text1"/>
                <w:sz w:val="24"/>
                <w:highlight w:val="none"/>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11. UPS为保证UPS的先进性，具有CE检测报告</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竞标时</w:t>
            </w:r>
            <w:r>
              <w:rPr>
                <w:rFonts w:hint="eastAsia" w:ascii="宋体" w:hAnsi="宋体" w:cs="宋体"/>
                <w:color w:val="000000" w:themeColor="text1"/>
                <w:sz w:val="24"/>
                <w:highlight w:val="none"/>
                <w:lang w:val="en-US" w:eastAsia="zh-CN"/>
                <w14:textFill>
                  <w14:solidFill>
                    <w14:schemeClr w14:val="tx1"/>
                  </w14:solidFill>
                </w14:textFill>
              </w:rPr>
              <w:t>提供</w:t>
            </w:r>
            <w:r>
              <w:rPr>
                <w:rFonts w:hint="eastAsia" w:ascii="宋体" w:hAnsi="宋体" w:cs="宋体"/>
                <w:color w:val="000000" w:themeColor="text1"/>
                <w:sz w:val="24"/>
                <w:highlight w:val="none"/>
                <w:lang w:eastAsia="zh-CN"/>
                <w14:textFill>
                  <w14:solidFill>
                    <w14:schemeClr w14:val="tx1"/>
                  </w14:solidFill>
                </w14:textFill>
              </w:rPr>
              <w:t>U</w:t>
            </w:r>
            <w:r>
              <w:rPr>
                <w:rFonts w:hint="eastAsia" w:ascii="宋体" w:hAnsi="宋体" w:cs="宋体"/>
                <w:color w:val="000000" w:themeColor="text1"/>
                <w:sz w:val="24"/>
                <w:highlight w:val="none"/>
                <w:lang w:val="en-US" w:eastAsia="zh-CN"/>
                <w14:textFill>
                  <w14:solidFill>
                    <w14:schemeClr w14:val="tx1"/>
                  </w14:solidFill>
                </w14:textFill>
              </w:rPr>
              <w:t>PS的</w:t>
            </w:r>
            <w:r>
              <w:rPr>
                <w:rFonts w:hint="eastAsia" w:ascii="宋体" w:hAnsi="宋体" w:cs="宋体"/>
                <w:color w:val="000000" w:themeColor="text1"/>
                <w:sz w:val="24"/>
                <w:highlight w:val="none"/>
                <w14:textFill>
                  <w14:solidFill>
                    <w14:schemeClr w14:val="tx1"/>
                  </w14:solidFill>
                </w14:textFill>
              </w:rPr>
              <w:t>CE检测报告</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12.UPS应满足《不间断电源节能认证技术规范》。</w:t>
            </w:r>
            <w:r>
              <w:rPr>
                <w:rFonts w:hint="eastAsia" w:ascii="宋体" w:hAnsi="宋体" w:cs="宋体"/>
                <w:color w:val="000000" w:themeColor="text1"/>
                <w:sz w:val="24"/>
                <w:highlight w:val="none"/>
                <w14:textFill>
                  <w14:solidFill>
                    <w14:schemeClr w14:val="tx1"/>
                  </w14:solidFill>
                </w14:textFill>
              </w:rPr>
              <w:t>竞标时提供</w:t>
            </w:r>
            <w:r>
              <w:rPr>
                <w:rFonts w:hint="eastAsia" w:ascii="宋体" w:hAnsi="宋体" w:cs="宋体"/>
                <w:color w:val="000000" w:themeColor="text1"/>
                <w:sz w:val="24"/>
                <w:highlight w:val="none"/>
                <w:lang w:val="en-US" w:eastAsia="zh-CN"/>
                <w14:textFill>
                  <w14:solidFill>
                    <w14:schemeClr w14:val="tx1"/>
                  </w14:solidFill>
                </w14:textFill>
              </w:rPr>
              <w:t>节能认证截图</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br w:type="textWrapping"/>
            </w:r>
            <w:r>
              <w:rPr>
                <w:rFonts w:hint="eastAsia" w:ascii="宋体" w:hAnsi="宋体" w:eastAsia="宋体" w:cs="宋体"/>
                <w:color w:val="000000" w:themeColor="text1"/>
                <w:sz w:val="24"/>
                <w:highlight w:val="none"/>
                <w14:textFill>
                  <w14:solidFill>
                    <w14:schemeClr w14:val="tx1"/>
                  </w14:solidFill>
                </w14:textFill>
              </w:rPr>
              <w:t>13.一体化UPS各支路输出电压显示误差应≤0.1%。</w:t>
            </w:r>
          </w:p>
          <w:p w14:paraId="75A584B1">
            <w:pPr>
              <w:keepNext w:val="0"/>
              <w:keepLines w:val="0"/>
              <w:widowControl/>
              <w:numPr>
                <w:ilvl w:val="-1"/>
                <w:numId w:val="0"/>
              </w:numPr>
              <w:suppressLineNumbers w:val="0"/>
              <w:jc w:val="left"/>
              <w:textAlignment w:val="center"/>
              <w:rPr>
                <w:rFonts w:hint="default" w:ascii="宋体" w:hAnsi="宋体" w:eastAsia="宋体" w:cs="宋体"/>
                <w:color w:val="000000" w:themeColor="text1"/>
                <w:sz w:val="24"/>
                <w:highlight w:val="none"/>
                <w:lang w:val="en-US"/>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14</w:t>
            </w:r>
            <w:r>
              <w:rPr>
                <w:rFonts w:hint="default" w:ascii="宋体" w:hAnsi="宋体" w:cs="宋体"/>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所投产品须安装到现有模块化机柜内，设备尺寸需要达到现有模块化机柜安装条件，做到无缝安装。</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3DF80B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cs="宋体"/>
                <w:i w:val="0"/>
                <w:iCs w:val="0"/>
                <w:color w:val="000000" w:themeColor="text1"/>
                <w:sz w:val="24"/>
                <w:szCs w:val="24"/>
                <w:highlight w:val="none"/>
                <w:u w:val="none"/>
                <w:lang w:val="en-US" w:eastAsia="zh-CN"/>
                <w14:textFill>
                  <w14:solidFill>
                    <w14:schemeClr w14:val="tx1"/>
                  </w14:solidFill>
                </w14:textFill>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63446A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cs="宋体"/>
                <w:i w:val="0"/>
                <w:iCs w:val="0"/>
                <w:color w:val="000000" w:themeColor="text1"/>
                <w:sz w:val="24"/>
                <w:szCs w:val="24"/>
                <w:highlight w:val="none"/>
                <w:u w:val="none"/>
                <w:lang w:val="en-US" w:eastAsia="zh-CN"/>
                <w14:textFill>
                  <w14:solidFill>
                    <w14:schemeClr w14:val="tx1"/>
                  </w14:solidFill>
                </w14:textFill>
              </w:rPr>
              <w:t>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2E1C482">
            <w:pPr>
              <w:keepNext w:val="0"/>
              <w:keepLines w:val="0"/>
              <w:widowControl/>
              <w:suppressLineNumbers w:val="0"/>
              <w:jc w:val="center"/>
              <w:textAlignment w:val="center"/>
              <w:rPr>
                <w:rFonts w:hint="default" w:ascii="宋体" w:hAnsi="宋体" w:eastAsia="宋体" w:cs="宋体"/>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cs="宋体"/>
                <w:i w:val="0"/>
                <w:iCs w:val="0"/>
                <w:color w:val="000000" w:themeColor="text1"/>
                <w:sz w:val="24"/>
                <w:szCs w:val="24"/>
                <w:highlight w:val="none"/>
                <w:u w:val="none"/>
                <w:lang w:val="en-US" w:eastAsia="zh-CN"/>
                <w14:textFill>
                  <w14:solidFill>
                    <w14:schemeClr w14:val="tx1"/>
                  </w14:solidFill>
                </w14:textFill>
              </w:rPr>
              <w:t>140000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9FCC987">
            <w:pPr>
              <w:keepNext w:val="0"/>
              <w:keepLines w:val="0"/>
              <w:widowControl/>
              <w:suppressLineNumbers w:val="0"/>
              <w:jc w:val="center"/>
              <w:textAlignment w:val="center"/>
              <w:rPr>
                <w:rFonts w:hint="default" w:ascii="宋体" w:hAnsi="宋体" w:eastAsia="宋体" w:cs="宋体"/>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cs="宋体"/>
                <w:i w:val="0"/>
                <w:iCs w:val="0"/>
                <w:color w:val="000000" w:themeColor="text1"/>
                <w:sz w:val="24"/>
                <w:szCs w:val="24"/>
                <w:highlight w:val="none"/>
                <w:u w:val="none"/>
                <w:lang w:val="en-US" w:eastAsia="zh-CN"/>
                <w14:textFill>
                  <w14:solidFill>
                    <w14:schemeClr w14:val="tx1"/>
                  </w14:solidFill>
                </w14:textFill>
              </w:rPr>
              <w:t>140000</w:t>
            </w:r>
          </w:p>
        </w:tc>
      </w:tr>
      <w:tr w14:paraId="1B0C4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351201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67BA64D">
            <w:pPr>
              <w:keepNext w:val="0"/>
              <w:keepLines w:val="0"/>
              <w:widowControl/>
              <w:suppressLineNumbers w:val="0"/>
              <w:jc w:val="center"/>
              <w:textAlignment w:val="center"/>
              <w:rPr>
                <w:rFonts w:hint="eastAsia" w:ascii="宋体" w:hAnsi="宋体" w:eastAsia="宋体" w:cs="宋体"/>
                <w:i w:val="0"/>
                <w:iCs w:val="0"/>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功率模块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D655E9C">
            <w:pPr>
              <w:keepNext w:val="0"/>
              <w:keepLines w:val="0"/>
              <w:widowControl/>
              <w:suppressLineNumbers w:val="0"/>
              <w:jc w:val="center"/>
              <w:textAlignment w:val="center"/>
              <w:rPr>
                <w:rFonts w:hint="eastAsia" w:ascii="宋体" w:hAnsi="宋体" w:eastAsia="宋体" w:cs="宋体"/>
                <w:i w:val="0"/>
                <w:iCs w:val="0"/>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H3C UPS-MM25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A386DE7">
            <w:pPr>
              <w:keepNext w:val="0"/>
              <w:keepLines w:val="0"/>
              <w:widowControl/>
              <w:numPr>
                <w:ilvl w:val="0"/>
                <w:numId w:val="2"/>
              </w:numPr>
              <w:suppressLineNumbers w:val="0"/>
              <w:jc w:val="left"/>
              <w:textAlignment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UPS配套使用功率模块，单块容量不小于25KVA，三进三出；</w:t>
            </w:r>
            <w:r>
              <w:rPr>
                <w:rFonts w:hint="eastAsia" w:ascii="宋体" w:hAnsi="宋体" w:eastAsia="宋体" w:cs="宋体"/>
                <w:color w:val="000000" w:themeColor="text1"/>
                <w:sz w:val="24"/>
                <w:highlight w:val="none"/>
                <w14:textFill>
                  <w14:solidFill>
                    <w14:schemeClr w14:val="tx1"/>
                  </w14:solidFill>
                </w14:textFill>
              </w:rPr>
              <w:br w:type="textWrapping"/>
            </w:r>
            <w:r>
              <w:rPr>
                <w:rFonts w:hint="eastAsia" w:ascii="宋体" w:hAnsi="宋体" w:eastAsia="宋体" w:cs="宋体"/>
                <w:color w:val="000000" w:themeColor="text1"/>
                <w:sz w:val="24"/>
                <w:highlight w:val="none"/>
                <w14:textFill>
                  <w14:solidFill>
                    <w14:schemeClr w14:val="tx1"/>
                  </w14:solidFill>
                </w14:textFill>
              </w:rPr>
              <w:t>2.输入输出电压：380V/380V</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br w:type="textWrapping"/>
            </w:r>
            <w:r>
              <w:rPr>
                <w:rFonts w:hint="eastAsia" w:ascii="宋体" w:hAnsi="宋体" w:eastAsia="宋体" w:cs="宋体"/>
                <w:color w:val="000000" w:themeColor="text1"/>
                <w:sz w:val="24"/>
                <w:highlight w:val="none"/>
                <w14:textFill>
                  <w14:solidFill>
                    <w14:schemeClr w14:val="tx1"/>
                  </w14:solidFill>
                </w14:textFill>
              </w:rPr>
              <w:t>3.50%额定阻性负载情况下，功率模块效率＞95%；</w:t>
            </w:r>
            <w:r>
              <w:rPr>
                <w:rFonts w:hint="eastAsia" w:ascii="宋体" w:hAnsi="宋体" w:eastAsia="宋体" w:cs="宋体"/>
                <w:color w:val="000000" w:themeColor="text1"/>
                <w:sz w:val="24"/>
                <w:highlight w:val="none"/>
                <w14:textFill>
                  <w14:solidFill>
                    <w14:schemeClr w14:val="tx1"/>
                  </w14:solidFill>
                </w14:textFill>
              </w:rPr>
              <w:br w:type="textWrapping"/>
            </w:r>
            <w:r>
              <w:rPr>
                <w:rFonts w:hint="eastAsia" w:ascii="宋体" w:hAnsi="宋体" w:eastAsia="宋体" w:cs="宋体"/>
                <w:color w:val="000000" w:themeColor="text1"/>
                <w:sz w:val="24"/>
                <w:highlight w:val="none"/>
                <w14:textFill>
                  <w14:solidFill>
                    <w14:schemeClr w14:val="tx1"/>
                  </w14:solidFill>
                </w14:textFill>
              </w:rPr>
              <w:t>4.具有故障自动退出功能，系统运行中，如果功率模块发生故障，故障模块应自动退出运行，不影响系统输出；</w:t>
            </w:r>
          </w:p>
          <w:p w14:paraId="4060945D">
            <w:pPr>
              <w:keepNext w:val="0"/>
              <w:keepLines w:val="0"/>
              <w:widowControl/>
              <w:numPr>
                <w:ilvl w:val="-1"/>
                <w:numId w:val="0"/>
              </w:numPr>
              <w:suppressLineNumbers w:val="0"/>
              <w:jc w:val="left"/>
              <w:textAlignment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5</w:t>
            </w:r>
            <w:r>
              <w:rPr>
                <w:rFonts w:hint="default" w:ascii="宋体" w:hAnsi="宋体" w:cs="宋体"/>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所投产品须安装到现有模块化机柜内，设备尺寸需要达到现有模块化机柜安装条件，做到无缝安装。</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8FE240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cs="宋体"/>
                <w:i w:val="0"/>
                <w:iCs w:val="0"/>
                <w:color w:val="000000" w:themeColor="text1"/>
                <w:sz w:val="24"/>
                <w:szCs w:val="24"/>
                <w:highlight w:val="none"/>
                <w:u w:val="none"/>
                <w:lang w:val="en-US" w:eastAsia="zh-CN"/>
                <w14:textFill>
                  <w14:solidFill>
                    <w14:schemeClr w14:val="tx1"/>
                  </w14:solidFill>
                </w14:textFill>
              </w:rPr>
              <w:t>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172E44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cs="宋体"/>
                <w:i w:val="0"/>
                <w:iCs w:val="0"/>
                <w:color w:val="000000" w:themeColor="text1"/>
                <w:sz w:val="24"/>
                <w:szCs w:val="24"/>
                <w:highlight w:val="none"/>
                <w:u w:val="none"/>
                <w:lang w:val="en-US" w:eastAsia="zh-CN"/>
                <w14:textFill>
                  <w14:solidFill>
                    <w14:schemeClr w14:val="tx1"/>
                  </w14:solidFill>
                </w14:textFill>
              </w:rPr>
              <w:t>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6DA0230">
            <w:pPr>
              <w:keepNext w:val="0"/>
              <w:keepLines w:val="0"/>
              <w:widowControl/>
              <w:suppressLineNumbers w:val="0"/>
              <w:jc w:val="center"/>
              <w:textAlignment w:val="center"/>
              <w:rPr>
                <w:rFonts w:hint="default" w:ascii="宋体" w:hAnsi="宋体" w:eastAsia="宋体" w:cs="宋体"/>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cs="宋体"/>
                <w:i w:val="0"/>
                <w:iCs w:val="0"/>
                <w:color w:val="000000" w:themeColor="text1"/>
                <w:sz w:val="24"/>
                <w:szCs w:val="24"/>
                <w:highlight w:val="none"/>
                <w:u w:val="none"/>
                <w:lang w:val="en-US" w:eastAsia="zh-CN"/>
                <w14:textFill>
                  <w14:solidFill>
                    <w14:schemeClr w14:val="tx1"/>
                  </w14:solidFill>
                </w14:textFill>
              </w:rPr>
              <w:t>30000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275683E">
            <w:pPr>
              <w:keepNext w:val="0"/>
              <w:keepLines w:val="0"/>
              <w:widowControl/>
              <w:suppressLineNumbers w:val="0"/>
              <w:jc w:val="center"/>
              <w:textAlignment w:val="center"/>
              <w:rPr>
                <w:rFonts w:hint="default" w:ascii="宋体" w:hAnsi="宋体" w:eastAsia="宋体" w:cs="宋体"/>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cs="宋体"/>
                <w:i w:val="0"/>
                <w:iCs w:val="0"/>
                <w:color w:val="000000" w:themeColor="text1"/>
                <w:sz w:val="24"/>
                <w:szCs w:val="24"/>
                <w:highlight w:val="none"/>
                <w:u w:val="none"/>
                <w:lang w:val="en-US" w:eastAsia="zh-CN"/>
                <w14:textFill>
                  <w14:solidFill>
                    <w14:schemeClr w14:val="tx1"/>
                  </w14:solidFill>
                </w14:textFill>
              </w:rPr>
              <w:t>90000</w:t>
            </w:r>
          </w:p>
        </w:tc>
      </w:tr>
      <w:tr w14:paraId="19D8F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4E94AF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7F466D0">
            <w:pPr>
              <w:widowControl/>
              <w:jc w:val="left"/>
              <w:textAlignment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智慧机房铅酸蓄电池</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4A10F25">
            <w:pPr>
              <w:widowControl/>
              <w:jc w:val="left"/>
              <w:textAlignment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双登 6-GFM-200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71FF51C">
            <w:pPr>
              <w:keepNext w:val="0"/>
              <w:keepLines w:val="0"/>
              <w:widowControl/>
              <w:numPr>
                <w:ilvl w:val="0"/>
                <w:numId w:val="3"/>
              </w:numPr>
              <w:suppressLineNumbers w:val="0"/>
              <w:jc w:val="left"/>
              <w:textAlignment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蓄电池规格为12V200AH；</w:t>
            </w:r>
            <w:r>
              <w:rPr>
                <w:rFonts w:hint="eastAsia" w:ascii="宋体" w:hAnsi="宋体" w:eastAsia="宋体" w:cs="宋体"/>
                <w:color w:val="000000" w:themeColor="text1"/>
                <w:sz w:val="24"/>
                <w:highlight w:val="none"/>
                <w14:textFill>
                  <w14:solidFill>
                    <w14:schemeClr w14:val="tx1"/>
                  </w14:solidFill>
                </w14:textFill>
              </w:rPr>
              <w:br w:type="textWrapping"/>
            </w:r>
            <w:r>
              <w:rPr>
                <w:rFonts w:hint="eastAsia" w:ascii="宋体" w:hAnsi="宋体" w:eastAsia="宋体" w:cs="宋体"/>
                <w:color w:val="000000" w:themeColor="text1"/>
                <w:sz w:val="24"/>
                <w:highlight w:val="none"/>
                <w14:textFill>
                  <w14:solidFill>
                    <w14:schemeClr w14:val="tx1"/>
                  </w14:solidFill>
                </w14:textFill>
              </w:rPr>
              <w:t>2.蓄电池的连续浮充工作寿命应不少于5年（使用环境温度25℃）。</w:t>
            </w:r>
            <w:r>
              <w:rPr>
                <w:rFonts w:hint="eastAsia" w:ascii="宋体" w:hAnsi="宋体" w:eastAsia="宋体" w:cs="宋体"/>
                <w:color w:val="000000" w:themeColor="text1"/>
                <w:sz w:val="24"/>
                <w:highlight w:val="none"/>
                <w14:textFill>
                  <w14:solidFill>
                    <w14:schemeClr w14:val="tx1"/>
                  </w14:solidFill>
                </w14:textFill>
              </w:rPr>
              <w:br w:type="textWrapping"/>
            </w:r>
            <w:r>
              <w:rPr>
                <w:rFonts w:hint="eastAsia" w:ascii="宋体" w:hAnsi="宋体" w:eastAsia="宋体" w:cs="宋体"/>
                <w:color w:val="000000" w:themeColor="text1"/>
                <w:sz w:val="24"/>
                <w:highlight w:val="none"/>
                <w14:textFill>
                  <w14:solidFill>
                    <w14:schemeClr w14:val="tx1"/>
                  </w14:solidFill>
                </w14:textFill>
              </w:rPr>
              <w:t>3.蓄电池应能承受50kPa的正压或负压而不破裂，压力释放后壳体无残余变形。在正常工作中应无酸雾逸出；在充电过程中遇有明火，内部不应引爆；</w:t>
            </w:r>
            <w:r>
              <w:rPr>
                <w:rFonts w:hint="eastAsia" w:ascii="宋体" w:hAnsi="宋体" w:eastAsia="宋体" w:cs="宋体"/>
                <w:color w:val="000000" w:themeColor="text1"/>
                <w:sz w:val="24"/>
                <w:highlight w:val="none"/>
                <w14:textFill>
                  <w14:solidFill>
                    <w14:schemeClr w14:val="tx1"/>
                  </w14:solidFill>
                </w14:textFill>
              </w:rPr>
              <w:br w:type="textWrapping"/>
            </w:r>
            <w:r>
              <w:rPr>
                <w:rFonts w:hint="eastAsia" w:ascii="宋体" w:hAnsi="宋体" w:eastAsia="宋体" w:cs="宋体"/>
                <w:color w:val="000000" w:themeColor="text1"/>
                <w:sz w:val="24"/>
                <w:highlight w:val="none"/>
                <w14:textFill>
                  <w14:solidFill>
                    <w14:schemeClr w14:val="tx1"/>
                  </w14:solidFill>
                </w14:textFill>
              </w:rPr>
              <w:t>4.蓄电池的安全阀应具有滤酸和自动开启、自动关闭的功能，其开阀压力应为10kPa～49kPa，闭阀压力应为1kPa～20kPa。</w:t>
            </w:r>
            <w:r>
              <w:rPr>
                <w:rFonts w:hint="eastAsia" w:ascii="宋体" w:hAnsi="宋体" w:eastAsia="宋体" w:cs="宋体"/>
                <w:color w:val="000000" w:themeColor="text1"/>
                <w:sz w:val="24"/>
                <w:highlight w:val="none"/>
                <w14:textFill>
                  <w14:solidFill>
                    <w14:schemeClr w14:val="tx1"/>
                  </w14:solidFill>
                </w14:textFill>
              </w:rPr>
              <w:br w:type="textWrapping"/>
            </w:r>
            <w:r>
              <w:rPr>
                <w:rFonts w:hint="eastAsia" w:ascii="宋体" w:hAnsi="宋体" w:eastAsia="宋体" w:cs="宋体"/>
                <w:color w:val="000000" w:themeColor="text1"/>
                <w:sz w:val="24"/>
                <w:highlight w:val="none"/>
                <w14:textFill>
                  <w14:solidFill>
                    <w14:schemeClr w14:val="tx1"/>
                  </w14:solidFill>
                </w14:textFill>
              </w:rPr>
              <w:t>5.蓄电池在使用中应无渗液、漏液、爬液和膨胀现象。极性正确，正负极性及端子有明显标志，便于连接。</w:t>
            </w:r>
            <w:r>
              <w:rPr>
                <w:rFonts w:hint="eastAsia" w:ascii="宋体" w:hAnsi="宋体" w:eastAsia="宋体" w:cs="宋体"/>
                <w:color w:val="000000" w:themeColor="text1"/>
                <w:sz w:val="24"/>
                <w:highlight w:val="none"/>
                <w14:textFill>
                  <w14:solidFill>
                    <w14:schemeClr w14:val="tx1"/>
                  </w14:solidFill>
                </w14:textFill>
              </w:rPr>
              <w:br w:type="textWrapping"/>
            </w:r>
            <w:r>
              <w:rPr>
                <w:rFonts w:hint="eastAsia" w:ascii="宋体" w:hAnsi="宋体" w:eastAsia="宋体" w:cs="宋体"/>
                <w:color w:val="000000" w:themeColor="text1"/>
                <w:sz w:val="24"/>
                <w:highlight w:val="none"/>
                <w14:textFill>
                  <w14:solidFill>
                    <w14:schemeClr w14:val="tx1"/>
                  </w14:solidFill>
                </w14:textFill>
              </w:rPr>
              <w:t>6.含1组电池配套电池连接线、电池架、电池开关和电池开关箱；支持负载40.8KW，延时60分钟。</w:t>
            </w:r>
          </w:p>
          <w:p w14:paraId="24F4C771">
            <w:pPr>
              <w:keepNext w:val="0"/>
              <w:keepLines w:val="0"/>
              <w:widowControl/>
              <w:numPr>
                <w:ilvl w:val="-1"/>
                <w:numId w:val="0"/>
              </w:numPr>
              <w:suppressLineNumbers w:val="0"/>
              <w:jc w:val="left"/>
              <w:textAlignment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7</w:t>
            </w:r>
            <w:r>
              <w:rPr>
                <w:rFonts w:hint="default" w:ascii="宋体" w:hAnsi="宋体" w:cs="宋体"/>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所投产品须安装到现有模块化机柜内，设备尺寸需要达到现有模块化机柜安装条件，做到无缝安装。</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6E6EA11">
            <w:pPr>
              <w:keepNext w:val="0"/>
              <w:keepLines w:val="0"/>
              <w:widowControl/>
              <w:suppressLineNumbers w:val="0"/>
              <w:jc w:val="center"/>
              <w:textAlignment w:val="center"/>
              <w:rPr>
                <w:rFonts w:hint="default" w:ascii="宋体" w:hAnsi="宋体" w:eastAsia="宋体" w:cs="宋体"/>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cs="宋体"/>
                <w:i w:val="0"/>
                <w:iCs w:val="0"/>
                <w:color w:val="000000" w:themeColor="text1"/>
                <w:sz w:val="24"/>
                <w:szCs w:val="24"/>
                <w:highlight w:val="none"/>
                <w:u w:val="none"/>
                <w:lang w:val="en-US" w:eastAsia="zh-CN"/>
                <w14:textFill>
                  <w14:solidFill>
                    <w14:schemeClr w14:val="tx1"/>
                  </w14:solidFill>
                </w14:textFill>
              </w:rPr>
              <w:t>40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ECC256A">
            <w:pPr>
              <w:keepNext w:val="0"/>
              <w:keepLines w:val="0"/>
              <w:widowControl/>
              <w:suppressLineNumbers w:val="0"/>
              <w:jc w:val="center"/>
              <w:textAlignment w:val="center"/>
              <w:rPr>
                <w:rFonts w:hint="default" w:ascii="宋体" w:hAnsi="宋体" w:eastAsia="宋体" w:cs="宋体"/>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cs="宋体"/>
                <w:i w:val="0"/>
                <w:iCs w:val="0"/>
                <w:color w:val="000000" w:themeColor="text1"/>
                <w:sz w:val="24"/>
                <w:szCs w:val="24"/>
                <w:highlight w:val="none"/>
                <w:u w:val="none"/>
                <w:lang w:val="en-US" w:eastAsia="zh-CN"/>
                <w14:textFill>
                  <w14:solidFill>
                    <w14:schemeClr w14:val="tx1"/>
                  </w14:solidFill>
                </w14:textFill>
              </w:rPr>
              <w:t>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11FB8D4">
            <w:pPr>
              <w:keepNext w:val="0"/>
              <w:keepLines w:val="0"/>
              <w:widowControl/>
              <w:suppressLineNumbers w:val="0"/>
              <w:jc w:val="center"/>
              <w:textAlignment w:val="center"/>
              <w:rPr>
                <w:rFonts w:hint="default" w:ascii="宋体" w:hAnsi="宋体" w:eastAsia="宋体" w:cs="宋体"/>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cs="宋体"/>
                <w:i w:val="0"/>
                <w:iCs w:val="0"/>
                <w:color w:val="000000" w:themeColor="text1"/>
                <w:sz w:val="24"/>
                <w:szCs w:val="24"/>
                <w:highlight w:val="none"/>
                <w:u w:val="none"/>
                <w:lang w:val="en-US" w:eastAsia="zh-CN"/>
                <w14:textFill>
                  <w14:solidFill>
                    <w14:schemeClr w14:val="tx1"/>
                  </w14:solidFill>
                </w14:textFill>
              </w:rPr>
              <w:t>1800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86FD268">
            <w:pPr>
              <w:keepNext w:val="0"/>
              <w:keepLines w:val="0"/>
              <w:widowControl/>
              <w:suppressLineNumbers w:val="0"/>
              <w:jc w:val="center"/>
              <w:textAlignment w:val="center"/>
              <w:rPr>
                <w:rFonts w:hint="default" w:ascii="宋体" w:hAnsi="宋体" w:eastAsia="宋体" w:cs="宋体"/>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cs="宋体"/>
                <w:i w:val="0"/>
                <w:iCs w:val="0"/>
                <w:color w:val="000000" w:themeColor="text1"/>
                <w:sz w:val="24"/>
                <w:szCs w:val="24"/>
                <w:highlight w:val="none"/>
                <w:u w:val="none"/>
                <w:lang w:val="en-US" w:eastAsia="zh-CN"/>
                <w14:textFill>
                  <w14:solidFill>
                    <w14:schemeClr w14:val="tx1"/>
                  </w14:solidFill>
                </w14:textFill>
              </w:rPr>
              <w:t>72000</w:t>
            </w:r>
          </w:p>
        </w:tc>
      </w:tr>
      <w:tr w14:paraId="5486E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F02776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C7F8280">
            <w:pPr>
              <w:widowControl/>
              <w:jc w:val="left"/>
              <w:textAlignment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列间空调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6071C6E">
            <w:pPr>
              <w:widowControl/>
              <w:jc w:val="left"/>
              <w:textAlignment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H3C KT-LFP-40-WS</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70A1686">
            <w:pPr>
              <w:widowControl/>
              <w:numPr>
                <w:ilvl w:val="0"/>
                <w:numId w:val="4"/>
              </w:numPr>
              <w:jc w:val="left"/>
              <w:textAlignment w:val="center"/>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尺寸：宽度600mm，高度深度与服务器机柜一致；总冷量≥42kw，显冷量≥42kw，风量≥8500m3/h，加湿量≥3kg/h，加热量≥6kW，水平送风模式；</w:t>
            </w:r>
            <w:r>
              <w:rPr>
                <w:rFonts w:hint="eastAsia" w:ascii="宋体" w:hAnsi="宋体" w:eastAsia="宋体" w:cs="宋体"/>
                <w:color w:val="000000" w:themeColor="text1"/>
                <w:sz w:val="24"/>
                <w:highlight w:val="none"/>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2.可以实现常温情况下最低10%的IT负载（即制冷量的10%）稳定除湿量功能，降低高湿环境下数据中心低载运行的IT设备结露风险。</w:t>
            </w:r>
            <w:r>
              <w:rPr>
                <w:rFonts w:hint="eastAsia" w:ascii="宋体" w:hAnsi="宋体" w:cs="宋体"/>
                <w:color w:val="000000" w:themeColor="text1"/>
                <w:sz w:val="24"/>
                <w:highlight w:val="none"/>
                <w14:textFill>
                  <w14:solidFill>
                    <w14:schemeClr w14:val="tx1"/>
                  </w14:solidFill>
                </w14:textFill>
              </w:rPr>
              <w:t>竞标时</w:t>
            </w:r>
            <w:r>
              <w:rPr>
                <w:rFonts w:hint="eastAsia" w:ascii="宋体" w:hAnsi="宋体" w:cs="宋体"/>
                <w:color w:val="000000" w:themeColor="text1"/>
                <w:sz w:val="24"/>
                <w:highlight w:val="none"/>
                <w:lang w:val="en-US" w:eastAsia="zh-CN"/>
                <w14:textFill>
                  <w14:solidFill>
                    <w14:schemeClr w14:val="tx1"/>
                  </w14:solidFill>
                </w14:textFill>
              </w:rPr>
              <w:t>提供第三方检测报告证明。</w:t>
            </w:r>
            <w:r>
              <w:rPr>
                <w:rFonts w:hint="eastAsia" w:ascii="宋体" w:hAnsi="宋体" w:eastAsia="宋体" w:cs="宋体"/>
                <w:color w:val="000000" w:themeColor="text1"/>
                <w:sz w:val="24"/>
                <w:highlight w:val="none"/>
                <w14:textFill>
                  <w14:solidFill>
                    <w14:schemeClr w14:val="tx1"/>
                  </w14:solidFill>
                </w14:textFill>
              </w:rPr>
              <w:br w:type="textWrapping"/>
            </w:r>
            <w:r>
              <w:rPr>
                <w:rFonts w:hint="eastAsia" w:ascii="宋体" w:hAnsi="宋体" w:eastAsia="宋体" w:cs="宋体"/>
                <w:color w:val="000000" w:themeColor="text1"/>
                <w:sz w:val="24"/>
                <w:highlight w:val="none"/>
                <w14:textFill>
                  <w14:solidFill>
                    <w14:schemeClr w14:val="tx1"/>
                  </w14:solidFill>
                </w14:textFill>
              </w:rPr>
              <w:t>3.精密空调室内机采用高效工业用直流变频压缩机，可实现10%～100%宽冷量输出，压缩机品牌要求采用三菱、日立、谷轮或同档次及以上产品。；</w:t>
            </w:r>
            <w:r>
              <w:rPr>
                <w:rFonts w:hint="eastAsia" w:ascii="宋体" w:hAnsi="宋体" w:eastAsia="宋体" w:cs="宋体"/>
                <w:color w:val="000000" w:themeColor="text1"/>
                <w:sz w:val="24"/>
                <w:highlight w:val="none"/>
                <w14:textFill>
                  <w14:solidFill>
                    <w14:schemeClr w14:val="tx1"/>
                  </w14:solidFill>
                </w14:textFill>
              </w:rPr>
              <w:br w:type="textWrapping"/>
            </w:r>
            <w:r>
              <w:rPr>
                <w:rFonts w:hint="eastAsia" w:ascii="宋体" w:hAnsi="宋体" w:eastAsia="宋体" w:cs="宋体"/>
                <w:color w:val="000000" w:themeColor="text1"/>
                <w:sz w:val="24"/>
                <w:highlight w:val="none"/>
                <w14:textFill>
                  <w14:solidFill>
                    <w14:schemeClr w14:val="tx1"/>
                  </w14:solidFill>
                </w14:textFill>
              </w:rPr>
              <w:t>4.为了相应国家节能节耗政策，要求空调全年能效比应不小于4.1；</w:t>
            </w:r>
            <w:r>
              <w:rPr>
                <w:rFonts w:hint="eastAsia" w:ascii="宋体" w:hAnsi="宋体" w:eastAsia="宋体" w:cs="宋体"/>
                <w:color w:val="000000" w:themeColor="text1"/>
                <w:sz w:val="24"/>
                <w:highlight w:val="none"/>
                <w14:textFill>
                  <w14:solidFill>
                    <w14:schemeClr w14:val="tx1"/>
                  </w14:solidFill>
                </w14:textFill>
              </w:rPr>
              <w:br w:type="textWrapping"/>
            </w:r>
            <w:r>
              <w:rPr>
                <w:rFonts w:hint="eastAsia" w:ascii="宋体" w:hAnsi="宋体" w:eastAsia="宋体" w:cs="宋体"/>
                <w:color w:val="000000" w:themeColor="text1"/>
                <w:sz w:val="24"/>
                <w:highlight w:val="none"/>
                <w14:textFill>
                  <w14:solidFill>
                    <w14:schemeClr w14:val="tx1"/>
                  </w14:solidFill>
                </w14:textFill>
              </w:rPr>
              <w:t>5.具≥7寸LCD的真彩触摸显示屏，可以显示设备的运行模式与状态，并可设定设备参数，实现良好的人机交互.</w:t>
            </w:r>
            <w:r>
              <w:rPr>
                <w:rFonts w:hint="eastAsia" w:ascii="宋体" w:hAnsi="宋体" w:eastAsia="宋体" w:cs="宋体"/>
                <w:color w:val="000000" w:themeColor="text1"/>
                <w:sz w:val="24"/>
                <w:highlight w:val="none"/>
                <w14:textFill>
                  <w14:solidFill>
                    <w14:schemeClr w14:val="tx1"/>
                  </w14:solidFill>
                </w14:textFill>
              </w:rPr>
              <w:br w:type="textWrapping"/>
            </w:r>
            <w:r>
              <w:rPr>
                <w:rFonts w:hint="eastAsia" w:ascii="宋体" w:hAnsi="宋体" w:eastAsia="宋体" w:cs="宋体"/>
                <w:color w:val="000000" w:themeColor="text1"/>
                <w:sz w:val="24"/>
                <w:highlight w:val="none"/>
                <w14:textFill>
                  <w14:solidFill>
                    <w14:schemeClr w14:val="tx1"/>
                  </w14:solidFill>
                </w14:textFill>
              </w:rPr>
              <w:t>6.机组具备联动与群控功能，群控采用高速、灵活的CAN通讯协议，同一区域可以将≥32套机组进行统一控制管理；</w:t>
            </w:r>
            <w:r>
              <w:rPr>
                <w:rFonts w:hint="eastAsia" w:ascii="宋体" w:hAnsi="宋体" w:eastAsia="宋体" w:cs="宋体"/>
                <w:color w:val="000000" w:themeColor="text1"/>
                <w:sz w:val="24"/>
                <w:highlight w:val="none"/>
                <w14:textFill>
                  <w14:solidFill>
                    <w14:schemeClr w14:val="tx1"/>
                  </w14:solidFill>
                </w14:textFill>
              </w:rPr>
              <w:br w:type="textWrapping"/>
            </w:r>
            <w:r>
              <w:rPr>
                <w:rFonts w:hint="eastAsia" w:ascii="宋体" w:hAnsi="宋体" w:eastAsia="宋体" w:cs="宋体"/>
                <w:color w:val="000000" w:themeColor="text1"/>
                <w:sz w:val="24"/>
                <w:highlight w:val="none"/>
                <w14:textFill>
                  <w14:solidFill>
                    <w14:schemeClr w14:val="tx1"/>
                  </w14:solidFill>
                </w14:textFill>
              </w:rPr>
              <w:t>7.室内风机：要求采用高效后倾离心式EC风机。风机N+1冗余配置，风机数量≤3个，任意风机故障，仍可确保全风量运行；机房列间空调应有较大的送风量。</w:t>
            </w:r>
            <w:r>
              <w:rPr>
                <w:rFonts w:hint="eastAsia" w:ascii="宋体" w:hAnsi="宋体" w:eastAsia="宋体" w:cs="宋体"/>
                <w:color w:val="000000" w:themeColor="text1"/>
                <w:sz w:val="24"/>
                <w:highlight w:val="none"/>
                <w14:textFill>
                  <w14:solidFill>
                    <w14:schemeClr w14:val="tx1"/>
                  </w14:solidFill>
                </w14:textFill>
              </w:rPr>
              <w:br w:type="textWrapping"/>
            </w:r>
            <w:r>
              <w:rPr>
                <w:rFonts w:hint="eastAsia" w:ascii="宋体" w:hAnsi="宋体" w:eastAsia="宋体" w:cs="宋体"/>
                <w:color w:val="000000" w:themeColor="text1"/>
                <w:sz w:val="24"/>
                <w:highlight w:val="none"/>
                <w14:textFill>
                  <w14:solidFill>
                    <w14:schemeClr w14:val="tx1"/>
                  </w14:solidFill>
                </w14:textFill>
              </w:rPr>
              <w:t>8.要求空调机组设备符合GB19413相关标准，经中国制冷空调设备产业联盟、中国制冷空调工业协会、中国冷冻空调设备标准化技术委员会联合确认的中国机房空调专业认证，并通过相关证书。</w:t>
            </w:r>
            <w:r>
              <w:rPr>
                <w:rFonts w:hint="eastAsia" w:ascii="宋体" w:hAnsi="宋体" w:eastAsia="宋体" w:cs="宋体"/>
                <w:color w:val="000000" w:themeColor="text1"/>
                <w:sz w:val="24"/>
                <w:highlight w:val="none"/>
                <w14:textFill>
                  <w14:solidFill>
                    <w14:schemeClr w14:val="tx1"/>
                  </w14:solidFill>
                </w14:textFill>
              </w:rPr>
              <w:br w:type="textWrapping"/>
            </w:r>
            <w:r>
              <w:rPr>
                <w:rFonts w:hint="eastAsia" w:ascii="宋体" w:hAnsi="宋体" w:eastAsia="宋体" w:cs="宋体"/>
                <w:color w:val="000000" w:themeColor="text1"/>
                <w:sz w:val="24"/>
                <w:highlight w:val="none"/>
                <w14:textFill>
                  <w14:solidFill>
                    <w14:schemeClr w14:val="tx1"/>
                  </w14:solidFill>
                </w14:textFill>
              </w:rPr>
              <w:t>9.满足CE认证要求。</w:t>
            </w:r>
            <w:r>
              <w:rPr>
                <w:rFonts w:hint="eastAsia" w:ascii="宋体" w:hAnsi="宋体" w:eastAsia="宋体" w:cs="宋体"/>
                <w:color w:val="000000" w:themeColor="text1"/>
                <w:sz w:val="24"/>
                <w:highlight w:val="none"/>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10.空调应满足《单元式空气调节机能效限定值及能效等级》。</w:t>
            </w:r>
            <w:r>
              <w:rPr>
                <w:rFonts w:hint="eastAsia" w:ascii="宋体" w:hAnsi="宋体" w:cs="宋体"/>
                <w:color w:val="000000" w:themeColor="text1"/>
                <w:sz w:val="24"/>
                <w:highlight w:val="none"/>
                <w:lang w:val="en-US" w:eastAsia="zh-CN"/>
                <w14:textFill>
                  <w14:solidFill>
                    <w14:schemeClr w14:val="tx1"/>
                  </w14:solidFill>
                </w14:textFill>
              </w:rPr>
              <w:t>竞标时</w:t>
            </w:r>
            <w:r>
              <w:rPr>
                <w:rFonts w:hint="eastAsia" w:ascii="宋体" w:hAnsi="宋体" w:eastAsia="宋体" w:cs="宋体"/>
                <w:color w:val="000000" w:themeColor="text1"/>
                <w:sz w:val="24"/>
                <w:highlight w:val="none"/>
                <w14:textFill>
                  <w14:solidFill>
                    <w14:schemeClr w14:val="tx1"/>
                  </w14:solidFill>
                </w14:textFill>
              </w:rPr>
              <w:t>提供节能认证</w:t>
            </w:r>
            <w:r>
              <w:rPr>
                <w:rFonts w:hint="eastAsia" w:ascii="宋体" w:hAnsi="宋体" w:cs="宋体"/>
                <w:color w:val="000000" w:themeColor="text1"/>
                <w:sz w:val="24"/>
                <w:highlight w:val="none"/>
                <w:lang w:val="en-US" w:eastAsia="zh-CN"/>
                <w14:textFill>
                  <w14:solidFill>
                    <w14:schemeClr w14:val="tx1"/>
                  </w14:solidFill>
                </w14:textFill>
              </w:rPr>
              <w:t>截图证明</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11.支持空调机组380V±15%，50Hz±2Hz范围供电，适应恶劣电网环境。</w:t>
            </w:r>
            <w:r>
              <w:rPr>
                <w:rFonts w:hint="eastAsia" w:ascii="宋体" w:hAnsi="宋体" w:cs="宋体"/>
                <w:color w:val="000000" w:themeColor="text1"/>
                <w:sz w:val="24"/>
                <w:highlight w:val="none"/>
                <w14:textFill>
                  <w14:solidFill>
                    <w14:schemeClr w14:val="tx1"/>
                  </w14:solidFill>
                </w14:textFill>
              </w:rPr>
              <w:t>竞标时须</w:t>
            </w:r>
            <w:r>
              <w:rPr>
                <w:rFonts w:hint="eastAsia" w:ascii="宋体" w:hAnsi="宋体" w:cs="宋体"/>
                <w:color w:val="000000" w:themeColor="text1"/>
                <w:sz w:val="24"/>
                <w:highlight w:val="none"/>
                <w:lang w:val="en-US" w:eastAsia="zh-CN"/>
                <w14:textFill>
                  <w14:solidFill>
                    <w14:schemeClr w14:val="tx1"/>
                  </w14:solidFill>
                </w14:textFill>
              </w:rPr>
              <w:t>提供第三方检测报告证明。</w:t>
            </w:r>
          </w:p>
          <w:p w14:paraId="05B1143D">
            <w:pPr>
              <w:widowControl/>
              <w:numPr>
                <w:ilvl w:val="-1"/>
                <w:numId w:val="0"/>
              </w:numPr>
              <w:jc w:val="left"/>
              <w:textAlignment w:val="center"/>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12</w:t>
            </w:r>
            <w:r>
              <w:rPr>
                <w:rFonts w:hint="default" w:ascii="宋体" w:hAnsi="宋体" w:cs="宋体"/>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所投产品须安装到现有模块化机柜内，设备尺寸需要达到现有模块化机柜安装条件，做到无缝安装。</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2A59E5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cs="宋体"/>
                <w:i w:val="0"/>
                <w:iCs w:val="0"/>
                <w:color w:val="000000" w:themeColor="text1"/>
                <w:sz w:val="24"/>
                <w:szCs w:val="24"/>
                <w:highlight w:val="none"/>
                <w:u w:val="none"/>
                <w:lang w:val="en-US" w:eastAsia="zh-CN"/>
                <w14:textFill>
                  <w14:solidFill>
                    <w14:schemeClr w14:val="tx1"/>
                  </w14:solidFill>
                </w14:textFill>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0009BA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cs="宋体"/>
                <w:i w:val="0"/>
                <w:iCs w:val="0"/>
                <w:color w:val="000000" w:themeColor="text1"/>
                <w:sz w:val="24"/>
                <w:szCs w:val="24"/>
                <w:highlight w:val="none"/>
                <w:u w:val="none"/>
                <w:lang w:val="en-US" w:eastAsia="zh-CN"/>
                <w14:textFill>
                  <w14:solidFill>
                    <w14:schemeClr w14:val="tx1"/>
                  </w14:solidFill>
                </w14:textFill>
              </w:rPr>
              <w:t>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2AA66A6">
            <w:pPr>
              <w:keepNext w:val="0"/>
              <w:keepLines w:val="0"/>
              <w:widowControl/>
              <w:suppressLineNumbers w:val="0"/>
              <w:jc w:val="center"/>
              <w:textAlignment w:val="center"/>
              <w:rPr>
                <w:rFonts w:hint="default" w:ascii="宋体" w:hAnsi="宋体" w:eastAsia="宋体" w:cs="宋体"/>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cs="宋体"/>
                <w:i w:val="0"/>
                <w:iCs w:val="0"/>
                <w:color w:val="000000" w:themeColor="text1"/>
                <w:sz w:val="24"/>
                <w:szCs w:val="24"/>
                <w:highlight w:val="none"/>
                <w:u w:val="none"/>
                <w:lang w:val="en-US" w:eastAsia="zh-CN"/>
                <w14:textFill>
                  <w14:solidFill>
                    <w14:schemeClr w14:val="tx1"/>
                  </w14:solidFill>
                </w14:textFill>
              </w:rPr>
              <w:t>113500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15F06F2">
            <w:pPr>
              <w:keepNext w:val="0"/>
              <w:keepLines w:val="0"/>
              <w:widowControl/>
              <w:suppressLineNumbers w:val="0"/>
              <w:jc w:val="center"/>
              <w:textAlignment w:val="center"/>
              <w:rPr>
                <w:rFonts w:hint="default" w:ascii="宋体" w:hAnsi="宋体" w:eastAsia="宋体" w:cs="宋体"/>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cs="宋体"/>
                <w:i w:val="0"/>
                <w:iCs w:val="0"/>
                <w:color w:val="000000" w:themeColor="text1"/>
                <w:sz w:val="24"/>
                <w:szCs w:val="24"/>
                <w:highlight w:val="none"/>
                <w:u w:val="none"/>
                <w:lang w:val="en-US" w:eastAsia="zh-CN"/>
                <w14:textFill>
                  <w14:solidFill>
                    <w14:schemeClr w14:val="tx1"/>
                  </w14:solidFill>
                </w14:textFill>
              </w:rPr>
              <w:t>227000</w:t>
            </w:r>
          </w:p>
        </w:tc>
      </w:tr>
      <w:tr w14:paraId="307CE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7"/>
            <w:tcBorders>
              <w:top w:val="single" w:color="000000" w:sz="4" w:space="0"/>
              <w:left w:val="single" w:color="000000" w:sz="4" w:space="0"/>
              <w:bottom w:val="single" w:color="000000" w:sz="4" w:space="0"/>
              <w:right w:val="single" w:color="000000" w:sz="4" w:space="0"/>
            </w:tcBorders>
            <w:noWrap w:val="0"/>
            <w:vAlign w:val="center"/>
          </w:tcPr>
          <w:p w14:paraId="39F73EA7">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上控价合计金额</w:t>
            </w:r>
            <w:r>
              <w:rPr>
                <w:rFonts w:hint="eastAsia" w:ascii="宋体" w:hAnsi="宋体" w:cs="宋体"/>
                <w:b/>
                <w:bCs/>
                <w:i w:val="0"/>
                <w:iCs w:val="0"/>
                <w:color w:val="000000" w:themeColor="text1"/>
                <w:kern w:val="0"/>
                <w:sz w:val="24"/>
                <w:szCs w:val="24"/>
                <w:highlight w:val="none"/>
                <w:u w:val="none"/>
                <w:lang w:val="en-US" w:eastAsia="zh-CN" w:bidi="ar"/>
                <w14:textFill>
                  <w14:solidFill>
                    <w14:schemeClr w14:val="tx1"/>
                  </w14:solidFill>
                </w14:textFill>
              </w:rPr>
              <w:t xml:space="preserve"> 伍拾贰万玖仟元整</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990AECD">
            <w:pPr>
              <w:keepNext w:val="0"/>
              <w:keepLines w:val="0"/>
              <w:widowControl/>
              <w:suppressLineNumbers w:val="0"/>
              <w:jc w:val="center"/>
              <w:textAlignment w:val="center"/>
              <w:rPr>
                <w:rFonts w:hint="default" w:ascii="宋体" w:hAnsi="宋体" w:eastAsia="宋体" w:cs="宋体"/>
                <w:b/>
                <w:bCs/>
                <w:i w:val="0"/>
                <w:iCs w:val="0"/>
                <w:color w:val="000000" w:themeColor="text1"/>
                <w:sz w:val="24"/>
                <w:szCs w:val="24"/>
                <w:highlight w:val="none"/>
                <w:u w:val="none"/>
                <w:lang w:val="en-US"/>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 xml:space="preserve"> </w:t>
            </w:r>
            <w:r>
              <w:rPr>
                <w:rFonts w:hint="eastAsia" w:ascii="宋体" w:hAnsi="宋体" w:cs="宋体"/>
                <w:b/>
                <w:bCs/>
                <w:i w:val="0"/>
                <w:iCs w:val="0"/>
                <w:color w:val="000000" w:themeColor="text1"/>
                <w:kern w:val="0"/>
                <w:sz w:val="24"/>
                <w:szCs w:val="24"/>
                <w:highlight w:val="none"/>
                <w:u w:val="none"/>
                <w:lang w:val="en-US" w:eastAsia="zh-CN" w:bidi="ar"/>
                <w14:textFill>
                  <w14:solidFill>
                    <w14:schemeClr w14:val="tx1"/>
                  </w14:solidFill>
                </w14:textFill>
              </w:rPr>
              <w:t>529000</w:t>
            </w:r>
          </w:p>
        </w:tc>
      </w:tr>
      <w:tr w14:paraId="1336D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gridSpan w:val="8"/>
            <w:tcBorders>
              <w:top w:val="single" w:color="000000" w:sz="4" w:space="0"/>
              <w:left w:val="single" w:color="000000" w:sz="4" w:space="0"/>
              <w:bottom w:val="single" w:color="000000" w:sz="4" w:space="0"/>
              <w:right w:val="single" w:color="000000" w:sz="4" w:space="0"/>
            </w:tcBorders>
            <w:noWrap/>
            <w:vAlign w:val="center"/>
          </w:tcPr>
          <w:p w14:paraId="1982817F">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商务条款要求</w:t>
            </w:r>
          </w:p>
        </w:tc>
      </w:tr>
      <w:tr w14:paraId="7C947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0" w:hRule="atLeast"/>
        </w:trPr>
        <w:tc>
          <w:tcPr>
            <w:tcW w:w="0" w:type="auto"/>
            <w:gridSpan w:val="8"/>
            <w:tcBorders>
              <w:top w:val="single" w:color="000000" w:sz="4" w:space="0"/>
              <w:left w:val="single" w:color="000000" w:sz="4" w:space="0"/>
              <w:bottom w:val="single" w:color="000000" w:sz="4" w:space="0"/>
              <w:right w:val="single" w:color="000000" w:sz="4" w:space="0"/>
            </w:tcBorders>
            <w:noWrap w:val="0"/>
            <w:vAlign w:val="center"/>
          </w:tcPr>
          <w:p w14:paraId="3AA5DC99">
            <w:pPr>
              <w:keepNext w:val="0"/>
              <w:keepLines w:val="0"/>
              <w:widowControl/>
              <w:numPr>
                <w:ilvl w:val="-1"/>
                <w:numId w:val="0"/>
              </w:numPr>
              <w:suppressLineNumbers w:val="0"/>
              <w:ind w:firstLine="660" w:firstLineChars="300"/>
              <w:jc w:val="left"/>
              <w:textAlignment w:val="cente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合同签订期：自</w:t>
            </w: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成交</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通知书发出之日起 </w:t>
            </w: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10</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天内</w:t>
            </w: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签订</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 </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▲二、交付时间：自签订合同之日起</w:t>
            </w: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15</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个日历日内安装调试完毕并合格交付使用；供应商逾期交付货物的，应按逾期交付价值总额每日千分之十的标准向采购方支付违约金，由采购方从待付货款中直接扣除，供应商逾期时间超过3天仍不能交付的，视为不能履约，采购方可解除采购合同，供应商需支付合同款20%的违约金。  </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▲三、交货地点：崇左市内（采购人指定地点）； </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▲四、质保期：按国家有关产品“三包”规定执行“三包”，自货物验收合格之日起计算，产品质保期不少于</w:t>
            </w: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3</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年（厂家质保期超过此年限的按厂家规定执行）。</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五、付款方式：合同签订后5个工作日内采购人向供应商预付</w:t>
            </w: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3</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0%合同款，供应商安装调试完毕并经采购人验收合格后，5个工作日内采购人向供应商支付</w:t>
            </w: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7</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0%合同款。 采购人付款前，成交人应向采购人开具等额有效的增值税专用发票，采购人未收到发票的，有权不予支付相应款项直至成交人提供合格发票，并不承担延迟付款责任。发票认证通过是付款的必要前提之一。</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六、质量保障要求：</w:t>
            </w: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1、竞价时必须上传响应文件，响应文件内容包含报价清单（注明所投品牌型号）、商务条款偏离表（注明“正偏离”、“负偏离”或“无偏离”）、技术需求偏离表（注明“正偏离”、“负偏离”或“无偏离”）和“采购需求”中的“技术参数要求”要求提供的相关</w:t>
            </w:r>
            <w:r>
              <w:rPr>
                <w:rFonts w:hint="eastAsia" w:ascii="宋体" w:hAnsi="宋体" w:cs="宋体"/>
                <w:b/>
                <w:bCs/>
                <w:i w:val="0"/>
                <w:iCs w:val="0"/>
                <w:color w:val="000000" w:themeColor="text1"/>
                <w:kern w:val="0"/>
                <w:sz w:val="22"/>
                <w:szCs w:val="22"/>
                <w:highlight w:val="none"/>
                <w:u w:val="none"/>
                <w:lang w:val="en-US" w:eastAsia="zh-CN" w:bidi="ar"/>
                <w14:textFill>
                  <w14:solidFill>
                    <w14:schemeClr w14:val="tx1"/>
                  </w14:solidFill>
                </w14:textFill>
              </w:rPr>
              <w:t>材料</w:t>
            </w: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复印件等，如所提供的响应文件内容不全或者不符的，视为无效竞价；本项目仅接受意向品牌的产品参与报价，意向品牌以外的产品报价无效。</w:t>
            </w: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▲2、为了保障产品性能符合竞价文件要求，防止虚假应标，竞标时必须提供与</w:t>
            </w:r>
            <w:r>
              <w:rPr>
                <w:rFonts w:hint="eastAsia" w:ascii="宋体" w:hAnsi="宋体" w:cs="宋体"/>
                <w:b/>
                <w:bCs/>
                <w:i w:val="0"/>
                <w:iCs w:val="0"/>
                <w:color w:val="000000" w:themeColor="text1"/>
                <w:kern w:val="0"/>
                <w:sz w:val="22"/>
                <w:szCs w:val="22"/>
                <w:highlight w:val="none"/>
                <w:u w:val="none"/>
                <w:lang w:val="en-US" w:eastAsia="zh-CN" w:bidi="ar"/>
                <w14:textFill>
                  <w14:solidFill>
                    <w14:schemeClr w14:val="tx1"/>
                  </w14:solidFill>
                </w14:textFill>
              </w:rPr>
              <w:t>标“</w:t>
            </w: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w:t>
            </w:r>
            <w:r>
              <w:rPr>
                <w:rFonts w:hint="eastAsia" w:ascii="宋体" w:hAnsi="宋体" w:cs="宋体"/>
                <w:b/>
                <w:bCs/>
                <w:i w:val="0"/>
                <w:iCs w:val="0"/>
                <w:color w:val="000000" w:themeColor="text1"/>
                <w:kern w:val="0"/>
                <w:sz w:val="22"/>
                <w:szCs w:val="22"/>
                <w:highlight w:val="none"/>
                <w:u w:val="none"/>
                <w:lang w:val="en-US" w:eastAsia="zh-CN" w:bidi="ar"/>
                <w14:textFill>
                  <w14:solidFill>
                    <w14:schemeClr w14:val="tx1"/>
                  </w14:solidFill>
                </w14:textFill>
              </w:rPr>
              <w:t>”</w:t>
            </w: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技术参数要求及功能符合的</w:t>
            </w:r>
            <w:r>
              <w:rPr>
                <w:rFonts w:hint="eastAsia" w:ascii="宋体" w:hAnsi="宋体" w:cs="宋体"/>
                <w:b/>
                <w:bCs/>
                <w:i w:val="0"/>
                <w:iCs w:val="0"/>
                <w:color w:val="000000" w:themeColor="text1"/>
                <w:kern w:val="0"/>
                <w:sz w:val="22"/>
                <w:szCs w:val="22"/>
                <w:highlight w:val="none"/>
                <w:u w:val="none"/>
                <w:lang w:val="en-US" w:eastAsia="zh-CN" w:bidi="ar"/>
                <w14:textFill>
                  <w14:solidFill>
                    <w14:schemeClr w14:val="tx1"/>
                  </w14:solidFill>
                </w14:textFill>
              </w:rPr>
              <w:t>“检测报告或功能截图”作</w:t>
            </w: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为合同确认的标准依据，如出现所提供</w:t>
            </w:r>
            <w:r>
              <w:rPr>
                <w:rFonts w:hint="eastAsia" w:ascii="宋体" w:hAnsi="宋体" w:cs="宋体"/>
                <w:b/>
                <w:bCs/>
                <w:i w:val="0"/>
                <w:iCs w:val="0"/>
                <w:color w:val="000000" w:themeColor="text1"/>
                <w:kern w:val="0"/>
                <w:sz w:val="22"/>
                <w:szCs w:val="22"/>
                <w:highlight w:val="none"/>
                <w:u w:val="none"/>
                <w:lang w:val="en-US" w:eastAsia="zh-CN" w:bidi="ar"/>
                <w14:textFill>
                  <w14:solidFill>
                    <w14:schemeClr w14:val="tx1"/>
                  </w14:solidFill>
                </w14:textFill>
              </w:rPr>
              <w:t>产品</w:t>
            </w: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不符技术参数要求或无法提供所有</w:t>
            </w:r>
            <w:r>
              <w:rPr>
                <w:rFonts w:hint="eastAsia" w:ascii="宋体" w:hAnsi="宋体" w:cs="宋体"/>
                <w:b/>
                <w:bCs/>
                <w:i w:val="0"/>
                <w:iCs w:val="0"/>
                <w:color w:val="000000" w:themeColor="text1"/>
                <w:kern w:val="0"/>
                <w:sz w:val="22"/>
                <w:szCs w:val="22"/>
                <w:highlight w:val="none"/>
                <w:u w:val="none"/>
                <w:lang w:val="en-US" w:eastAsia="zh-CN" w:bidi="ar"/>
                <w14:textFill>
                  <w14:solidFill>
                    <w14:schemeClr w14:val="tx1"/>
                  </w14:solidFill>
                </w14:textFill>
              </w:rPr>
              <w:t>“检测报告或功能截图”</w:t>
            </w: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，均视为虚假应标处理，采购人有权拒签合同，并取消其</w:t>
            </w:r>
            <w:r>
              <w:rPr>
                <w:rFonts w:hint="eastAsia" w:ascii="宋体" w:hAnsi="宋体" w:cs="宋体"/>
                <w:b/>
                <w:bCs/>
                <w:i w:val="0"/>
                <w:iCs w:val="0"/>
                <w:color w:val="000000" w:themeColor="text1"/>
                <w:kern w:val="0"/>
                <w:sz w:val="22"/>
                <w:szCs w:val="22"/>
                <w:highlight w:val="none"/>
                <w:u w:val="none"/>
                <w:lang w:val="en-US" w:eastAsia="zh-CN" w:bidi="ar"/>
                <w14:textFill>
                  <w14:solidFill>
                    <w14:schemeClr w14:val="tx1"/>
                  </w14:solidFill>
                </w14:textFill>
              </w:rPr>
              <w:t>成交</w:t>
            </w: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资格；如出现以上虚假应标行为，采购人有权依法追求法律责任，并将依法向政采云平台举报，上报政府采购监管部门，予以禁止报价、扣除诚信分等处罚，政采云全平台各区划联动生效。</w:t>
            </w: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 xml:space="preserve"> ▲3、正品保障：</w:t>
            </w:r>
          </w:p>
          <w:p w14:paraId="1BBE9C10">
            <w:pPr>
              <w:keepNext w:val="0"/>
              <w:keepLines w:val="0"/>
              <w:widowControl/>
              <w:numPr>
                <w:ilvl w:val="-1"/>
                <w:numId w:val="0"/>
              </w:numPr>
              <w:suppressLineNumbers w:val="0"/>
              <w:ind w:firstLine="663" w:firstLineChars="300"/>
              <w:jc w:val="left"/>
              <w:textAlignment w:val="cente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cs="宋体"/>
                <w:b/>
                <w:bCs/>
                <w:i w:val="0"/>
                <w:iCs w:val="0"/>
                <w:color w:val="000000" w:themeColor="text1"/>
                <w:kern w:val="0"/>
                <w:sz w:val="22"/>
                <w:szCs w:val="22"/>
                <w:highlight w:val="none"/>
                <w:u w:val="none"/>
                <w:lang w:val="en-US" w:eastAsia="zh-CN" w:bidi="ar"/>
                <w14:textFill>
                  <w14:solidFill>
                    <w14:schemeClr w14:val="tx1"/>
                  </w14:solidFill>
                </w14:textFill>
              </w:rPr>
              <w:t>1、</w:t>
            </w: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本项目</w:t>
            </w:r>
            <w:r>
              <w:rPr>
                <w:rFonts w:hint="eastAsia" w:ascii="宋体" w:hAnsi="宋体" w:cs="宋体"/>
                <w:b/>
                <w:bCs/>
                <w:i w:val="0"/>
                <w:iCs w:val="0"/>
                <w:color w:val="000000" w:themeColor="text1"/>
                <w:kern w:val="0"/>
                <w:sz w:val="22"/>
                <w:szCs w:val="22"/>
                <w:highlight w:val="none"/>
                <w:u w:val="none"/>
                <w:lang w:val="en-US" w:eastAsia="zh-CN" w:bidi="ar"/>
                <w14:textFill>
                  <w14:solidFill>
                    <w14:schemeClr w14:val="tx1"/>
                  </w14:solidFill>
                </w14:textFill>
              </w:rPr>
              <w:t>成交</w:t>
            </w: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供应商必须按采购需求中意向的品牌进行供货，不接受意向品牌外的产品，供应商不得以任何理由更改设备的品牌、型号、配置，配置必须是原厂出厂配置，不接受出厂后加装</w:t>
            </w:r>
            <w:r>
              <w:rPr>
                <w:rFonts w:hint="eastAsia" w:ascii="宋体" w:hAnsi="宋体" w:cs="宋体"/>
                <w:b/>
                <w:bCs/>
                <w:i w:val="0"/>
                <w:iCs w:val="0"/>
                <w:color w:val="000000" w:themeColor="text1"/>
                <w:kern w:val="0"/>
                <w:sz w:val="22"/>
                <w:szCs w:val="22"/>
                <w:highlight w:val="none"/>
                <w:u w:val="none"/>
                <w:lang w:val="en-US" w:eastAsia="zh-CN" w:bidi="ar"/>
                <w14:textFill>
                  <w14:solidFill>
                    <w14:schemeClr w14:val="tx1"/>
                  </w14:solidFill>
                </w14:textFill>
              </w:rPr>
              <w:t>。</w:t>
            </w: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 xml:space="preserve"> </w:t>
            </w:r>
          </w:p>
          <w:p w14:paraId="1E1DFD53">
            <w:pPr>
              <w:keepNext w:val="0"/>
              <w:keepLines w:val="0"/>
              <w:widowControl/>
              <w:numPr>
                <w:ilvl w:val="-1"/>
                <w:numId w:val="0"/>
              </w:numPr>
              <w:suppressLineNumbers w:val="0"/>
              <w:ind w:firstLine="663" w:firstLineChars="300"/>
              <w:jc w:val="left"/>
              <w:textAlignment w:val="cente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cs="宋体"/>
                <w:b/>
                <w:bCs/>
                <w:color w:val="000000" w:themeColor="text1"/>
                <w:kern w:val="0"/>
                <w:sz w:val="22"/>
                <w:szCs w:val="22"/>
                <w:highlight w:val="none"/>
                <w:u w:val="none"/>
                <w:lang w:val="en-US" w:eastAsia="zh-CN" w:bidi="ar"/>
                <w14:textFill>
                  <w14:solidFill>
                    <w14:schemeClr w14:val="tx1"/>
                  </w14:solidFill>
                </w14:textFill>
              </w:rPr>
              <w:t>2、</w:t>
            </w:r>
            <w:r>
              <w:rPr>
                <w:rFonts w:hint="eastAsia" w:ascii="宋体" w:hAnsi="宋体" w:cs="宋体"/>
                <w:b/>
                <w:bCs/>
                <w:color w:val="000000" w:themeColor="text1"/>
                <w:kern w:val="0"/>
                <w:sz w:val="22"/>
                <w:szCs w:val="22"/>
                <w:highlight w:val="none"/>
                <w:u w:val="none"/>
                <w:lang w:bidi="ar"/>
                <w14:textFill>
                  <w14:solidFill>
                    <w14:schemeClr w14:val="tx1"/>
                  </w14:solidFill>
                </w14:textFill>
              </w:rPr>
              <w:t>供货时，成交供应商须提供设备品牌方出具的符合国家及行业通用标准的产品序列号核验确认文件、合法有效的供货证明及售后服务承诺文件，作为验收及售后保障依据，否则不予验收。</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七、售后服务要求：处理问题响应时间：设备出现故障，技术维护力量1小时内到达现场，到达现场后3小时内解决问题，并免费更换有缺陷的货物或零部件，一般故障处理时限不超过6小时，6小时内不能修复的，提供替代品。</w:t>
            </w:r>
          </w:p>
          <w:p w14:paraId="7096E93C">
            <w:pPr>
              <w:keepNext w:val="0"/>
              <w:keepLines w:val="0"/>
              <w:widowControl/>
              <w:numPr>
                <w:ilvl w:val="-1"/>
                <w:numId w:val="0"/>
              </w:numPr>
              <w:suppressLineNumbers w:val="0"/>
              <w:ind w:firstLine="0" w:firstLineChars="0"/>
              <w:jc w:val="left"/>
              <w:textAlignment w:val="cente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八、履约保证金及验收要求</w:t>
            </w:r>
          </w:p>
          <w:p w14:paraId="3413910B">
            <w:pPr>
              <w:keepNext w:val="0"/>
              <w:keepLines w:val="0"/>
              <w:widowControl/>
              <w:numPr>
                <w:ilvl w:val="-1"/>
                <w:numId w:val="0"/>
              </w:numPr>
              <w:suppressLineNumbers w:val="0"/>
              <w:ind w:firstLine="663" w:firstLineChars="300"/>
              <w:jc w:val="left"/>
              <w:textAlignment w:val="center"/>
              <w:rPr>
                <w:rFonts w:hint="default" w:ascii="宋体" w:hAnsi="宋体" w:cs="宋体"/>
                <w:b/>
                <w:bCs/>
                <w:color w:val="000000" w:themeColor="text1"/>
                <w:kern w:val="0"/>
                <w:sz w:val="22"/>
                <w:szCs w:val="22"/>
                <w:highlight w:val="none"/>
                <w:u w:val="none"/>
                <w:lang w:bidi="ar"/>
                <w14:textFill>
                  <w14:solidFill>
                    <w14:schemeClr w14:val="tx1"/>
                  </w14:solidFill>
                </w14:textFill>
              </w:rPr>
            </w:pPr>
            <w:r>
              <w:rPr>
                <w:rFonts w:hint="default" w:ascii="宋体" w:hAnsi="宋体" w:cs="宋体"/>
                <w:b/>
                <w:bCs/>
                <w:color w:val="000000" w:themeColor="text1"/>
                <w:kern w:val="0"/>
                <w:sz w:val="22"/>
                <w:szCs w:val="22"/>
                <w:highlight w:val="none"/>
                <w:u w:val="none"/>
                <w:lang w:bidi="ar"/>
                <w14:textFill>
                  <w14:solidFill>
                    <w14:schemeClr w14:val="tx1"/>
                  </w14:solidFill>
                </w14:textFill>
              </w:rPr>
              <w:t>成交单位在签订合同前，须按成交金额的5%（如为中小型企业，按成交金额的2%收取）缴纳合同履约保证金转至采购单位以下银行账户：</w:t>
            </w:r>
          </w:p>
          <w:p w14:paraId="64B8A5FC">
            <w:pPr>
              <w:keepNext w:val="0"/>
              <w:keepLines w:val="0"/>
              <w:widowControl/>
              <w:numPr>
                <w:ilvl w:val="-1"/>
                <w:numId w:val="0"/>
              </w:numPr>
              <w:suppressLineNumbers w:val="0"/>
              <w:ind w:firstLine="663" w:firstLineChars="300"/>
              <w:jc w:val="left"/>
              <w:textAlignment w:val="center"/>
              <w:rPr>
                <w:rFonts w:hint="default" w:ascii="宋体" w:hAnsi="宋体" w:cs="宋体"/>
                <w:b/>
                <w:bCs/>
                <w:color w:val="000000" w:themeColor="text1"/>
                <w:kern w:val="0"/>
                <w:sz w:val="22"/>
                <w:szCs w:val="22"/>
                <w:highlight w:val="none"/>
                <w:u w:val="none"/>
                <w:lang w:bidi="ar"/>
                <w14:textFill>
                  <w14:solidFill>
                    <w14:schemeClr w14:val="tx1"/>
                  </w14:solidFill>
                </w14:textFill>
              </w:rPr>
            </w:pPr>
            <w:r>
              <w:rPr>
                <w:rFonts w:hint="default" w:ascii="宋体" w:hAnsi="宋体" w:cs="宋体"/>
                <w:b/>
                <w:bCs/>
                <w:color w:val="000000" w:themeColor="text1"/>
                <w:kern w:val="0"/>
                <w:sz w:val="22"/>
                <w:szCs w:val="22"/>
                <w:highlight w:val="none"/>
                <w:u w:val="none"/>
                <w:lang w:bidi="ar"/>
                <w14:textFill>
                  <w14:solidFill>
                    <w14:schemeClr w14:val="tx1"/>
                  </w14:solidFill>
                </w14:textFill>
              </w:rPr>
              <w:t>户名：广西自然资源职业技术学院</w:t>
            </w:r>
          </w:p>
          <w:p w14:paraId="7F7F3ADB">
            <w:pPr>
              <w:keepNext w:val="0"/>
              <w:keepLines w:val="0"/>
              <w:widowControl/>
              <w:numPr>
                <w:ilvl w:val="-1"/>
                <w:numId w:val="0"/>
              </w:numPr>
              <w:suppressLineNumbers w:val="0"/>
              <w:ind w:firstLine="663" w:firstLineChars="300"/>
              <w:jc w:val="left"/>
              <w:textAlignment w:val="center"/>
              <w:rPr>
                <w:rFonts w:hint="default" w:ascii="宋体" w:hAnsi="宋体" w:cs="宋体"/>
                <w:b/>
                <w:bCs/>
                <w:color w:val="000000" w:themeColor="text1"/>
                <w:kern w:val="0"/>
                <w:sz w:val="22"/>
                <w:szCs w:val="22"/>
                <w:highlight w:val="none"/>
                <w:u w:val="none"/>
                <w:lang w:bidi="ar"/>
                <w14:textFill>
                  <w14:solidFill>
                    <w14:schemeClr w14:val="tx1"/>
                  </w14:solidFill>
                </w14:textFill>
              </w:rPr>
            </w:pPr>
            <w:r>
              <w:rPr>
                <w:rFonts w:hint="default" w:ascii="宋体" w:hAnsi="宋体" w:cs="宋体"/>
                <w:b/>
                <w:bCs/>
                <w:color w:val="000000" w:themeColor="text1"/>
                <w:kern w:val="0"/>
                <w:sz w:val="22"/>
                <w:szCs w:val="22"/>
                <w:highlight w:val="none"/>
                <w:u w:val="none"/>
                <w:lang w:bidi="ar"/>
                <w14:textFill>
                  <w14:solidFill>
                    <w14:schemeClr w14:val="tx1"/>
                  </w14:solidFill>
                </w14:textFill>
              </w:rPr>
              <w:t>开户银行：中国建设银行股份有限公司南宁园湖北路支行</w:t>
            </w:r>
          </w:p>
          <w:p w14:paraId="61139DB2">
            <w:pPr>
              <w:keepNext w:val="0"/>
              <w:keepLines w:val="0"/>
              <w:widowControl/>
              <w:numPr>
                <w:ilvl w:val="-1"/>
                <w:numId w:val="0"/>
              </w:numPr>
              <w:suppressLineNumbers w:val="0"/>
              <w:ind w:firstLine="663" w:firstLineChars="300"/>
              <w:jc w:val="left"/>
              <w:textAlignment w:val="center"/>
              <w:rPr>
                <w:rFonts w:hint="default" w:ascii="宋体" w:hAnsi="宋体" w:cs="宋体"/>
                <w:b/>
                <w:bCs/>
                <w:color w:val="000000" w:themeColor="text1"/>
                <w:kern w:val="0"/>
                <w:sz w:val="22"/>
                <w:szCs w:val="22"/>
                <w:highlight w:val="none"/>
                <w:u w:val="none"/>
                <w:lang w:bidi="ar"/>
                <w14:textFill>
                  <w14:solidFill>
                    <w14:schemeClr w14:val="tx1"/>
                  </w14:solidFill>
                </w14:textFill>
              </w:rPr>
            </w:pPr>
            <w:r>
              <w:rPr>
                <w:rFonts w:hint="default" w:ascii="宋体" w:hAnsi="宋体" w:cs="宋体"/>
                <w:b/>
                <w:bCs/>
                <w:color w:val="000000" w:themeColor="text1"/>
                <w:kern w:val="0"/>
                <w:sz w:val="22"/>
                <w:szCs w:val="22"/>
                <w:highlight w:val="none"/>
                <w:u w:val="none"/>
                <w:lang w:bidi="ar"/>
                <w14:textFill>
                  <w14:solidFill>
                    <w14:schemeClr w14:val="tx1"/>
                  </w14:solidFill>
                </w14:textFill>
              </w:rPr>
              <w:t>开户账号：45050160435300000429</w:t>
            </w:r>
          </w:p>
          <w:p w14:paraId="5E7167BF">
            <w:pPr>
              <w:keepNext w:val="0"/>
              <w:keepLines w:val="0"/>
              <w:widowControl/>
              <w:numPr>
                <w:ilvl w:val="-1"/>
                <w:numId w:val="0"/>
              </w:numPr>
              <w:suppressLineNumbers w:val="0"/>
              <w:ind w:firstLine="663" w:firstLineChars="300"/>
              <w:jc w:val="left"/>
              <w:textAlignment w:val="center"/>
              <w:rPr>
                <w:rFonts w:hint="default" w:ascii="宋体" w:hAnsi="宋体" w:cs="宋体"/>
                <w:b/>
                <w:bCs/>
                <w:color w:val="000000" w:themeColor="text1"/>
                <w:kern w:val="0"/>
                <w:sz w:val="22"/>
                <w:szCs w:val="22"/>
                <w:highlight w:val="none"/>
                <w:u w:val="none"/>
                <w:lang w:bidi="ar"/>
                <w14:textFill>
                  <w14:solidFill>
                    <w14:schemeClr w14:val="tx1"/>
                  </w14:solidFill>
                </w14:textFill>
              </w:rPr>
            </w:pPr>
            <w:r>
              <w:rPr>
                <w:rFonts w:hint="default" w:ascii="宋体" w:hAnsi="宋体" w:cs="宋体"/>
                <w:b/>
                <w:bCs/>
                <w:color w:val="000000" w:themeColor="text1"/>
                <w:kern w:val="0"/>
                <w:sz w:val="22"/>
                <w:szCs w:val="22"/>
                <w:highlight w:val="none"/>
                <w:u w:val="none"/>
                <w:lang w:bidi="ar"/>
                <w14:textFill>
                  <w14:solidFill>
                    <w14:schemeClr w14:val="tx1"/>
                  </w14:solidFill>
                </w14:textFill>
              </w:rPr>
              <w:t>验收小组以项目采购文件及采购合同为验收依据，对供货产品技术参数核对检验，如不符合技术参数要求的，成交单位须书面承诺承担所有责任和费用。采购单位保留进一步追究责任的权利。</w:t>
            </w:r>
          </w:p>
          <w:p w14:paraId="1BF53930">
            <w:pPr>
              <w:keepNext w:val="0"/>
              <w:keepLines w:val="0"/>
              <w:widowControl/>
              <w:numPr>
                <w:ilvl w:val="-1"/>
                <w:numId w:val="0"/>
              </w:numPr>
              <w:suppressLineNumbers w:val="0"/>
              <w:ind w:firstLine="663" w:firstLineChars="300"/>
              <w:jc w:val="left"/>
              <w:textAlignment w:val="center"/>
              <w:rPr>
                <w:rFonts w:hint="default" w:ascii="宋体" w:hAnsi="宋体" w:cs="宋体"/>
                <w:b/>
                <w:bCs/>
                <w:color w:val="000000" w:themeColor="text1"/>
                <w:kern w:val="0"/>
                <w:sz w:val="22"/>
                <w:szCs w:val="22"/>
                <w:highlight w:val="none"/>
                <w:u w:val="none"/>
                <w:lang w:bidi="ar"/>
                <w14:textFill>
                  <w14:solidFill>
                    <w14:schemeClr w14:val="tx1"/>
                  </w14:solidFill>
                </w14:textFill>
              </w:rPr>
            </w:pPr>
            <w:r>
              <w:rPr>
                <w:rFonts w:hint="default" w:ascii="宋体" w:hAnsi="宋体" w:cs="宋体"/>
                <w:b/>
                <w:bCs/>
                <w:color w:val="000000" w:themeColor="text1"/>
                <w:kern w:val="0"/>
                <w:sz w:val="22"/>
                <w:szCs w:val="22"/>
                <w:highlight w:val="none"/>
                <w:u w:val="none"/>
                <w:lang w:bidi="ar"/>
                <w14:textFill>
                  <w14:solidFill>
                    <w14:schemeClr w14:val="tx1"/>
                  </w14:solidFill>
                </w14:textFill>
              </w:rPr>
              <w:t>（1）成交单位按时间节点完成服务后，应及时整理技术资料并作出全面检查和整理，列出清单，作为采购单位验收和使用的技术条件依据，清单应交给采购单位；同时以书面形式通知采购单位进行验收，采购单位在收到通知后五个工作日内进行验收。</w:t>
            </w:r>
          </w:p>
          <w:p w14:paraId="4F4FC759">
            <w:pPr>
              <w:keepNext w:val="0"/>
              <w:keepLines w:val="0"/>
              <w:widowControl/>
              <w:numPr>
                <w:ilvl w:val="-1"/>
                <w:numId w:val="0"/>
              </w:numPr>
              <w:suppressLineNumbers w:val="0"/>
              <w:ind w:firstLine="663" w:firstLineChars="300"/>
              <w:jc w:val="left"/>
              <w:textAlignment w:val="center"/>
              <w:rPr>
                <w:rFonts w:hint="default" w:ascii="宋体" w:hAnsi="宋体" w:cs="宋体"/>
                <w:b/>
                <w:bCs/>
                <w:color w:val="000000" w:themeColor="text1"/>
                <w:kern w:val="0"/>
                <w:sz w:val="22"/>
                <w:szCs w:val="22"/>
                <w:highlight w:val="none"/>
                <w:u w:val="none"/>
                <w:lang w:bidi="ar"/>
                <w14:textFill>
                  <w14:solidFill>
                    <w14:schemeClr w14:val="tx1"/>
                  </w14:solidFill>
                </w14:textFill>
              </w:rPr>
            </w:pPr>
            <w:r>
              <w:rPr>
                <w:rFonts w:hint="default" w:ascii="宋体" w:hAnsi="宋体" w:cs="宋体"/>
                <w:b/>
                <w:bCs/>
                <w:color w:val="000000" w:themeColor="text1"/>
                <w:kern w:val="0"/>
                <w:sz w:val="22"/>
                <w:szCs w:val="22"/>
                <w:highlight w:val="none"/>
                <w:u w:val="none"/>
                <w:lang w:bidi="ar"/>
                <w14:textFill>
                  <w14:solidFill>
                    <w14:schemeClr w14:val="tx1"/>
                  </w14:solidFill>
                </w14:textFill>
              </w:rPr>
              <w:t>（2）验收时成交单位提供验收文档，包括但不限于：资源库电子文档，以及对所有需要进行核查的原件等。</w:t>
            </w:r>
          </w:p>
          <w:p w14:paraId="380599ED">
            <w:pPr>
              <w:keepNext w:val="0"/>
              <w:keepLines w:val="0"/>
              <w:widowControl/>
              <w:numPr>
                <w:ilvl w:val="-1"/>
                <w:numId w:val="0"/>
              </w:numPr>
              <w:suppressLineNumbers w:val="0"/>
              <w:ind w:firstLine="663" w:firstLineChars="300"/>
              <w:jc w:val="left"/>
              <w:textAlignment w:val="center"/>
              <w:rPr>
                <w:rFonts w:hint="default" w:ascii="宋体" w:hAnsi="宋体" w:cs="宋体"/>
                <w:b/>
                <w:bCs/>
                <w:color w:val="000000" w:themeColor="text1"/>
                <w:kern w:val="0"/>
                <w:sz w:val="22"/>
                <w:szCs w:val="22"/>
                <w:highlight w:val="none"/>
                <w:u w:val="none"/>
                <w:lang w:bidi="ar"/>
                <w14:textFill>
                  <w14:solidFill>
                    <w14:schemeClr w14:val="tx1"/>
                  </w14:solidFill>
                </w14:textFill>
              </w:rPr>
            </w:pPr>
            <w:r>
              <w:rPr>
                <w:rFonts w:hint="default" w:ascii="宋体" w:hAnsi="宋体" w:cs="宋体"/>
                <w:b/>
                <w:bCs/>
                <w:color w:val="000000" w:themeColor="text1"/>
                <w:kern w:val="0"/>
                <w:sz w:val="22"/>
                <w:szCs w:val="22"/>
                <w:highlight w:val="none"/>
                <w:u w:val="none"/>
                <w:lang w:bidi="ar"/>
                <w14:textFill>
                  <w14:solidFill>
                    <w14:schemeClr w14:val="tx1"/>
                  </w14:solidFill>
                </w14:textFill>
              </w:rPr>
              <w:t>（3）如服务产品不合格或不符合技术参数要求的，由成交单位按采购单位（或者采购单位委托的第三方机构或部门）要求整改，成交单位不按要求整改或拒不整改的，采购单位有权终止合同，给采购单位造成的损失等费用由供应方承担。</w:t>
            </w:r>
          </w:p>
          <w:p w14:paraId="43039683">
            <w:pPr>
              <w:keepNext w:val="0"/>
              <w:keepLines w:val="0"/>
              <w:widowControl/>
              <w:numPr>
                <w:ilvl w:val="-1"/>
                <w:numId w:val="0"/>
              </w:numPr>
              <w:suppressLineNumbers w:val="0"/>
              <w:ind w:firstLine="663" w:firstLineChars="300"/>
              <w:jc w:val="left"/>
              <w:textAlignment w:val="center"/>
              <w:rPr>
                <w:rFonts w:hint="default" w:ascii="宋体" w:hAnsi="宋体" w:cs="宋体"/>
                <w:b/>
                <w:bCs/>
                <w:color w:val="000000" w:themeColor="text1"/>
                <w:kern w:val="0"/>
                <w:sz w:val="22"/>
                <w:szCs w:val="22"/>
                <w:highlight w:val="none"/>
                <w:u w:val="none"/>
                <w:lang w:bidi="ar"/>
                <w14:textFill>
                  <w14:solidFill>
                    <w14:schemeClr w14:val="tx1"/>
                  </w14:solidFill>
                </w14:textFill>
              </w:rPr>
            </w:pPr>
            <w:r>
              <w:rPr>
                <w:rFonts w:hint="default" w:ascii="宋体" w:hAnsi="宋体" w:cs="宋体"/>
                <w:b/>
                <w:bCs/>
                <w:color w:val="000000" w:themeColor="text1"/>
                <w:kern w:val="0"/>
                <w:sz w:val="22"/>
                <w:szCs w:val="22"/>
                <w:highlight w:val="none"/>
                <w:u w:val="none"/>
                <w:lang w:bidi="ar"/>
                <w14:textFill>
                  <w14:solidFill>
                    <w14:schemeClr w14:val="tx1"/>
                  </w14:solidFill>
                </w14:textFill>
              </w:rPr>
              <w:t>（4）如成交单位提供虚假材料的，除按相关规定做违约处理外，采购单位依据相关法律规定追究成交单位的责任，由此带来的一切责任及损失由成交单位自行承担。</w:t>
            </w:r>
          </w:p>
          <w:p w14:paraId="35BF10E9">
            <w:pPr>
              <w:keepNext w:val="0"/>
              <w:keepLines w:val="0"/>
              <w:widowControl/>
              <w:numPr>
                <w:ilvl w:val="-1"/>
                <w:numId w:val="0"/>
              </w:numPr>
              <w:suppressLineNumbers w:val="0"/>
              <w:ind w:firstLine="663" w:firstLineChars="300"/>
              <w:jc w:val="left"/>
              <w:textAlignment w:val="center"/>
              <w:rPr>
                <w:rFonts w:hint="eastAsia" w:ascii="宋体" w:hAnsi="宋体" w:cs="宋体"/>
                <w:b/>
                <w:bCs/>
                <w:i w:val="0"/>
                <w:iCs w:val="0"/>
                <w:color w:val="000000" w:themeColor="text1"/>
                <w:kern w:val="0"/>
                <w:sz w:val="22"/>
                <w:szCs w:val="22"/>
                <w:highlight w:val="none"/>
                <w:u w:val="none"/>
                <w:lang w:val="en-US" w:eastAsia="zh-CN" w:bidi="ar"/>
                <w14:textFill>
                  <w14:solidFill>
                    <w14:schemeClr w14:val="tx1"/>
                  </w14:solidFill>
                </w14:textFill>
              </w:rPr>
            </w:pPr>
            <w:r>
              <w:rPr>
                <w:rFonts w:hint="default" w:ascii="宋体" w:hAnsi="宋体" w:cs="宋体"/>
                <w:b/>
                <w:bCs/>
                <w:color w:val="000000" w:themeColor="text1"/>
                <w:kern w:val="0"/>
                <w:sz w:val="22"/>
                <w:szCs w:val="22"/>
                <w:highlight w:val="none"/>
                <w:u w:val="none"/>
                <w:lang w:bidi="ar"/>
                <w14:textFill>
                  <w14:solidFill>
                    <w14:schemeClr w14:val="tx1"/>
                  </w14:solidFill>
                </w14:textFill>
              </w:rPr>
              <w:t>（5）在项目验收过程中，如项目验收不合格，有关返工、再行验收产生相关成本费用，以及给采购单位造成的损失等费用由成交单位承担。连续两次项目验收不合格的，或弄虚作假的行为，采购单位将不予验收，采购单位有权解除合同，并追究成交单位的责任，由此带来的一切责任由成交单位自行承担。</w:t>
            </w:r>
          </w:p>
          <w:p w14:paraId="1542438A">
            <w:pPr>
              <w:keepNext w:val="0"/>
              <w:keepLines w:val="0"/>
              <w:widowControl/>
              <w:numPr>
                <w:ilvl w:val="-1"/>
                <w:numId w:val="0"/>
              </w:numPr>
              <w:suppressLineNumbers w:val="0"/>
              <w:ind w:firstLine="0" w:firstLineChars="0"/>
              <w:jc w:val="left"/>
              <w:textAlignment w:val="cente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九、履约责任</w:t>
            </w:r>
          </w:p>
          <w:p w14:paraId="362F09ED">
            <w:pPr>
              <w:keepNext w:val="0"/>
              <w:keepLines w:val="0"/>
              <w:widowControl/>
              <w:numPr>
                <w:ilvl w:val="-1"/>
                <w:numId w:val="0"/>
              </w:numPr>
              <w:suppressLineNumbers w:val="0"/>
              <w:ind w:firstLine="663" w:firstLineChars="300"/>
              <w:jc w:val="left"/>
              <w:textAlignment w:val="center"/>
              <w:rPr>
                <w:rFonts w:hint="eastAsia" w:ascii="宋体" w:hAnsi="宋体" w:cs="宋体"/>
                <w:b/>
                <w:bCs/>
                <w:color w:val="000000" w:themeColor="text1"/>
                <w:kern w:val="0"/>
                <w:sz w:val="22"/>
                <w:szCs w:val="22"/>
                <w:highlight w:val="none"/>
                <w:u w:val="none"/>
                <w:lang w:bidi="ar"/>
                <w14:textFill>
                  <w14:solidFill>
                    <w14:schemeClr w14:val="tx1"/>
                  </w14:solidFill>
                </w14:textFill>
              </w:rPr>
            </w:pPr>
            <w:r>
              <w:rPr>
                <w:rFonts w:hint="eastAsia" w:ascii="宋体" w:hAnsi="宋体" w:cs="宋体"/>
                <w:b/>
                <w:bCs/>
                <w:color w:val="000000" w:themeColor="text1"/>
                <w:kern w:val="0"/>
                <w:sz w:val="22"/>
                <w:szCs w:val="22"/>
                <w:highlight w:val="none"/>
                <w:u w:val="none"/>
                <w:lang w:bidi="ar"/>
                <w14:textFill>
                  <w14:solidFill>
                    <w14:schemeClr w14:val="tx1"/>
                  </w14:solidFill>
                </w14:textFill>
              </w:rPr>
              <w:t>1.不按本商务要求规定缴纳履约保证金的，取消成交单位中标（竞得）资格。</w:t>
            </w:r>
          </w:p>
          <w:p w14:paraId="3939D8B4">
            <w:pPr>
              <w:keepNext w:val="0"/>
              <w:keepLines w:val="0"/>
              <w:widowControl/>
              <w:numPr>
                <w:ilvl w:val="-1"/>
                <w:numId w:val="0"/>
              </w:numPr>
              <w:suppressLineNumbers w:val="0"/>
              <w:ind w:firstLine="663" w:firstLineChars="300"/>
              <w:jc w:val="left"/>
              <w:textAlignment w:val="center"/>
              <w:rPr>
                <w:rFonts w:hint="eastAsia" w:ascii="宋体" w:hAnsi="宋体" w:cs="宋体"/>
                <w:b/>
                <w:bCs/>
                <w:color w:val="000000" w:themeColor="text1"/>
                <w:kern w:val="0"/>
                <w:sz w:val="22"/>
                <w:szCs w:val="22"/>
                <w:highlight w:val="none"/>
                <w:u w:val="none"/>
                <w:lang w:bidi="ar"/>
                <w14:textFill>
                  <w14:solidFill>
                    <w14:schemeClr w14:val="tx1"/>
                  </w14:solidFill>
                </w14:textFill>
              </w:rPr>
            </w:pPr>
            <w:r>
              <w:rPr>
                <w:rFonts w:hint="eastAsia" w:ascii="宋体" w:hAnsi="宋体" w:cs="宋体"/>
                <w:b/>
                <w:bCs/>
                <w:color w:val="000000" w:themeColor="text1"/>
                <w:kern w:val="0"/>
                <w:sz w:val="22"/>
                <w:szCs w:val="22"/>
                <w:highlight w:val="none"/>
                <w:u w:val="none"/>
                <w:lang w:bidi="ar"/>
                <w14:textFill>
                  <w14:solidFill>
                    <w14:schemeClr w14:val="tx1"/>
                  </w14:solidFill>
                </w14:textFill>
              </w:rPr>
              <w:t>2.不按本商务要求规定签订合同的，取消成交单位中标（竞得）资格。</w:t>
            </w:r>
          </w:p>
          <w:p w14:paraId="7A876FC4">
            <w:pPr>
              <w:keepNext w:val="0"/>
              <w:keepLines w:val="0"/>
              <w:widowControl/>
              <w:numPr>
                <w:ilvl w:val="-1"/>
                <w:numId w:val="0"/>
              </w:numPr>
              <w:suppressLineNumbers w:val="0"/>
              <w:ind w:firstLine="663" w:firstLineChars="300"/>
              <w:jc w:val="left"/>
              <w:textAlignment w:val="center"/>
              <w:rPr>
                <w:rFonts w:hint="eastAsia" w:ascii="宋体" w:hAnsi="宋体" w:cs="宋体"/>
                <w:b/>
                <w:bCs/>
                <w:color w:val="000000" w:themeColor="text1"/>
                <w:kern w:val="0"/>
                <w:sz w:val="22"/>
                <w:szCs w:val="22"/>
                <w:highlight w:val="none"/>
                <w:u w:val="none"/>
                <w:lang w:bidi="ar"/>
                <w14:textFill>
                  <w14:solidFill>
                    <w14:schemeClr w14:val="tx1"/>
                  </w14:solidFill>
                </w14:textFill>
              </w:rPr>
            </w:pPr>
            <w:r>
              <w:rPr>
                <w:rFonts w:hint="eastAsia" w:ascii="宋体" w:hAnsi="宋体" w:cs="宋体"/>
                <w:b/>
                <w:bCs/>
                <w:color w:val="000000" w:themeColor="text1"/>
                <w:kern w:val="0"/>
                <w:sz w:val="22"/>
                <w:szCs w:val="22"/>
                <w:highlight w:val="none"/>
                <w:u w:val="none"/>
                <w:lang w:bidi="ar"/>
                <w14:textFill>
                  <w14:solidFill>
                    <w14:schemeClr w14:val="tx1"/>
                  </w14:solidFill>
                </w14:textFill>
              </w:rPr>
              <w:t>3.因成交单位原因提前终止或解决合同的，除具有法定或约定免责理由外，采购单位没收成交单位履约保证金，同时按成交价款的20%赔偿采购单位损失（另行向采购单位缴纳）。</w:t>
            </w:r>
          </w:p>
          <w:p w14:paraId="3AC510A4">
            <w:pPr>
              <w:keepNext w:val="0"/>
              <w:keepLines w:val="0"/>
              <w:widowControl/>
              <w:numPr>
                <w:ilvl w:val="-1"/>
                <w:numId w:val="0"/>
              </w:numPr>
              <w:suppressLineNumbers w:val="0"/>
              <w:ind w:firstLine="663" w:firstLineChars="300"/>
              <w:jc w:val="left"/>
              <w:textAlignment w:val="center"/>
              <w:rPr>
                <w:rFonts w:hint="eastAsia" w:ascii="宋体" w:hAnsi="宋体" w:cs="宋体"/>
                <w:b/>
                <w:bCs/>
                <w:color w:val="000000" w:themeColor="text1"/>
                <w:kern w:val="0"/>
                <w:sz w:val="22"/>
                <w:szCs w:val="22"/>
                <w:highlight w:val="none"/>
                <w:u w:val="none"/>
                <w:lang w:bidi="ar"/>
                <w14:textFill>
                  <w14:solidFill>
                    <w14:schemeClr w14:val="tx1"/>
                  </w14:solidFill>
                </w14:textFill>
              </w:rPr>
            </w:pPr>
            <w:r>
              <w:rPr>
                <w:rFonts w:hint="eastAsia" w:ascii="宋体" w:hAnsi="宋体" w:cs="宋体"/>
                <w:b/>
                <w:bCs/>
                <w:color w:val="000000" w:themeColor="text1"/>
                <w:kern w:val="0"/>
                <w:sz w:val="22"/>
                <w:szCs w:val="22"/>
                <w:highlight w:val="none"/>
                <w:u w:val="none"/>
                <w:lang w:bidi="ar"/>
                <w14:textFill>
                  <w14:solidFill>
                    <w14:schemeClr w14:val="tx1"/>
                  </w14:solidFill>
                </w14:textFill>
              </w:rPr>
              <w:t>4.发生以下情形之一的，成交单位每次向采购单位缴纳500元作为违约金。</w:t>
            </w:r>
          </w:p>
          <w:p w14:paraId="0D07A3BD">
            <w:pPr>
              <w:keepNext w:val="0"/>
              <w:keepLines w:val="0"/>
              <w:widowControl/>
              <w:numPr>
                <w:ilvl w:val="-1"/>
                <w:numId w:val="0"/>
              </w:numPr>
              <w:suppressLineNumbers w:val="0"/>
              <w:ind w:firstLine="663" w:firstLineChars="300"/>
              <w:jc w:val="left"/>
              <w:textAlignment w:val="center"/>
              <w:rPr>
                <w:rFonts w:hint="eastAsia" w:ascii="宋体" w:hAnsi="宋体" w:cs="宋体"/>
                <w:b/>
                <w:bCs/>
                <w:color w:val="000000" w:themeColor="text1"/>
                <w:kern w:val="0"/>
                <w:sz w:val="22"/>
                <w:szCs w:val="22"/>
                <w:highlight w:val="none"/>
                <w:u w:val="none"/>
                <w:lang w:bidi="ar"/>
                <w14:textFill>
                  <w14:solidFill>
                    <w14:schemeClr w14:val="tx1"/>
                  </w14:solidFill>
                </w14:textFill>
              </w:rPr>
            </w:pPr>
            <w:r>
              <w:rPr>
                <w:rFonts w:hint="eastAsia" w:ascii="宋体" w:hAnsi="宋体" w:cs="宋体"/>
                <w:b/>
                <w:bCs/>
                <w:color w:val="000000" w:themeColor="text1"/>
                <w:kern w:val="0"/>
                <w:sz w:val="22"/>
                <w:szCs w:val="22"/>
                <w:highlight w:val="none"/>
                <w:u w:val="none"/>
                <w:lang w:bidi="ar"/>
                <w14:textFill>
                  <w14:solidFill>
                    <w14:schemeClr w14:val="tx1"/>
                  </w14:solidFill>
                </w14:textFill>
              </w:rPr>
              <w:t>4.1成交单位达不到本需求文件约定的；</w:t>
            </w:r>
          </w:p>
          <w:p w14:paraId="16865F9A">
            <w:pPr>
              <w:keepNext w:val="0"/>
              <w:keepLines w:val="0"/>
              <w:widowControl/>
              <w:numPr>
                <w:ilvl w:val="-1"/>
                <w:numId w:val="0"/>
              </w:numPr>
              <w:suppressLineNumbers w:val="0"/>
              <w:ind w:firstLine="663" w:firstLineChars="300"/>
              <w:jc w:val="left"/>
              <w:textAlignment w:val="center"/>
              <w:rPr>
                <w:rFonts w:hint="eastAsia" w:ascii="宋体" w:hAnsi="宋体" w:cs="宋体"/>
                <w:b/>
                <w:bCs/>
                <w:color w:val="000000" w:themeColor="text1"/>
                <w:kern w:val="0"/>
                <w:sz w:val="22"/>
                <w:szCs w:val="22"/>
                <w:highlight w:val="none"/>
                <w:u w:val="none"/>
                <w:lang w:bidi="ar"/>
                <w14:textFill>
                  <w14:solidFill>
                    <w14:schemeClr w14:val="tx1"/>
                  </w14:solidFill>
                </w14:textFill>
              </w:rPr>
            </w:pPr>
            <w:r>
              <w:rPr>
                <w:rFonts w:hint="eastAsia" w:ascii="宋体" w:hAnsi="宋体" w:cs="宋体"/>
                <w:b/>
                <w:bCs/>
                <w:color w:val="000000" w:themeColor="text1"/>
                <w:kern w:val="0"/>
                <w:sz w:val="22"/>
                <w:szCs w:val="22"/>
                <w:highlight w:val="none"/>
                <w:u w:val="none"/>
                <w:lang w:bidi="ar"/>
                <w14:textFill>
                  <w14:solidFill>
                    <w14:schemeClr w14:val="tx1"/>
                  </w14:solidFill>
                </w14:textFill>
              </w:rPr>
              <w:t>4.2成交单位未达到或违反本商务文件约定的。</w:t>
            </w:r>
          </w:p>
          <w:p w14:paraId="2D3A09CE">
            <w:pPr>
              <w:keepNext w:val="0"/>
              <w:keepLines w:val="0"/>
              <w:widowControl/>
              <w:numPr>
                <w:ilvl w:val="-1"/>
                <w:numId w:val="0"/>
              </w:numPr>
              <w:suppressLineNumbers w:val="0"/>
              <w:ind w:firstLine="663" w:firstLineChars="300"/>
              <w:jc w:val="left"/>
              <w:textAlignment w:val="center"/>
              <w:rPr>
                <w:rFonts w:hint="eastAsia" w:ascii="宋体" w:hAnsi="宋体" w:cs="宋体"/>
                <w:b/>
                <w:bCs/>
                <w:color w:val="000000" w:themeColor="text1"/>
                <w:kern w:val="0"/>
                <w:sz w:val="22"/>
                <w:szCs w:val="22"/>
                <w:highlight w:val="none"/>
                <w:u w:val="none"/>
                <w:lang w:bidi="ar"/>
                <w14:textFill>
                  <w14:solidFill>
                    <w14:schemeClr w14:val="tx1"/>
                  </w14:solidFill>
                </w14:textFill>
              </w:rPr>
            </w:pPr>
            <w:r>
              <w:rPr>
                <w:rFonts w:hint="eastAsia" w:ascii="宋体" w:hAnsi="宋体" w:cs="宋体"/>
                <w:b/>
                <w:bCs/>
                <w:color w:val="000000" w:themeColor="text1"/>
                <w:kern w:val="0"/>
                <w:sz w:val="22"/>
                <w:szCs w:val="22"/>
                <w:highlight w:val="none"/>
                <w:u w:val="none"/>
                <w:lang w:bidi="ar"/>
                <w14:textFill>
                  <w14:solidFill>
                    <w14:schemeClr w14:val="tx1"/>
                  </w14:solidFill>
                </w14:textFill>
              </w:rPr>
              <w:t>4.3成交单位须按本需求文件约定安排技术人员进场调试安装实施。技术人员须连续开展作业，直至完成项目。未经采购单位同意不得停止。停止施工一天（半天按一天计），成交单位向采购单位缴纳1000元作为违约金。</w:t>
            </w:r>
          </w:p>
          <w:p w14:paraId="1BFF51AA">
            <w:pPr>
              <w:keepNext w:val="0"/>
              <w:keepLines w:val="0"/>
              <w:widowControl/>
              <w:numPr>
                <w:ilvl w:val="-1"/>
                <w:numId w:val="0"/>
              </w:numPr>
              <w:suppressLineNumbers w:val="0"/>
              <w:ind w:firstLine="663" w:firstLineChars="300"/>
              <w:jc w:val="left"/>
              <w:textAlignment w:val="center"/>
              <w:rPr>
                <w:rFonts w:hint="eastAsia" w:ascii="宋体" w:hAnsi="宋体" w:cs="宋体"/>
                <w:b/>
                <w:bCs/>
                <w:color w:val="000000" w:themeColor="text1"/>
                <w:kern w:val="0"/>
                <w:sz w:val="22"/>
                <w:szCs w:val="22"/>
                <w:highlight w:val="none"/>
                <w:u w:val="none"/>
                <w:lang w:bidi="ar"/>
                <w14:textFill>
                  <w14:solidFill>
                    <w14:schemeClr w14:val="tx1"/>
                  </w14:solidFill>
                </w14:textFill>
              </w:rPr>
            </w:pPr>
            <w:r>
              <w:rPr>
                <w:rFonts w:hint="eastAsia" w:ascii="宋体" w:hAnsi="宋体" w:cs="宋体"/>
                <w:b/>
                <w:bCs/>
                <w:color w:val="000000" w:themeColor="text1"/>
                <w:kern w:val="0"/>
                <w:sz w:val="22"/>
                <w:szCs w:val="22"/>
                <w:highlight w:val="none"/>
                <w:u w:val="none"/>
                <w:lang w:bidi="ar"/>
                <w14:textFill>
                  <w14:solidFill>
                    <w14:schemeClr w14:val="tx1"/>
                  </w14:solidFill>
                </w14:textFill>
              </w:rPr>
              <w:t>4.4成交单位须按本需求文件要求和合同约定时间完成工作。每逾期一天，成交单位向采购单位缴纳1000元作为违约金。逾期天数达到10天（含10天）的，采购单位有权单方解除本合同，并有权拒绝支付合同款项。</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十</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、其他要求：</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 xml:space="preserve">      </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1、报价为采购人指定地点的现场交货价，包括： （1）货物的价格； （2）货物的标准附件、备品备件、专用工具的价格； （3）采购、利润、运输、装卸、安装、调试、培训、技术支持、售后服务等费用； （4）必要的保险费用和各项税费。</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 xml:space="preserve">     </w:t>
            </w: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w:t>
            </w:r>
            <w:r>
              <w:rPr>
                <w:rFonts w:hint="eastAsia" w:ascii="宋体" w:hAnsi="宋体" w:cs="宋体"/>
                <w:b/>
                <w:bCs/>
                <w:i w:val="0"/>
                <w:iCs w:val="0"/>
                <w:color w:val="000000" w:themeColor="text1"/>
                <w:kern w:val="0"/>
                <w:sz w:val="22"/>
                <w:szCs w:val="22"/>
                <w:highlight w:val="none"/>
                <w:u w:val="none"/>
                <w:lang w:val="en-US" w:eastAsia="zh-CN" w:bidi="ar"/>
                <w14:textFill>
                  <w14:solidFill>
                    <w14:schemeClr w14:val="tx1"/>
                  </w14:solidFill>
                </w14:textFill>
              </w:rPr>
              <w:t>2、</w:t>
            </w:r>
            <w:r>
              <w:rPr>
                <w:rFonts w:hint="eastAsia" w:ascii="宋体" w:hAnsi="宋体" w:cs="宋体"/>
                <w:b/>
                <w:bCs/>
                <w:color w:val="000000" w:themeColor="text1"/>
                <w:kern w:val="0"/>
                <w:sz w:val="22"/>
                <w:szCs w:val="22"/>
                <w:highlight w:val="none"/>
                <w:u w:val="none"/>
                <w:lang w:bidi="ar"/>
                <w14:textFill>
                  <w14:solidFill>
                    <w14:schemeClr w14:val="tx1"/>
                  </w14:solidFill>
                </w14:textFill>
              </w:rPr>
              <w:t>为保障学院机房设备的统一管理，须提供设备迁移服务：将分散于各机柜设备及线路迁移至新建机柜，必须确保迁移后设备正常运行。设备迁移完毕，且学院各项业务能够正常使用后，方可视为服务完成。</w:t>
            </w:r>
          </w:p>
          <w:p w14:paraId="6C73FB71">
            <w:pPr>
              <w:keepNext w:val="0"/>
              <w:keepLines w:val="0"/>
              <w:widowControl/>
              <w:numPr>
                <w:ilvl w:val="-1"/>
                <w:numId w:val="0"/>
              </w:numPr>
              <w:suppressLineNumbers w:val="0"/>
              <w:ind w:firstLine="663" w:firstLineChars="300"/>
              <w:jc w:val="left"/>
              <w:textAlignment w:val="center"/>
              <w:rPr>
                <w:rFonts w:hint="eastAsia" w:ascii="宋体" w:hAnsi="宋体" w:cs="宋体"/>
                <w:b/>
                <w:bCs/>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w:t>
            </w:r>
            <w:r>
              <w:rPr>
                <w:rFonts w:hint="eastAsia" w:ascii="宋体" w:hAnsi="宋体" w:cs="宋体"/>
                <w:b/>
                <w:bCs/>
                <w:color w:val="000000" w:themeColor="text1"/>
                <w:kern w:val="0"/>
                <w:sz w:val="22"/>
                <w:szCs w:val="22"/>
                <w:highlight w:val="none"/>
                <w:u w:val="none"/>
                <w:lang w:val="en-US" w:eastAsia="zh-CN" w:bidi="ar"/>
                <w14:textFill>
                  <w14:solidFill>
                    <w14:schemeClr w14:val="tx1"/>
                  </w14:solidFill>
                </w14:textFill>
              </w:rPr>
              <w:t>3、本项目所投全部产品应与采购人现有的动环监控系统兼容，竞标人承诺承担所投产品与现有动环监控系统的对接开发费用，无须采购人额外支出成本，实现现有动环监控系统对本项目所投全部产品进行统一监控、操作、运维管理，竞标时出具现有动环监控系统兼容性说明函。</w:t>
            </w:r>
          </w:p>
          <w:p w14:paraId="3591E7A1">
            <w:pPr>
              <w:keepNext w:val="0"/>
              <w:keepLines w:val="0"/>
              <w:widowControl/>
              <w:numPr>
                <w:ilvl w:val="-1"/>
                <w:numId w:val="0"/>
              </w:numPr>
              <w:suppressLineNumbers w:val="0"/>
              <w:ind w:firstLine="663" w:firstLineChars="300"/>
              <w:jc w:val="left"/>
              <w:textAlignment w:val="center"/>
              <w:rPr>
                <w:rFonts w:hint="eastAsia" w:ascii="宋体" w:hAnsi="宋体" w:cs="宋体"/>
                <w:b/>
                <w:bCs/>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w:t>
            </w:r>
            <w:r>
              <w:rPr>
                <w:rFonts w:hint="eastAsia" w:ascii="宋体" w:hAnsi="宋体" w:cs="宋体"/>
                <w:b/>
                <w:bCs/>
                <w:color w:val="000000" w:themeColor="text1"/>
                <w:kern w:val="0"/>
                <w:sz w:val="22"/>
                <w:szCs w:val="22"/>
                <w:highlight w:val="none"/>
                <w:u w:val="none"/>
                <w:lang w:val="en-US" w:eastAsia="zh-CN" w:bidi="ar"/>
                <w14:textFill>
                  <w14:solidFill>
                    <w14:schemeClr w14:val="tx1"/>
                  </w14:solidFill>
                </w14:textFill>
              </w:rPr>
              <w:t>4、本项目成交供应商应遵守国家有关安全文明措施的有关规定。如果由于本项目成交供应商未能对安全文明生产采取必要的措施而导致发生与此有关的人身伤亡、罚款、索赔、损失补偿、诉讼及其他责任,本单位不承担任何责任。</w:t>
            </w:r>
          </w:p>
        </w:tc>
      </w:tr>
    </w:tbl>
    <w:p w14:paraId="5AE932A9">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FC5ADF"/>
    <w:multiLevelType w:val="singleLevel"/>
    <w:tmpl w:val="D9FC5ADF"/>
    <w:lvl w:ilvl="0" w:tentative="0">
      <w:start w:val="1"/>
      <w:numFmt w:val="decimal"/>
      <w:lvlText w:val="%1."/>
      <w:lvlJc w:val="left"/>
      <w:pPr>
        <w:tabs>
          <w:tab w:val="left" w:pos="312"/>
        </w:tabs>
      </w:pPr>
    </w:lvl>
  </w:abstractNum>
  <w:abstractNum w:abstractNumId="1">
    <w:nsid w:val="F5F7C059"/>
    <w:multiLevelType w:val="singleLevel"/>
    <w:tmpl w:val="F5F7C059"/>
    <w:lvl w:ilvl="0" w:tentative="0">
      <w:start w:val="1"/>
      <w:numFmt w:val="decimal"/>
      <w:lvlText w:val="%1."/>
      <w:lvlJc w:val="left"/>
      <w:pPr>
        <w:tabs>
          <w:tab w:val="left" w:pos="312"/>
        </w:tabs>
      </w:pPr>
    </w:lvl>
  </w:abstractNum>
  <w:abstractNum w:abstractNumId="2">
    <w:nsid w:val="FD325BA2"/>
    <w:multiLevelType w:val="singleLevel"/>
    <w:tmpl w:val="FD325BA2"/>
    <w:lvl w:ilvl="0" w:tentative="0">
      <w:start w:val="1"/>
      <w:numFmt w:val="decimal"/>
      <w:lvlText w:val="%1."/>
      <w:lvlJc w:val="left"/>
      <w:pPr>
        <w:tabs>
          <w:tab w:val="left" w:pos="312"/>
        </w:tabs>
      </w:pPr>
    </w:lvl>
  </w:abstractNum>
  <w:abstractNum w:abstractNumId="3">
    <w:nsid w:val="FFEE15F4"/>
    <w:multiLevelType w:val="singleLevel"/>
    <w:tmpl w:val="FFEE15F4"/>
    <w:lvl w:ilvl="0" w:tentative="0">
      <w:start w:val="1"/>
      <w:numFmt w:val="decimal"/>
      <w:lvlText w:val="%1."/>
      <w:lvlJc w:val="left"/>
      <w:pPr>
        <w:tabs>
          <w:tab w:val="left" w:pos="312"/>
        </w:tabs>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7FA4B1"/>
    <w:rsid w:val="05E41BF9"/>
    <w:rsid w:val="09247737"/>
    <w:rsid w:val="09DD28D9"/>
    <w:rsid w:val="0A8213F4"/>
    <w:rsid w:val="0CD36378"/>
    <w:rsid w:val="101822F4"/>
    <w:rsid w:val="101D790A"/>
    <w:rsid w:val="10FD1C16"/>
    <w:rsid w:val="1C931680"/>
    <w:rsid w:val="1FCB2EDF"/>
    <w:rsid w:val="21DE15EF"/>
    <w:rsid w:val="2B0B6795"/>
    <w:rsid w:val="2C0F5159"/>
    <w:rsid w:val="2DBBF312"/>
    <w:rsid w:val="31E3055C"/>
    <w:rsid w:val="36525CB0"/>
    <w:rsid w:val="397F1D75"/>
    <w:rsid w:val="3E7B60C8"/>
    <w:rsid w:val="3FDB9A8F"/>
    <w:rsid w:val="3FF72B04"/>
    <w:rsid w:val="4968161B"/>
    <w:rsid w:val="49CF51F6"/>
    <w:rsid w:val="4B4C441F"/>
    <w:rsid w:val="4B970CB3"/>
    <w:rsid w:val="4CEF795D"/>
    <w:rsid w:val="4CFE631E"/>
    <w:rsid w:val="4DBD4EEB"/>
    <w:rsid w:val="50704A07"/>
    <w:rsid w:val="51EE1332"/>
    <w:rsid w:val="52CA74CE"/>
    <w:rsid w:val="5CE037DB"/>
    <w:rsid w:val="5D46181B"/>
    <w:rsid w:val="5DDE9542"/>
    <w:rsid w:val="609B1E7E"/>
    <w:rsid w:val="62041115"/>
    <w:rsid w:val="65750EF0"/>
    <w:rsid w:val="67F3434E"/>
    <w:rsid w:val="67FFEBB2"/>
    <w:rsid w:val="6BFF5CDB"/>
    <w:rsid w:val="6C7613C0"/>
    <w:rsid w:val="6FDD4CC8"/>
    <w:rsid w:val="717FA4B1"/>
    <w:rsid w:val="757CDBD8"/>
    <w:rsid w:val="77AB69F3"/>
    <w:rsid w:val="78D635FC"/>
    <w:rsid w:val="7B7C4D10"/>
    <w:rsid w:val="7DFA5F11"/>
    <w:rsid w:val="7FB7A84B"/>
    <w:rsid w:val="7FBFD12D"/>
    <w:rsid w:val="932F3AFC"/>
    <w:rsid w:val="B2DD964D"/>
    <w:rsid w:val="B78DA2A3"/>
    <w:rsid w:val="BDFD1BBF"/>
    <w:rsid w:val="DE7CAFF8"/>
    <w:rsid w:val="DFEF3E72"/>
    <w:rsid w:val="EF53039B"/>
    <w:rsid w:val="EFE3D195"/>
    <w:rsid w:val="F37E6BB6"/>
    <w:rsid w:val="FC7773E5"/>
    <w:rsid w:val="FFBD4ECD"/>
    <w:rsid w:val="FFF713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5276</Words>
  <Characters>5703</Characters>
  <Lines>0</Lines>
  <Paragraphs>0</Paragraphs>
  <TotalTime>10</TotalTime>
  <ScaleCrop>false</ScaleCrop>
  <LinksUpToDate>false</LinksUpToDate>
  <CharactersWithSpaces>5735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2026-04-06T02:53:00Z</dcterms:created>
  <dc:creator>WPS_1602155600</dc:creator>
  <cp:lastModifiedBy>韦俊宏</cp:lastModifiedBy>
  <dcterms:modified xsi:type="dcterms:W3CDTF">2026-06-08T12:24:28Z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9B8A571162D64DB3BD9A0D99858121BE_13</vt:lpwstr>
  </property>
  <property fmtid="{D5CDD505-2E9C-101B-9397-08002B2CF9AE}" pid="4" name="KSOTemplateDocerSaveRecord">
    <vt:lpwstr>eyJoZGlkIjoiZWQxMTYzMmE0ZDE0NmE5OTdlYjI0MjdiYzIxOWRiZDQiLCJ1c2VySWQiOiIxNDk5ODI2NjcxIn0=</vt:lpwstr>
  </property>
</Properties>
</file>