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7"/>
        <w:gridCol w:w="932"/>
        <w:gridCol w:w="2008"/>
        <w:gridCol w:w="6925"/>
        <w:gridCol w:w="537"/>
        <w:gridCol w:w="537"/>
        <w:gridCol w:w="1265"/>
        <w:gridCol w:w="1433"/>
      </w:tblGrid>
      <w:tr w14:paraId="3AFB9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gridSpan w:val="8"/>
            <w:tcBorders>
              <w:top w:val="nil"/>
              <w:left w:val="nil"/>
              <w:bottom w:val="nil"/>
              <w:right w:val="nil"/>
            </w:tcBorders>
            <w:noWrap/>
            <w:vAlign w:val="center"/>
          </w:tcPr>
          <w:p w14:paraId="0D8080F0">
            <w:pPr>
              <w:keepNext w:val="0"/>
              <w:keepLines w:val="0"/>
              <w:widowControl/>
              <w:suppressLineNumbers w:val="0"/>
              <w:jc w:val="center"/>
              <w:textAlignment w:val="center"/>
              <w:rPr>
                <w:rFonts w:hint="eastAsia" w:ascii="宋体" w:hAnsi="宋体" w:eastAsia="宋体" w:cs="宋体"/>
                <w:i w:val="0"/>
                <w:iCs w:val="0"/>
                <w:color w:val="000000" w:themeColor="text1"/>
                <w:sz w:val="36"/>
                <w:szCs w:val="36"/>
                <w:highlight w:val="none"/>
                <w:u w:val="none"/>
                <w14:textFill>
                  <w14:solidFill>
                    <w14:schemeClr w14:val="tx1"/>
                  </w14:solidFill>
                </w14:textFill>
              </w:rPr>
            </w:pPr>
            <w:bookmarkStart w:id="0" w:name="_GoBack"/>
            <w:bookmarkEnd w:id="0"/>
            <w:r>
              <w:rPr>
                <w:rFonts w:hint="eastAsia" w:ascii="宋体" w:hAnsi="宋体" w:eastAsia="宋体" w:cs="宋体"/>
                <w:color w:val="000000" w:themeColor="text1"/>
                <w:kern w:val="0"/>
                <w:sz w:val="36"/>
                <w:szCs w:val="36"/>
                <w:highlight w:val="none"/>
                <w:u w:val="none"/>
                <w:lang w:bidi="ar"/>
                <w14:textFill>
                  <w14:solidFill>
                    <w14:schemeClr w14:val="tx1"/>
                  </w14:solidFill>
                </w14:textFill>
              </w:rPr>
              <w:t>广西自然资源职业技术学院机房冷通道机柜采购项目</w:t>
            </w:r>
            <w:r>
              <w:rPr>
                <w:rFonts w:hint="eastAsia" w:ascii="宋体" w:hAnsi="宋体" w:eastAsia="宋体" w:cs="宋体"/>
                <w:i w:val="0"/>
                <w:iCs w:val="0"/>
                <w:color w:val="000000" w:themeColor="text1"/>
                <w:kern w:val="0"/>
                <w:sz w:val="36"/>
                <w:szCs w:val="36"/>
                <w:highlight w:val="none"/>
                <w:u w:val="none"/>
                <w:lang w:val="en-US" w:eastAsia="zh-CN" w:bidi="ar"/>
                <w14:textFill>
                  <w14:solidFill>
                    <w14:schemeClr w14:val="tx1"/>
                  </w14:solidFill>
                </w14:textFill>
              </w:rPr>
              <w:t>需求</w:t>
            </w:r>
            <w:r>
              <w:rPr>
                <w:rFonts w:hint="eastAsia" w:ascii="宋体" w:hAnsi="宋体" w:cs="宋体"/>
                <w:i w:val="0"/>
                <w:iCs w:val="0"/>
                <w:color w:val="000000" w:themeColor="text1"/>
                <w:kern w:val="0"/>
                <w:sz w:val="36"/>
                <w:szCs w:val="36"/>
                <w:highlight w:val="none"/>
                <w:u w:val="none"/>
                <w:lang w:val="en-US" w:eastAsia="zh-CN" w:bidi="ar"/>
                <w14:textFill>
                  <w14:solidFill>
                    <w14:schemeClr w14:val="tx1"/>
                  </w14:solidFill>
                </w14:textFill>
              </w:rPr>
              <w:t>文件</w:t>
            </w:r>
          </w:p>
        </w:tc>
      </w:tr>
      <w:tr w14:paraId="3C62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0" w:type="auto"/>
            <w:gridSpan w:val="8"/>
            <w:tcBorders>
              <w:top w:val="nil"/>
              <w:left w:val="nil"/>
              <w:bottom w:val="nil"/>
              <w:right w:val="nil"/>
            </w:tcBorders>
            <w:noWrap w:val="0"/>
            <w:vAlign w:val="center"/>
          </w:tcPr>
          <w:p w14:paraId="51B43B92">
            <w:pPr>
              <w:keepNext w:val="0"/>
              <w:keepLines w:val="0"/>
              <w:widowControl/>
              <w:suppressLineNumbers w:val="0"/>
              <w:jc w:val="lef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说明：</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1、本采购需求</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成交</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注▲号的内容为实质性要求和条件，竞价人须满足或响应，若无法完全满足，视为无效竞价。</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2、竞价时必须上传响应文件，响应文件内容包含报价清单（注明所投品牌型号）、商务条款偏离表（注明“正偏离”、“负偏离”或“无偏离”）、技术需求偏离表（注明“正偏离”、“负偏离”或“无偏离”）和“采购需求”中的“技术参数要求”要求提供的相关检测报告</w:t>
            </w: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、承诺函</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复印件等，如所提供的响应文件内容不全或者不符的，视为无效竞价；本项目仅接受意向品牌的产品参与报价，意向品牌以外的产品报价无效。</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3、竞价人必须认真审核</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采购</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文件所有要求，若发现竞价人存在未实质性响应</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采购</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文件行为，将视为无效竞价处理；如明知不满足竞价文件对于品牌、型号、单位资质等要求而进行恶意竞争的，或因竞价人虚假竞价导致竞价无效造成的工期延误及损失，将根据《政采云平台电子卖场权益维护及纠纷处理规则》的规定报有关部门处理，并在税务采购网平台列为失信供应商记录备案。</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4、竞价人竞价时提供的证明材料应真实，如出现虚假应标情况，竞价人除了应接受有关部门的处罚外，还应依据《中华人民共和国民法典》的相关条款来确定赔偿金额。</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5、本次货物采购最高限价为人民币529000元。货物分项最高限价详见表格。</w:t>
            </w:r>
          </w:p>
        </w:tc>
      </w:tr>
      <w:tr w14:paraId="76439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ABB6F3">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06A2B4">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货物名称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711715">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意向品牌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DBA10B">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技术参数要求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E31FB4">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CD85BD">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54E957">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最高限价单价（元）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BA0A18">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最高限价单项合计金额（元）</w:t>
            </w:r>
          </w:p>
        </w:tc>
      </w:tr>
      <w:tr w14:paraId="5372C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3DCEB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60EF1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UPS配电一体柜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F12F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H3C UPS-Y25-150-B</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D3D2A0">
            <w:pPr>
              <w:keepNext w:val="0"/>
              <w:keepLines w:val="0"/>
              <w:widowControl/>
              <w:numPr>
                <w:ilvl w:val="0"/>
                <w:numId w:val="1"/>
              </w:numPr>
              <w:suppressLineNumbers w:val="0"/>
              <w:jc w:val="left"/>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UPS配电一体柜应支持集成模块化UPS、进线开关、UPS输入开关、UPS输出开关、维修旁路、IT配电、空调配电及照明配电于单一柜体内，行级空调直接从一体化UPS供电，具备主支路监测功能，10英寸触摸屏。一体化UPS机框容量不小于150KVA</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2.支持主路开关不小于1*400A/3P、UPS输入,输出开关：2*250A/3P维修旁路开关(带锁)1*250A/4P、UPS输出支路：24*40A/1P、市电输出开关：4*63A/3P空调，24*40A/1P、防雷模块不低于C级防雷模块。</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3.为保证UPS产品的高效节能、绿色环保，UPS输入功率因数高达0.99，整机效率＞95%。</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4.UPS系统采用分散非主从控制方式，每个功率模块采用独立的双DSP控制技术，单个模块可独立运行，不依赖集中控制器控制，具备不转旁路热插拔功能，使整个系统独立性增强，互相干扰少。</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5.要求整机采用集中旁路设计，静态旁路模块采用大功率SCR集成模块，杜绝采用小功率单管SCR+继电器方案，避免旁路造成环流问题而引发故障。</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6.模块化UPS的所有模块包括旁路单元、控制单元、功率单元、充电单元等均须支持在线热插拔，达到所有模块全冗余方式，提升系统高可靠性及高可用性。</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7.为便于操作和维护，系统显示须采用7英寸及以上LCD大屏幕触摸屏+LED+按键方式，可提供简体中文、英文、繁体中文及法文四种语言显示。系统应采用分散充电设计，每个功率模块应具有独立的充电功能，避免充电器单点故障，提高系统的可靠性；充电功率可进行1～20%的设置。</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8.输出电流不均衡度≤0.9%。所有电路板均需要采用三防工艺，确保在低恶劣环境下的使用寿命。UPS输出功率因数必须为1，以便与负载完美匹配。系统须满足下述过载能力： 125%额定阻性负载＞10分钟后转旁路输出。机柜之间可以直接并机运行、支持≥3台并机。</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9.电池组节数可进行±32～±40节设置，便于未来遭遇个别电池故障需要维护、更换时, 可灵活调节电池节数的需要。</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10.具备智能休眠模式，当模块的负载率小于休眠负载级别时，控制器根据当前负载量来决定进入休眠模式的模块数量，并在根据所设置的轮休时间来进行休眠轮换，以节省能耗真正实现绿色节能，同时提高系统综合使用寿命。</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11. UPS为保证UPS的先进性，具有CE检测报告</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竞标时</w:t>
            </w:r>
            <w:r>
              <w:rPr>
                <w:rFonts w:hint="eastAsia" w:ascii="宋体" w:hAnsi="宋体" w:cs="宋体"/>
                <w:color w:val="000000" w:themeColor="text1"/>
                <w:sz w:val="24"/>
                <w:highlight w:val="none"/>
                <w:lang w:val="en-US" w:eastAsia="zh-CN"/>
                <w14:textFill>
                  <w14:solidFill>
                    <w14:schemeClr w14:val="tx1"/>
                  </w14:solidFill>
                </w14:textFill>
              </w:rPr>
              <w:t>提供</w:t>
            </w:r>
            <w:r>
              <w:rPr>
                <w:rFonts w:hint="eastAsia" w:ascii="宋体" w:hAnsi="宋体" w:cs="宋体"/>
                <w:color w:val="000000" w:themeColor="text1"/>
                <w:sz w:val="24"/>
                <w:highlight w:val="none"/>
                <w:lang w:eastAsia="zh-CN"/>
                <w14:textFill>
                  <w14:solidFill>
                    <w14:schemeClr w14:val="tx1"/>
                  </w14:solidFill>
                </w14:textFill>
              </w:rPr>
              <w:t>U</w:t>
            </w:r>
            <w:r>
              <w:rPr>
                <w:rFonts w:hint="eastAsia" w:ascii="宋体" w:hAnsi="宋体" w:cs="宋体"/>
                <w:color w:val="000000" w:themeColor="text1"/>
                <w:sz w:val="24"/>
                <w:highlight w:val="none"/>
                <w:lang w:val="en-US" w:eastAsia="zh-CN"/>
                <w14:textFill>
                  <w14:solidFill>
                    <w14:schemeClr w14:val="tx1"/>
                  </w14:solidFill>
                </w14:textFill>
              </w:rPr>
              <w:t>PS的</w:t>
            </w:r>
            <w:r>
              <w:rPr>
                <w:rFonts w:hint="eastAsia" w:ascii="宋体" w:hAnsi="宋体" w:cs="宋体"/>
                <w:color w:val="000000" w:themeColor="text1"/>
                <w:sz w:val="24"/>
                <w:highlight w:val="none"/>
                <w14:textFill>
                  <w14:solidFill>
                    <w14:schemeClr w14:val="tx1"/>
                  </w14:solidFill>
                </w14:textFill>
              </w:rPr>
              <w:t>CE检测报告</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12.UPS应满足《不间断电源节能认证技术规范》。</w:t>
            </w:r>
            <w:r>
              <w:rPr>
                <w:rFonts w:hint="eastAsia" w:ascii="宋体" w:hAnsi="宋体" w:cs="宋体"/>
                <w:color w:val="000000" w:themeColor="text1"/>
                <w:sz w:val="24"/>
                <w:highlight w:val="none"/>
                <w14:textFill>
                  <w14:solidFill>
                    <w14:schemeClr w14:val="tx1"/>
                  </w14:solidFill>
                </w14:textFill>
              </w:rPr>
              <w:t>竞标时提供</w:t>
            </w:r>
            <w:r>
              <w:rPr>
                <w:rFonts w:hint="eastAsia" w:ascii="宋体" w:hAnsi="宋体" w:cs="宋体"/>
                <w:color w:val="000000" w:themeColor="text1"/>
                <w:sz w:val="24"/>
                <w:highlight w:val="none"/>
                <w:lang w:val="en-US" w:eastAsia="zh-CN"/>
                <w14:textFill>
                  <w14:solidFill>
                    <w14:schemeClr w14:val="tx1"/>
                  </w14:solidFill>
                </w14:textFill>
              </w:rPr>
              <w:t>节能认证截图</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13.一体化UPS各支路输出电压显示误差应≤0.1%。</w:t>
            </w:r>
          </w:p>
          <w:p w14:paraId="75A584B1">
            <w:pPr>
              <w:keepNext w:val="0"/>
              <w:keepLines w:val="0"/>
              <w:widowControl/>
              <w:numPr>
                <w:ilvl w:val="-1"/>
                <w:numId w:val="0"/>
              </w:numPr>
              <w:suppressLineNumbers w:val="0"/>
              <w:jc w:val="left"/>
              <w:textAlignment w:val="center"/>
              <w:rPr>
                <w:rFonts w:hint="default"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14</w:t>
            </w:r>
            <w:r>
              <w:rPr>
                <w:rFonts w:hint="default"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所投产品须安装到现有模块化机柜内，设备尺寸需要达到现有模块化机柜安装条件，做到无缝安装。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DF80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3446A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E1C482">
            <w:pPr>
              <w:keepNext w:val="0"/>
              <w:keepLines w:val="0"/>
              <w:widowControl/>
              <w:suppressLineNumbers w:val="0"/>
              <w:jc w:val="center"/>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140000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FCC987">
            <w:pPr>
              <w:keepNext w:val="0"/>
              <w:keepLines w:val="0"/>
              <w:widowControl/>
              <w:suppressLineNumbers w:val="0"/>
              <w:jc w:val="center"/>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140000</w:t>
            </w:r>
          </w:p>
        </w:tc>
      </w:tr>
      <w:tr w14:paraId="1B0C4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35120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7BA64D">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功率模块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655E9C">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H3C UPS-MM25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386DE7">
            <w:pPr>
              <w:keepNext w:val="0"/>
              <w:keepLines w:val="0"/>
              <w:widowControl/>
              <w:numPr>
                <w:ilvl w:val="0"/>
                <w:numId w:val="2"/>
              </w:numPr>
              <w:suppressLineNumbers w:val="0"/>
              <w:jc w:val="left"/>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UPS配套使用功率模块，单块容量不小于25KVA，三进三出；</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2.输入输出电压：380V/380V</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3.50%额定阻性负载情况下，功率模块效率＞95%；</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4.具有故障自动退出功能，系统运行中，如果功率模块发生故障，故障模块应自动退出运行，不影响系统输出；</w:t>
            </w:r>
          </w:p>
          <w:p w14:paraId="4060945D">
            <w:pPr>
              <w:keepNext w:val="0"/>
              <w:keepLines w:val="0"/>
              <w:widowControl/>
              <w:numPr>
                <w:ilvl w:val="-1"/>
                <w:numId w:val="0"/>
              </w:numPr>
              <w:suppressLineNumbers w:val="0"/>
              <w:jc w:val="left"/>
              <w:textAlignment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5</w:t>
            </w:r>
            <w:r>
              <w:rPr>
                <w:rFonts w:hint="default"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所投产品须安装到现有模块化机柜内，设备尺寸需要达到现有模块化机柜安装条件，做到无缝安装。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FE24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72E44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DA0230">
            <w:pPr>
              <w:keepNext w:val="0"/>
              <w:keepLines w:val="0"/>
              <w:widowControl/>
              <w:suppressLineNumbers w:val="0"/>
              <w:jc w:val="center"/>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30000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75683E">
            <w:pPr>
              <w:keepNext w:val="0"/>
              <w:keepLines w:val="0"/>
              <w:widowControl/>
              <w:suppressLineNumbers w:val="0"/>
              <w:jc w:val="center"/>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90000</w:t>
            </w:r>
          </w:p>
        </w:tc>
      </w:tr>
      <w:tr w14:paraId="19D8F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4E94A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F466D0">
            <w:pPr>
              <w:widowControl/>
              <w:jc w:val="left"/>
              <w:textAlignment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智慧机房铅酸蓄电池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A10F25">
            <w:pPr>
              <w:widowControl/>
              <w:jc w:val="left"/>
              <w:textAlignment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双登 6-GFM-200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1FF51C">
            <w:pPr>
              <w:keepNext w:val="0"/>
              <w:keepLines w:val="0"/>
              <w:widowControl/>
              <w:numPr>
                <w:ilvl w:val="0"/>
                <w:numId w:val="3"/>
              </w:numPr>
              <w:suppressLineNumbers w:val="0"/>
              <w:jc w:val="left"/>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蓄电池规格为12V200AH；</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2.蓄电池的连续浮充工作寿命应不少于5年（使用环境温度25℃）。</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3.蓄电池应能承受50kPa的正压或负压而不破裂，压力释放后壳体无残余变形。在正常工作中应无酸雾逸出；在充电过程中遇有明火，内部不应引爆；</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4.蓄电池的安全阀应具有滤酸和自动开启、自动关闭的功能，其开阀压力应为10kPa～49kPa，闭阀压力应为1kPa～20kPa。</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5.蓄电池在使用中应无渗液、漏液、爬液和膨胀现象。极性正确，正负极性及端子有明显标志，便于连接。</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6.含1组电池配套电池连接线、电池架、电池开关和电池开关箱；支持负载40.8KW，延时60分钟。</w:t>
            </w:r>
          </w:p>
          <w:p w14:paraId="24F4C771">
            <w:pPr>
              <w:keepNext w:val="0"/>
              <w:keepLines w:val="0"/>
              <w:widowControl/>
              <w:numPr>
                <w:ilvl w:val="-1"/>
                <w:numId w:val="0"/>
              </w:numPr>
              <w:suppressLineNumbers w:val="0"/>
              <w:jc w:val="left"/>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7</w:t>
            </w:r>
            <w:r>
              <w:rPr>
                <w:rFonts w:hint="default"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所投产品须安装到现有模块化机柜内，设备尺寸需要达到现有模块化机柜安装条件，做到无缝安装。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E6EA11">
            <w:pPr>
              <w:keepNext w:val="0"/>
              <w:keepLines w:val="0"/>
              <w:widowControl/>
              <w:suppressLineNumbers w:val="0"/>
              <w:jc w:val="center"/>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CC256A">
            <w:pPr>
              <w:keepNext w:val="0"/>
              <w:keepLines w:val="0"/>
              <w:widowControl/>
              <w:suppressLineNumbers w:val="0"/>
              <w:jc w:val="center"/>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1FB8D4">
            <w:pPr>
              <w:keepNext w:val="0"/>
              <w:keepLines w:val="0"/>
              <w:widowControl/>
              <w:suppressLineNumbers w:val="0"/>
              <w:jc w:val="center"/>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1800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6FD268">
            <w:pPr>
              <w:keepNext w:val="0"/>
              <w:keepLines w:val="0"/>
              <w:widowControl/>
              <w:suppressLineNumbers w:val="0"/>
              <w:jc w:val="center"/>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72000</w:t>
            </w:r>
          </w:p>
        </w:tc>
      </w:tr>
      <w:tr w14:paraId="5486E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F0277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7F8280">
            <w:pPr>
              <w:widowControl/>
              <w:jc w:val="left"/>
              <w:textAlignment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列间空调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071C6E">
            <w:pPr>
              <w:widowControl/>
              <w:jc w:val="left"/>
              <w:textAlignment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H3C KT-LFP-40-WS</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0A1686">
            <w:pPr>
              <w:widowControl/>
              <w:numPr>
                <w:ilvl w:val="0"/>
                <w:numId w:val="4"/>
              </w:numPr>
              <w:jc w:val="left"/>
              <w:textAlignment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尺寸：宽度600mm，高度深度与服务器机柜一致；总冷量≥42kw，显冷量≥42kw，风量≥8500m3/h，加湿量≥3kg/h，加热量≥6kW，水平送风模式；</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2.可以实现常温情况下最低10%的IT负载（即制冷量的10%）稳定除湿量功能，降低高湿环境下数据中心低载运行的IT设备结露风险。</w:t>
            </w:r>
            <w:r>
              <w:rPr>
                <w:rFonts w:hint="eastAsia" w:ascii="宋体" w:hAnsi="宋体" w:cs="宋体"/>
                <w:color w:val="000000" w:themeColor="text1"/>
                <w:sz w:val="24"/>
                <w:highlight w:val="none"/>
                <w14:textFill>
                  <w14:solidFill>
                    <w14:schemeClr w14:val="tx1"/>
                  </w14:solidFill>
                </w14:textFill>
              </w:rPr>
              <w:t>竞标时</w:t>
            </w:r>
            <w:r>
              <w:rPr>
                <w:rFonts w:hint="eastAsia" w:ascii="宋体" w:hAnsi="宋体" w:cs="宋体"/>
                <w:color w:val="000000" w:themeColor="text1"/>
                <w:sz w:val="24"/>
                <w:highlight w:val="none"/>
                <w:lang w:val="en-US" w:eastAsia="zh-CN"/>
                <w14:textFill>
                  <w14:solidFill>
                    <w14:schemeClr w14:val="tx1"/>
                  </w14:solidFill>
                </w14:textFill>
              </w:rPr>
              <w:t>提供第三方检测报告证明。</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3.精密空调室内机采用高效工业用直流变频压缩机，可实现10%～100%宽冷量输出，压缩机品牌要求采用三菱、日立、谷轮或同档次及以上产品。；</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4.为了相应国家节能节耗政策，要求空调全年能效比应不小于4.1；</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5.具≥7寸LCD的真彩触摸显示屏，可以显示设备的运行模式与状态，并可设定设备参数，实现良好的人机交互.</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6.机组具备联动与群控功能，群控采用高速、灵活的CAN通讯协议，同一区域可以将≥32套机组进行统一控制管理；</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7.室内风机：要求采用高效后倾离心式EC风机。风机N+1冗余配置，风机数量≤3个，任意风机故障，仍可确保全风量运行；机房列间空调应有较大的送风量。</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8.要求空调机组设备符合GB19413相关标准，经中国制冷空调设备产业联盟、中国制冷空调工业协会、中国冷冻空调设备标准化技术委员会联合确认的中国机房空调专业认证，并通过相关证书。</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9.满足CE认证要求。</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10.空调应满足《单元式空气调节机能效限定值及能效等级》。</w:t>
            </w:r>
            <w:r>
              <w:rPr>
                <w:rFonts w:hint="eastAsia" w:ascii="宋体" w:hAnsi="宋体" w:cs="宋体"/>
                <w:color w:val="000000" w:themeColor="text1"/>
                <w:sz w:val="24"/>
                <w:highlight w:val="none"/>
                <w:lang w:val="en-US" w:eastAsia="zh-CN"/>
                <w14:textFill>
                  <w14:solidFill>
                    <w14:schemeClr w14:val="tx1"/>
                  </w14:solidFill>
                </w14:textFill>
              </w:rPr>
              <w:t>竞标时</w:t>
            </w:r>
            <w:r>
              <w:rPr>
                <w:rFonts w:hint="eastAsia" w:ascii="宋体" w:hAnsi="宋体" w:eastAsia="宋体" w:cs="宋体"/>
                <w:color w:val="000000" w:themeColor="text1"/>
                <w:sz w:val="24"/>
                <w:highlight w:val="none"/>
                <w14:textFill>
                  <w14:solidFill>
                    <w14:schemeClr w14:val="tx1"/>
                  </w14:solidFill>
                </w14:textFill>
              </w:rPr>
              <w:t>提供节能认证</w:t>
            </w:r>
            <w:r>
              <w:rPr>
                <w:rFonts w:hint="eastAsia" w:ascii="宋体" w:hAnsi="宋体" w:cs="宋体"/>
                <w:color w:val="000000" w:themeColor="text1"/>
                <w:sz w:val="24"/>
                <w:highlight w:val="none"/>
                <w:lang w:val="en-US" w:eastAsia="zh-CN"/>
                <w14:textFill>
                  <w14:solidFill>
                    <w14:schemeClr w14:val="tx1"/>
                  </w14:solidFill>
                </w14:textFill>
              </w:rPr>
              <w:t>截图证明</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11.支持空调机组380V±15%，50Hz±2Hz范围供电，适应恶劣电网环境。</w:t>
            </w:r>
            <w:r>
              <w:rPr>
                <w:rFonts w:hint="eastAsia" w:ascii="宋体" w:hAnsi="宋体" w:cs="宋体"/>
                <w:color w:val="000000" w:themeColor="text1"/>
                <w:sz w:val="24"/>
                <w:highlight w:val="none"/>
                <w14:textFill>
                  <w14:solidFill>
                    <w14:schemeClr w14:val="tx1"/>
                  </w14:solidFill>
                </w14:textFill>
              </w:rPr>
              <w:t>竞标时须</w:t>
            </w:r>
            <w:r>
              <w:rPr>
                <w:rFonts w:hint="eastAsia" w:ascii="宋体" w:hAnsi="宋体" w:cs="宋体"/>
                <w:color w:val="000000" w:themeColor="text1"/>
                <w:sz w:val="24"/>
                <w:highlight w:val="none"/>
                <w:lang w:val="en-US" w:eastAsia="zh-CN"/>
                <w14:textFill>
                  <w14:solidFill>
                    <w14:schemeClr w14:val="tx1"/>
                  </w14:solidFill>
                </w14:textFill>
              </w:rPr>
              <w:t>提供第三方检测报告证明。</w:t>
            </w:r>
          </w:p>
          <w:p w14:paraId="05B1143D">
            <w:pPr>
              <w:widowControl/>
              <w:numPr>
                <w:ilvl w:val="-1"/>
                <w:numId w:val="0"/>
              </w:numPr>
              <w:jc w:val="left"/>
              <w:textAlignment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12</w:t>
            </w:r>
            <w:r>
              <w:rPr>
                <w:rFonts w:hint="default"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所投产品须安装到现有模块化机柜内，设备尺寸需要达到现有模块化机柜安装条件，做到无缝安装。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A59E5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009BA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AA66A6">
            <w:pPr>
              <w:keepNext w:val="0"/>
              <w:keepLines w:val="0"/>
              <w:widowControl/>
              <w:suppressLineNumbers w:val="0"/>
              <w:jc w:val="center"/>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113500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5F06F2">
            <w:pPr>
              <w:keepNext w:val="0"/>
              <w:keepLines w:val="0"/>
              <w:widowControl/>
              <w:suppressLineNumbers w:val="0"/>
              <w:jc w:val="center"/>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227000</w:t>
            </w:r>
          </w:p>
        </w:tc>
      </w:tr>
      <w:tr w14:paraId="307C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7"/>
            <w:tcBorders>
              <w:top w:val="single" w:color="000000" w:sz="4" w:space="0"/>
              <w:left w:val="single" w:color="000000" w:sz="4" w:space="0"/>
              <w:bottom w:val="single" w:color="000000" w:sz="4" w:space="0"/>
              <w:right w:val="single" w:color="000000" w:sz="4" w:space="0"/>
            </w:tcBorders>
            <w:noWrap w:val="0"/>
            <w:vAlign w:val="center"/>
          </w:tcPr>
          <w:p w14:paraId="39F73EA7">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上控价合计金额</w:t>
            </w: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 xml:space="preserve"> 伍拾贰万玖仟元整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90AECD">
            <w:pPr>
              <w:keepNext w:val="0"/>
              <w:keepLines w:val="0"/>
              <w:widowControl/>
              <w:suppressLineNumbers w:val="0"/>
              <w:jc w:val="center"/>
              <w:textAlignment w:val="center"/>
              <w:rPr>
                <w:rFonts w:hint="default" w:ascii="宋体" w:hAnsi="宋体" w:eastAsia="宋体" w:cs="宋体"/>
                <w:b/>
                <w:bCs/>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529000</w:t>
            </w:r>
          </w:p>
        </w:tc>
      </w:tr>
      <w:tr w14:paraId="1336D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8"/>
            <w:tcBorders>
              <w:top w:val="single" w:color="000000" w:sz="4" w:space="0"/>
              <w:left w:val="single" w:color="000000" w:sz="4" w:space="0"/>
              <w:bottom w:val="single" w:color="000000" w:sz="4" w:space="0"/>
              <w:right w:val="single" w:color="000000" w:sz="4" w:space="0"/>
            </w:tcBorders>
            <w:noWrap/>
            <w:vAlign w:val="center"/>
          </w:tcPr>
          <w:p w14:paraId="1982817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商务条款要求</w:t>
            </w:r>
          </w:p>
        </w:tc>
      </w:tr>
      <w:tr w14:paraId="7C947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0" w:hRule="atLeast"/>
        </w:trPr>
        <w:tc>
          <w:tcPr>
            <w:tcW w:w="0" w:type="auto"/>
            <w:gridSpan w:val="8"/>
            <w:tcBorders>
              <w:top w:val="single" w:color="000000" w:sz="4" w:space="0"/>
              <w:left w:val="single" w:color="000000" w:sz="4" w:space="0"/>
              <w:bottom w:val="single" w:color="000000" w:sz="4" w:space="0"/>
              <w:right w:val="single" w:color="000000" w:sz="4" w:space="0"/>
            </w:tcBorders>
            <w:noWrap w:val="0"/>
            <w:vAlign w:val="center"/>
          </w:tcPr>
          <w:p w14:paraId="3AA5DC99">
            <w:pPr>
              <w:keepNext w:val="0"/>
              <w:keepLines w:val="0"/>
              <w:widowControl/>
              <w:numPr>
                <w:ilvl w:val="-1"/>
                <w:numId w:val="0"/>
              </w:numPr>
              <w:suppressLineNumbers w:val="0"/>
              <w:ind w:firstLine="660" w:firstLineChars="300"/>
              <w:jc w:val="left"/>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合同签订期：自</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成交</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通知书发出之日起 </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10</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天内</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签订</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▲二、交付时间：自签订合同之日起</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15</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个日历日内安装调试完毕并合格交付使用；供应商逾期交付货物的，应按逾期交付价值总额每日千分之十的标准向采购方支付违约金，由采购方从待付货款中直接扣除，供应商逾期时间超过3天仍不能交付的，视为不能履约，采购方可解除采购合同，供应商需支付合同款20%的违约金。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▲三、交货地点：崇左市内（采购人指定地点）；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▲四、质保期：按国家有关产品“三包”规定执行“三包”，自货物验收合格之日起计算，产品质保期不少于</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年（厂家质保期超过此年限的按厂家规定执行）。</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五、付款方式：合同签订后5个工作日内采购人向供应商预付</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0%合同款，供应商安装调试完毕并经采购人验收合格后，5个工作日内采购人向供应商支付</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0%合同款。 采购人付款前，成交人应向采购人开具等额有效的增值税专用发票，采购人未收到发票的，有权不予支付相应款项直至成交人提供合格发票，并不承担延迟付款责任。发票认证通过是付款的必要前提之一。</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六、质量保障要求：</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1、竞价时必须上传响应文件，响应文件内容包含报价清单（注明所投品牌型号）、商务条款偏离表（注明“正偏离”、“负偏离”或“无偏离”）、技术需求偏离表（注明“正偏离”、“负偏离”或“无偏离”）和“采购需求”中的“技术参数要求”要求提供的相关</w:t>
            </w: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材料</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复印件等，如所提供的响应文件内容不全或者不符的，视为无效竞价；本项目仅接受意向品牌的产品参与报价，意向品牌以外的产品报价无效。</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▲2、为了保障产品性能符合竞价文件要求，防止虚假应标，竞标时必须提供与</w:t>
            </w: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标“</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技术参数要求及功能符合的</w:t>
            </w: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“检测报告或功能截图”作</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为合同确认的标准依据，如出现所提供</w:t>
            </w: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产品</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不符技术参数要求或无法提供所有</w:t>
            </w: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“检测报告或功能截图”</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，均视为虚假应标处理，采购人有权拒签合同，并取消其</w:t>
            </w: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成交</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资格；如出现以上虚假应标行为，采购人有权依法追求法律责任，并将依法向政采云平台举报，上报政府采购监管部门，予以禁止报价、扣除诚信分等处罚，政采云全平台各区划联动生效。</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 xml:space="preserve"> ▲3、正品保障：</w:t>
            </w:r>
          </w:p>
          <w:p w14:paraId="1BBE9C10">
            <w:pPr>
              <w:keepNext w:val="0"/>
              <w:keepLines w:val="0"/>
              <w:widowControl/>
              <w:numPr>
                <w:ilvl w:val="-1"/>
                <w:numId w:val="0"/>
              </w:numPr>
              <w:suppressLineNumbers w:val="0"/>
              <w:ind w:firstLine="663" w:firstLineChars="300"/>
              <w:jc w:val="left"/>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1、</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本项目</w:t>
            </w: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成交</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供应商必须按采购需求中意向的品牌进行供货，不接受意向品牌外的产品，供应商不得以任何理由更改设备的品牌、型号、配置，配置必须是原厂出厂配置，不接受出厂后加装</w:t>
            </w: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 xml:space="preserve"> </w:t>
            </w:r>
          </w:p>
          <w:p w14:paraId="1E1DFD53">
            <w:pPr>
              <w:keepNext w:val="0"/>
              <w:keepLines w:val="0"/>
              <w:widowControl/>
              <w:numPr>
                <w:ilvl w:val="-1"/>
                <w:numId w:val="0"/>
              </w:numPr>
              <w:suppressLineNumbers w:val="0"/>
              <w:ind w:firstLine="663" w:firstLineChars="300"/>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b/>
                <w:bCs/>
                <w:color w:val="000000" w:themeColor="text1"/>
                <w:kern w:val="0"/>
                <w:sz w:val="22"/>
                <w:szCs w:val="22"/>
                <w:highlight w:val="none"/>
                <w:u w:val="none"/>
                <w:lang w:val="en-US" w:eastAsia="zh-CN" w:bidi="ar"/>
                <w14:textFill>
                  <w14:solidFill>
                    <w14:schemeClr w14:val="tx1"/>
                  </w14:solidFill>
                </w14:textFill>
              </w:rPr>
              <w:t>2、</w:t>
            </w:r>
            <w:r>
              <w:rPr>
                <w:rFonts w:hint="eastAsia" w:ascii="宋体" w:hAnsi="宋体" w:cs="宋体"/>
                <w:b/>
                <w:bCs/>
                <w:color w:val="000000" w:themeColor="text1"/>
                <w:kern w:val="0"/>
                <w:sz w:val="22"/>
                <w:szCs w:val="22"/>
                <w:highlight w:val="none"/>
                <w:u w:val="none"/>
                <w:lang w:bidi="ar"/>
                <w14:textFill>
                  <w14:solidFill>
                    <w14:schemeClr w14:val="tx1"/>
                  </w14:solidFill>
                </w14:textFill>
              </w:rPr>
              <w:t>供货时，成交供应商须提供设备品牌方出具的符合国家及行业通用标准的产品序列号核验确认文件、合法有效的供货证明及售后服务承诺文件，作为验收及售后保障依据，否则不予验收。</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售后服务要求：处理问题响应时间：设备出现故障，技术维护力量1小时内到达现场，到达现场后3小时内解决问题，并免费更换有缺陷的货物或零部件，一般故障处理时限不超过6小时，6小时内不能修复的，提供替代品。</w:t>
            </w:r>
          </w:p>
          <w:p w14:paraId="7096E93C">
            <w:pPr>
              <w:keepNext w:val="0"/>
              <w:keepLines w:val="0"/>
              <w:widowControl/>
              <w:numPr>
                <w:ilvl w:val="-1"/>
                <w:numId w:val="0"/>
              </w:numPr>
              <w:suppressLineNumbers w:val="0"/>
              <w:ind w:firstLine="0" w:firstLineChars="0"/>
              <w:jc w:val="left"/>
              <w:textAlignment w:val="cente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八、履约保证金及验收要求</w:t>
            </w:r>
          </w:p>
          <w:p w14:paraId="3413910B">
            <w:pPr>
              <w:keepNext w:val="0"/>
              <w:keepLines w:val="0"/>
              <w:widowControl/>
              <w:numPr>
                <w:ilvl w:val="-1"/>
                <w:numId w:val="0"/>
              </w:numPr>
              <w:suppressLineNumbers w:val="0"/>
              <w:ind w:firstLine="663" w:firstLineChars="300"/>
              <w:jc w:val="left"/>
              <w:textAlignment w:val="center"/>
              <w:rPr>
                <w:rFonts w:hint="default" w:ascii="宋体" w:hAnsi="宋体" w:cs="宋体"/>
                <w:b/>
                <w:bCs/>
                <w:color w:val="000000" w:themeColor="text1"/>
                <w:kern w:val="0"/>
                <w:sz w:val="22"/>
                <w:szCs w:val="22"/>
                <w:highlight w:val="none"/>
                <w:u w:val="none"/>
                <w:lang w:bidi="ar"/>
                <w14:textFill>
                  <w14:solidFill>
                    <w14:schemeClr w14:val="tx1"/>
                  </w14:solidFill>
                </w14:textFill>
              </w:rPr>
            </w:pPr>
            <w:r>
              <w:rPr>
                <w:rFonts w:hint="default" w:ascii="宋体" w:hAnsi="宋体" w:cs="宋体"/>
                <w:b/>
                <w:bCs/>
                <w:color w:val="000000" w:themeColor="text1"/>
                <w:kern w:val="0"/>
                <w:sz w:val="22"/>
                <w:szCs w:val="22"/>
                <w:highlight w:val="none"/>
                <w:u w:val="none"/>
                <w:lang w:bidi="ar"/>
                <w14:textFill>
                  <w14:solidFill>
                    <w14:schemeClr w14:val="tx1"/>
                  </w14:solidFill>
                </w14:textFill>
              </w:rPr>
              <w:t>成交单位在签订合同前，须按成交金额的5%（如为中小型企业，按成交金额的2%收取）缴纳合同履约保证金转至采购单位以下银行账户：</w:t>
            </w:r>
          </w:p>
          <w:p w14:paraId="64B8A5FC">
            <w:pPr>
              <w:keepNext w:val="0"/>
              <w:keepLines w:val="0"/>
              <w:widowControl/>
              <w:numPr>
                <w:ilvl w:val="-1"/>
                <w:numId w:val="0"/>
              </w:numPr>
              <w:suppressLineNumbers w:val="0"/>
              <w:ind w:firstLine="663" w:firstLineChars="300"/>
              <w:jc w:val="left"/>
              <w:textAlignment w:val="center"/>
              <w:rPr>
                <w:rFonts w:hint="default" w:ascii="宋体" w:hAnsi="宋体" w:cs="宋体"/>
                <w:b/>
                <w:bCs/>
                <w:color w:val="000000" w:themeColor="text1"/>
                <w:kern w:val="0"/>
                <w:sz w:val="22"/>
                <w:szCs w:val="22"/>
                <w:highlight w:val="none"/>
                <w:u w:val="none"/>
                <w:lang w:bidi="ar"/>
                <w14:textFill>
                  <w14:solidFill>
                    <w14:schemeClr w14:val="tx1"/>
                  </w14:solidFill>
                </w14:textFill>
              </w:rPr>
            </w:pPr>
            <w:r>
              <w:rPr>
                <w:rFonts w:hint="default" w:ascii="宋体" w:hAnsi="宋体" w:cs="宋体"/>
                <w:b/>
                <w:bCs/>
                <w:color w:val="000000" w:themeColor="text1"/>
                <w:kern w:val="0"/>
                <w:sz w:val="22"/>
                <w:szCs w:val="22"/>
                <w:highlight w:val="none"/>
                <w:u w:val="none"/>
                <w:lang w:bidi="ar"/>
                <w14:textFill>
                  <w14:solidFill>
                    <w14:schemeClr w14:val="tx1"/>
                  </w14:solidFill>
                </w14:textFill>
              </w:rPr>
              <w:t>户名：广西自然资源职业技术学院</w:t>
            </w:r>
          </w:p>
          <w:p w14:paraId="7F7F3ADB">
            <w:pPr>
              <w:keepNext w:val="0"/>
              <w:keepLines w:val="0"/>
              <w:widowControl/>
              <w:numPr>
                <w:ilvl w:val="-1"/>
                <w:numId w:val="0"/>
              </w:numPr>
              <w:suppressLineNumbers w:val="0"/>
              <w:ind w:firstLine="663" w:firstLineChars="300"/>
              <w:jc w:val="left"/>
              <w:textAlignment w:val="center"/>
              <w:rPr>
                <w:rFonts w:hint="default" w:ascii="宋体" w:hAnsi="宋体" w:cs="宋体"/>
                <w:b/>
                <w:bCs/>
                <w:color w:val="000000" w:themeColor="text1"/>
                <w:kern w:val="0"/>
                <w:sz w:val="22"/>
                <w:szCs w:val="22"/>
                <w:highlight w:val="none"/>
                <w:u w:val="none"/>
                <w:lang w:bidi="ar"/>
                <w14:textFill>
                  <w14:solidFill>
                    <w14:schemeClr w14:val="tx1"/>
                  </w14:solidFill>
                </w14:textFill>
              </w:rPr>
            </w:pPr>
            <w:r>
              <w:rPr>
                <w:rFonts w:hint="default" w:ascii="宋体" w:hAnsi="宋体" w:cs="宋体"/>
                <w:b/>
                <w:bCs/>
                <w:color w:val="000000" w:themeColor="text1"/>
                <w:kern w:val="0"/>
                <w:sz w:val="22"/>
                <w:szCs w:val="22"/>
                <w:highlight w:val="none"/>
                <w:u w:val="none"/>
                <w:lang w:bidi="ar"/>
                <w14:textFill>
                  <w14:solidFill>
                    <w14:schemeClr w14:val="tx1"/>
                  </w14:solidFill>
                </w14:textFill>
              </w:rPr>
              <w:t>开户银行：中国建设银行股份有限公司南宁园湖北路支行</w:t>
            </w:r>
          </w:p>
          <w:p w14:paraId="61139DB2">
            <w:pPr>
              <w:keepNext w:val="0"/>
              <w:keepLines w:val="0"/>
              <w:widowControl/>
              <w:numPr>
                <w:ilvl w:val="-1"/>
                <w:numId w:val="0"/>
              </w:numPr>
              <w:suppressLineNumbers w:val="0"/>
              <w:ind w:firstLine="663" w:firstLineChars="300"/>
              <w:jc w:val="left"/>
              <w:textAlignment w:val="center"/>
              <w:rPr>
                <w:rFonts w:hint="default" w:ascii="宋体" w:hAnsi="宋体" w:cs="宋体"/>
                <w:b/>
                <w:bCs/>
                <w:color w:val="000000" w:themeColor="text1"/>
                <w:kern w:val="0"/>
                <w:sz w:val="22"/>
                <w:szCs w:val="22"/>
                <w:highlight w:val="none"/>
                <w:u w:val="none"/>
                <w:lang w:bidi="ar"/>
                <w14:textFill>
                  <w14:solidFill>
                    <w14:schemeClr w14:val="tx1"/>
                  </w14:solidFill>
                </w14:textFill>
              </w:rPr>
            </w:pPr>
            <w:r>
              <w:rPr>
                <w:rFonts w:hint="default" w:ascii="宋体" w:hAnsi="宋体" w:cs="宋体"/>
                <w:b/>
                <w:bCs/>
                <w:color w:val="000000" w:themeColor="text1"/>
                <w:kern w:val="0"/>
                <w:sz w:val="22"/>
                <w:szCs w:val="22"/>
                <w:highlight w:val="none"/>
                <w:u w:val="none"/>
                <w:lang w:bidi="ar"/>
                <w14:textFill>
                  <w14:solidFill>
                    <w14:schemeClr w14:val="tx1"/>
                  </w14:solidFill>
                </w14:textFill>
              </w:rPr>
              <w:t>开户账号：45050160435300000429</w:t>
            </w:r>
          </w:p>
          <w:p w14:paraId="5E7167BF">
            <w:pPr>
              <w:keepNext w:val="0"/>
              <w:keepLines w:val="0"/>
              <w:widowControl/>
              <w:numPr>
                <w:ilvl w:val="-1"/>
                <w:numId w:val="0"/>
              </w:numPr>
              <w:suppressLineNumbers w:val="0"/>
              <w:ind w:firstLine="663" w:firstLineChars="300"/>
              <w:jc w:val="left"/>
              <w:textAlignment w:val="center"/>
              <w:rPr>
                <w:rFonts w:hint="default" w:ascii="宋体" w:hAnsi="宋体" w:cs="宋体"/>
                <w:b/>
                <w:bCs/>
                <w:color w:val="000000" w:themeColor="text1"/>
                <w:kern w:val="0"/>
                <w:sz w:val="22"/>
                <w:szCs w:val="22"/>
                <w:highlight w:val="none"/>
                <w:u w:val="none"/>
                <w:lang w:bidi="ar"/>
                <w14:textFill>
                  <w14:solidFill>
                    <w14:schemeClr w14:val="tx1"/>
                  </w14:solidFill>
                </w14:textFill>
              </w:rPr>
            </w:pPr>
            <w:r>
              <w:rPr>
                <w:rFonts w:hint="default" w:ascii="宋体" w:hAnsi="宋体" w:cs="宋体"/>
                <w:b/>
                <w:bCs/>
                <w:color w:val="000000" w:themeColor="text1"/>
                <w:kern w:val="0"/>
                <w:sz w:val="22"/>
                <w:szCs w:val="22"/>
                <w:highlight w:val="none"/>
                <w:u w:val="none"/>
                <w:lang w:bidi="ar"/>
                <w14:textFill>
                  <w14:solidFill>
                    <w14:schemeClr w14:val="tx1"/>
                  </w14:solidFill>
                </w14:textFill>
              </w:rPr>
              <w:t>验收小组以项目采购文件及采购合同为验收依据，对供货产品技术参数核对检验，如不符合技术参数要求的，成交单位须书面承诺承担所有责任和费用。采购单位保留进一步追究责任的权利。</w:t>
            </w:r>
          </w:p>
          <w:p w14:paraId="1BF53930">
            <w:pPr>
              <w:keepNext w:val="0"/>
              <w:keepLines w:val="0"/>
              <w:widowControl/>
              <w:numPr>
                <w:ilvl w:val="-1"/>
                <w:numId w:val="0"/>
              </w:numPr>
              <w:suppressLineNumbers w:val="0"/>
              <w:ind w:firstLine="663" w:firstLineChars="300"/>
              <w:jc w:val="left"/>
              <w:textAlignment w:val="center"/>
              <w:rPr>
                <w:rFonts w:hint="default" w:ascii="宋体" w:hAnsi="宋体" w:cs="宋体"/>
                <w:b/>
                <w:bCs/>
                <w:color w:val="000000" w:themeColor="text1"/>
                <w:kern w:val="0"/>
                <w:sz w:val="22"/>
                <w:szCs w:val="22"/>
                <w:highlight w:val="none"/>
                <w:u w:val="none"/>
                <w:lang w:bidi="ar"/>
                <w14:textFill>
                  <w14:solidFill>
                    <w14:schemeClr w14:val="tx1"/>
                  </w14:solidFill>
                </w14:textFill>
              </w:rPr>
            </w:pPr>
            <w:r>
              <w:rPr>
                <w:rFonts w:hint="default" w:ascii="宋体" w:hAnsi="宋体" w:cs="宋体"/>
                <w:b/>
                <w:bCs/>
                <w:color w:val="000000" w:themeColor="text1"/>
                <w:kern w:val="0"/>
                <w:sz w:val="22"/>
                <w:szCs w:val="22"/>
                <w:highlight w:val="none"/>
                <w:u w:val="none"/>
                <w:lang w:bidi="ar"/>
                <w14:textFill>
                  <w14:solidFill>
                    <w14:schemeClr w14:val="tx1"/>
                  </w14:solidFill>
                </w14:textFill>
              </w:rPr>
              <w:t>（1）成交单位按时间节点完成服务后，应及时整理技术资料并作出全面检查和整理，列出清单，作为采购单位验收和使用的技术条件依据，清单应交给采购单位；同时以书面形式通知采购单位进行验收，采购单位在收到通知后五个工作日内进行验收。</w:t>
            </w:r>
          </w:p>
          <w:p w14:paraId="4F4FC759">
            <w:pPr>
              <w:keepNext w:val="0"/>
              <w:keepLines w:val="0"/>
              <w:widowControl/>
              <w:numPr>
                <w:ilvl w:val="-1"/>
                <w:numId w:val="0"/>
              </w:numPr>
              <w:suppressLineNumbers w:val="0"/>
              <w:ind w:firstLine="663" w:firstLineChars="300"/>
              <w:jc w:val="left"/>
              <w:textAlignment w:val="center"/>
              <w:rPr>
                <w:rFonts w:hint="default" w:ascii="宋体" w:hAnsi="宋体" w:cs="宋体"/>
                <w:b/>
                <w:bCs/>
                <w:color w:val="000000" w:themeColor="text1"/>
                <w:kern w:val="0"/>
                <w:sz w:val="22"/>
                <w:szCs w:val="22"/>
                <w:highlight w:val="none"/>
                <w:u w:val="none"/>
                <w:lang w:bidi="ar"/>
                <w14:textFill>
                  <w14:solidFill>
                    <w14:schemeClr w14:val="tx1"/>
                  </w14:solidFill>
                </w14:textFill>
              </w:rPr>
            </w:pPr>
            <w:r>
              <w:rPr>
                <w:rFonts w:hint="default" w:ascii="宋体" w:hAnsi="宋体" w:cs="宋体"/>
                <w:b/>
                <w:bCs/>
                <w:color w:val="000000" w:themeColor="text1"/>
                <w:kern w:val="0"/>
                <w:sz w:val="22"/>
                <w:szCs w:val="22"/>
                <w:highlight w:val="none"/>
                <w:u w:val="none"/>
                <w:lang w:bidi="ar"/>
                <w14:textFill>
                  <w14:solidFill>
                    <w14:schemeClr w14:val="tx1"/>
                  </w14:solidFill>
                </w14:textFill>
              </w:rPr>
              <w:t>（2）验收时成交单位提供验收文档，包括但不限于：资源库电子文档，以及对所有需要进行核查的原件等。</w:t>
            </w:r>
          </w:p>
          <w:p w14:paraId="380599ED">
            <w:pPr>
              <w:keepNext w:val="0"/>
              <w:keepLines w:val="0"/>
              <w:widowControl/>
              <w:numPr>
                <w:ilvl w:val="-1"/>
                <w:numId w:val="0"/>
              </w:numPr>
              <w:suppressLineNumbers w:val="0"/>
              <w:ind w:firstLine="663" w:firstLineChars="300"/>
              <w:jc w:val="left"/>
              <w:textAlignment w:val="center"/>
              <w:rPr>
                <w:rFonts w:hint="default" w:ascii="宋体" w:hAnsi="宋体" w:cs="宋体"/>
                <w:b/>
                <w:bCs/>
                <w:color w:val="000000" w:themeColor="text1"/>
                <w:kern w:val="0"/>
                <w:sz w:val="22"/>
                <w:szCs w:val="22"/>
                <w:highlight w:val="none"/>
                <w:u w:val="none"/>
                <w:lang w:bidi="ar"/>
                <w14:textFill>
                  <w14:solidFill>
                    <w14:schemeClr w14:val="tx1"/>
                  </w14:solidFill>
                </w14:textFill>
              </w:rPr>
            </w:pPr>
            <w:r>
              <w:rPr>
                <w:rFonts w:hint="default" w:ascii="宋体" w:hAnsi="宋体" w:cs="宋体"/>
                <w:b/>
                <w:bCs/>
                <w:color w:val="000000" w:themeColor="text1"/>
                <w:kern w:val="0"/>
                <w:sz w:val="22"/>
                <w:szCs w:val="22"/>
                <w:highlight w:val="none"/>
                <w:u w:val="none"/>
                <w:lang w:bidi="ar"/>
                <w14:textFill>
                  <w14:solidFill>
                    <w14:schemeClr w14:val="tx1"/>
                  </w14:solidFill>
                </w14:textFill>
              </w:rPr>
              <w:t>（3）如服务产品不合格或不符合技术参数要求的，由成交单位按采购单位（或者采购单位委托的第三方机构或部门）要求整改，成交单位不按要求整改或拒不整改的，采购单位有权终止合同，给采购单位造成的损失等费用由供应方承担。</w:t>
            </w:r>
          </w:p>
          <w:p w14:paraId="43039683">
            <w:pPr>
              <w:keepNext w:val="0"/>
              <w:keepLines w:val="0"/>
              <w:widowControl/>
              <w:numPr>
                <w:ilvl w:val="-1"/>
                <w:numId w:val="0"/>
              </w:numPr>
              <w:suppressLineNumbers w:val="0"/>
              <w:ind w:firstLine="663" w:firstLineChars="300"/>
              <w:jc w:val="left"/>
              <w:textAlignment w:val="center"/>
              <w:rPr>
                <w:rFonts w:hint="default" w:ascii="宋体" w:hAnsi="宋体" w:cs="宋体"/>
                <w:b/>
                <w:bCs/>
                <w:color w:val="000000" w:themeColor="text1"/>
                <w:kern w:val="0"/>
                <w:sz w:val="22"/>
                <w:szCs w:val="22"/>
                <w:highlight w:val="none"/>
                <w:u w:val="none"/>
                <w:lang w:bidi="ar"/>
                <w14:textFill>
                  <w14:solidFill>
                    <w14:schemeClr w14:val="tx1"/>
                  </w14:solidFill>
                </w14:textFill>
              </w:rPr>
            </w:pPr>
            <w:r>
              <w:rPr>
                <w:rFonts w:hint="default" w:ascii="宋体" w:hAnsi="宋体" w:cs="宋体"/>
                <w:b/>
                <w:bCs/>
                <w:color w:val="000000" w:themeColor="text1"/>
                <w:kern w:val="0"/>
                <w:sz w:val="22"/>
                <w:szCs w:val="22"/>
                <w:highlight w:val="none"/>
                <w:u w:val="none"/>
                <w:lang w:bidi="ar"/>
                <w14:textFill>
                  <w14:solidFill>
                    <w14:schemeClr w14:val="tx1"/>
                  </w14:solidFill>
                </w14:textFill>
              </w:rPr>
              <w:t>（4）如成交单位提供虚假材料的，除按相关规定做违约处理外，采购单位依据相关法律规定追究成交单位的责任，由此带来的一切责任及损失由成交单位自行承担。</w:t>
            </w:r>
          </w:p>
          <w:p w14:paraId="35BF10E9">
            <w:pPr>
              <w:keepNext w:val="0"/>
              <w:keepLines w:val="0"/>
              <w:widowControl/>
              <w:numPr>
                <w:ilvl w:val="-1"/>
                <w:numId w:val="0"/>
              </w:numPr>
              <w:suppressLineNumbers w:val="0"/>
              <w:ind w:firstLine="663" w:firstLineChars="300"/>
              <w:jc w:val="left"/>
              <w:textAlignment w:val="cente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default" w:ascii="宋体" w:hAnsi="宋体" w:cs="宋体"/>
                <w:b/>
                <w:bCs/>
                <w:color w:val="000000" w:themeColor="text1"/>
                <w:kern w:val="0"/>
                <w:sz w:val="22"/>
                <w:szCs w:val="22"/>
                <w:highlight w:val="none"/>
                <w:u w:val="none"/>
                <w:lang w:bidi="ar"/>
                <w14:textFill>
                  <w14:solidFill>
                    <w14:schemeClr w14:val="tx1"/>
                  </w14:solidFill>
                </w14:textFill>
              </w:rPr>
              <w:t>（5）在项目验收过程中，如项目验收不合格，有关返工、再行验收产生相关成本费用，以及给采购单位造成的损失等费用由成交单位承担。连续两次项目验收不合格的，或弄虚作假的行为，采购单位将不予验收，采购单位有权解除合同，并追究成交单位的责任，由此带来的一切责任由成交单位自行承担。</w:t>
            </w:r>
          </w:p>
          <w:p w14:paraId="1542438A">
            <w:pPr>
              <w:keepNext w:val="0"/>
              <w:keepLines w:val="0"/>
              <w:widowControl/>
              <w:numPr>
                <w:ilvl w:val="-1"/>
                <w:numId w:val="0"/>
              </w:numPr>
              <w:suppressLineNumbers w:val="0"/>
              <w:ind w:firstLine="0" w:firstLineChars="0"/>
              <w:jc w:val="left"/>
              <w:textAlignment w:val="cente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九、履约责任</w:t>
            </w:r>
          </w:p>
          <w:p w14:paraId="362F09ED">
            <w:pPr>
              <w:keepNext w:val="0"/>
              <w:keepLines w:val="0"/>
              <w:widowControl/>
              <w:numPr>
                <w:ilvl w:val="-1"/>
                <w:numId w:val="0"/>
              </w:numPr>
              <w:suppressLineNumbers w:val="0"/>
              <w:ind w:firstLine="663" w:firstLineChars="300"/>
              <w:jc w:val="left"/>
              <w:textAlignment w:val="center"/>
              <w:rPr>
                <w:rFonts w:hint="eastAsia" w:ascii="宋体" w:hAnsi="宋体" w:cs="宋体"/>
                <w:b/>
                <w:bCs/>
                <w:color w:val="000000" w:themeColor="text1"/>
                <w:kern w:val="0"/>
                <w:sz w:val="22"/>
                <w:szCs w:val="22"/>
                <w:highlight w:val="none"/>
                <w:u w:val="none"/>
                <w:lang w:bidi="ar"/>
                <w14:textFill>
                  <w14:solidFill>
                    <w14:schemeClr w14:val="tx1"/>
                  </w14:solidFill>
                </w14:textFill>
              </w:rPr>
            </w:pPr>
            <w:r>
              <w:rPr>
                <w:rFonts w:hint="eastAsia" w:ascii="宋体" w:hAnsi="宋体" w:cs="宋体"/>
                <w:b/>
                <w:bCs/>
                <w:color w:val="000000" w:themeColor="text1"/>
                <w:kern w:val="0"/>
                <w:sz w:val="22"/>
                <w:szCs w:val="22"/>
                <w:highlight w:val="none"/>
                <w:u w:val="none"/>
                <w:lang w:bidi="ar"/>
                <w14:textFill>
                  <w14:solidFill>
                    <w14:schemeClr w14:val="tx1"/>
                  </w14:solidFill>
                </w14:textFill>
              </w:rPr>
              <w:t>1.不按本商务要求规定缴纳履约保证金的，取消成交单位中标（竞得）资格。</w:t>
            </w:r>
          </w:p>
          <w:p w14:paraId="3939D8B4">
            <w:pPr>
              <w:keepNext w:val="0"/>
              <w:keepLines w:val="0"/>
              <w:widowControl/>
              <w:numPr>
                <w:ilvl w:val="-1"/>
                <w:numId w:val="0"/>
              </w:numPr>
              <w:suppressLineNumbers w:val="0"/>
              <w:ind w:firstLine="663" w:firstLineChars="300"/>
              <w:jc w:val="left"/>
              <w:textAlignment w:val="center"/>
              <w:rPr>
                <w:rFonts w:hint="eastAsia" w:ascii="宋体" w:hAnsi="宋体" w:cs="宋体"/>
                <w:b/>
                <w:bCs/>
                <w:color w:val="000000" w:themeColor="text1"/>
                <w:kern w:val="0"/>
                <w:sz w:val="22"/>
                <w:szCs w:val="22"/>
                <w:highlight w:val="none"/>
                <w:u w:val="none"/>
                <w:lang w:bidi="ar"/>
                <w14:textFill>
                  <w14:solidFill>
                    <w14:schemeClr w14:val="tx1"/>
                  </w14:solidFill>
                </w14:textFill>
              </w:rPr>
            </w:pPr>
            <w:r>
              <w:rPr>
                <w:rFonts w:hint="eastAsia" w:ascii="宋体" w:hAnsi="宋体" w:cs="宋体"/>
                <w:b/>
                <w:bCs/>
                <w:color w:val="000000" w:themeColor="text1"/>
                <w:kern w:val="0"/>
                <w:sz w:val="22"/>
                <w:szCs w:val="22"/>
                <w:highlight w:val="none"/>
                <w:u w:val="none"/>
                <w:lang w:bidi="ar"/>
                <w14:textFill>
                  <w14:solidFill>
                    <w14:schemeClr w14:val="tx1"/>
                  </w14:solidFill>
                </w14:textFill>
              </w:rPr>
              <w:t>2.不按本商务要求规定签订合同的，取消成交单位中标（竞得）资格。</w:t>
            </w:r>
          </w:p>
          <w:p w14:paraId="7A876FC4">
            <w:pPr>
              <w:keepNext w:val="0"/>
              <w:keepLines w:val="0"/>
              <w:widowControl/>
              <w:numPr>
                <w:ilvl w:val="-1"/>
                <w:numId w:val="0"/>
              </w:numPr>
              <w:suppressLineNumbers w:val="0"/>
              <w:ind w:firstLine="663" w:firstLineChars="300"/>
              <w:jc w:val="left"/>
              <w:textAlignment w:val="center"/>
              <w:rPr>
                <w:rFonts w:hint="eastAsia" w:ascii="宋体" w:hAnsi="宋体" w:cs="宋体"/>
                <w:b/>
                <w:bCs/>
                <w:color w:val="000000" w:themeColor="text1"/>
                <w:kern w:val="0"/>
                <w:sz w:val="22"/>
                <w:szCs w:val="22"/>
                <w:highlight w:val="none"/>
                <w:u w:val="none"/>
                <w:lang w:bidi="ar"/>
                <w14:textFill>
                  <w14:solidFill>
                    <w14:schemeClr w14:val="tx1"/>
                  </w14:solidFill>
                </w14:textFill>
              </w:rPr>
            </w:pPr>
            <w:r>
              <w:rPr>
                <w:rFonts w:hint="eastAsia" w:ascii="宋体" w:hAnsi="宋体" w:cs="宋体"/>
                <w:b/>
                <w:bCs/>
                <w:color w:val="000000" w:themeColor="text1"/>
                <w:kern w:val="0"/>
                <w:sz w:val="22"/>
                <w:szCs w:val="22"/>
                <w:highlight w:val="none"/>
                <w:u w:val="none"/>
                <w:lang w:bidi="ar"/>
                <w14:textFill>
                  <w14:solidFill>
                    <w14:schemeClr w14:val="tx1"/>
                  </w14:solidFill>
                </w14:textFill>
              </w:rPr>
              <w:t>3.因成交单位原因提前终止或解决合同的，除具有法定或约定免责理由外，采购单位没收成交单位履约保证金，同时按成交价款的20%赔偿采购单位损失（另行向采购单位缴纳）。</w:t>
            </w:r>
          </w:p>
          <w:p w14:paraId="3AC510A4">
            <w:pPr>
              <w:keepNext w:val="0"/>
              <w:keepLines w:val="0"/>
              <w:widowControl/>
              <w:numPr>
                <w:ilvl w:val="-1"/>
                <w:numId w:val="0"/>
              </w:numPr>
              <w:suppressLineNumbers w:val="0"/>
              <w:ind w:firstLine="663" w:firstLineChars="300"/>
              <w:jc w:val="left"/>
              <w:textAlignment w:val="center"/>
              <w:rPr>
                <w:rFonts w:hint="eastAsia" w:ascii="宋体" w:hAnsi="宋体" w:cs="宋体"/>
                <w:b/>
                <w:bCs/>
                <w:color w:val="000000" w:themeColor="text1"/>
                <w:kern w:val="0"/>
                <w:sz w:val="22"/>
                <w:szCs w:val="22"/>
                <w:highlight w:val="none"/>
                <w:u w:val="none"/>
                <w:lang w:bidi="ar"/>
                <w14:textFill>
                  <w14:solidFill>
                    <w14:schemeClr w14:val="tx1"/>
                  </w14:solidFill>
                </w14:textFill>
              </w:rPr>
            </w:pPr>
            <w:r>
              <w:rPr>
                <w:rFonts w:hint="eastAsia" w:ascii="宋体" w:hAnsi="宋体" w:cs="宋体"/>
                <w:b/>
                <w:bCs/>
                <w:color w:val="000000" w:themeColor="text1"/>
                <w:kern w:val="0"/>
                <w:sz w:val="22"/>
                <w:szCs w:val="22"/>
                <w:highlight w:val="none"/>
                <w:u w:val="none"/>
                <w:lang w:bidi="ar"/>
                <w14:textFill>
                  <w14:solidFill>
                    <w14:schemeClr w14:val="tx1"/>
                  </w14:solidFill>
                </w14:textFill>
              </w:rPr>
              <w:t>4.发生以下情形之一的，成交单位每次向采购单位缴纳500元作为违约金。</w:t>
            </w:r>
          </w:p>
          <w:p w14:paraId="0D07A3BD">
            <w:pPr>
              <w:keepNext w:val="0"/>
              <w:keepLines w:val="0"/>
              <w:widowControl/>
              <w:numPr>
                <w:ilvl w:val="-1"/>
                <w:numId w:val="0"/>
              </w:numPr>
              <w:suppressLineNumbers w:val="0"/>
              <w:ind w:firstLine="663" w:firstLineChars="300"/>
              <w:jc w:val="left"/>
              <w:textAlignment w:val="center"/>
              <w:rPr>
                <w:rFonts w:hint="eastAsia" w:ascii="宋体" w:hAnsi="宋体" w:cs="宋体"/>
                <w:b/>
                <w:bCs/>
                <w:color w:val="000000" w:themeColor="text1"/>
                <w:kern w:val="0"/>
                <w:sz w:val="22"/>
                <w:szCs w:val="22"/>
                <w:highlight w:val="none"/>
                <w:u w:val="none"/>
                <w:lang w:bidi="ar"/>
                <w14:textFill>
                  <w14:solidFill>
                    <w14:schemeClr w14:val="tx1"/>
                  </w14:solidFill>
                </w14:textFill>
              </w:rPr>
            </w:pPr>
            <w:r>
              <w:rPr>
                <w:rFonts w:hint="eastAsia" w:ascii="宋体" w:hAnsi="宋体" w:cs="宋体"/>
                <w:b/>
                <w:bCs/>
                <w:color w:val="000000" w:themeColor="text1"/>
                <w:kern w:val="0"/>
                <w:sz w:val="22"/>
                <w:szCs w:val="22"/>
                <w:highlight w:val="none"/>
                <w:u w:val="none"/>
                <w:lang w:bidi="ar"/>
                <w14:textFill>
                  <w14:solidFill>
                    <w14:schemeClr w14:val="tx1"/>
                  </w14:solidFill>
                </w14:textFill>
              </w:rPr>
              <w:t>4.1成交单位达不到本需求文件约定的；</w:t>
            </w:r>
          </w:p>
          <w:p w14:paraId="16865F9A">
            <w:pPr>
              <w:keepNext w:val="0"/>
              <w:keepLines w:val="0"/>
              <w:widowControl/>
              <w:numPr>
                <w:ilvl w:val="-1"/>
                <w:numId w:val="0"/>
              </w:numPr>
              <w:suppressLineNumbers w:val="0"/>
              <w:ind w:firstLine="663" w:firstLineChars="300"/>
              <w:jc w:val="left"/>
              <w:textAlignment w:val="center"/>
              <w:rPr>
                <w:rFonts w:hint="eastAsia" w:ascii="宋体" w:hAnsi="宋体" w:cs="宋体"/>
                <w:b/>
                <w:bCs/>
                <w:color w:val="000000" w:themeColor="text1"/>
                <w:kern w:val="0"/>
                <w:sz w:val="22"/>
                <w:szCs w:val="22"/>
                <w:highlight w:val="none"/>
                <w:u w:val="none"/>
                <w:lang w:bidi="ar"/>
                <w14:textFill>
                  <w14:solidFill>
                    <w14:schemeClr w14:val="tx1"/>
                  </w14:solidFill>
                </w14:textFill>
              </w:rPr>
            </w:pPr>
            <w:r>
              <w:rPr>
                <w:rFonts w:hint="eastAsia" w:ascii="宋体" w:hAnsi="宋体" w:cs="宋体"/>
                <w:b/>
                <w:bCs/>
                <w:color w:val="000000" w:themeColor="text1"/>
                <w:kern w:val="0"/>
                <w:sz w:val="22"/>
                <w:szCs w:val="22"/>
                <w:highlight w:val="none"/>
                <w:u w:val="none"/>
                <w:lang w:bidi="ar"/>
                <w14:textFill>
                  <w14:solidFill>
                    <w14:schemeClr w14:val="tx1"/>
                  </w14:solidFill>
                </w14:textFill>
              </w:rPr>
              <w:t>4.2成交单位未达到或违反本商务文件约定的。</w:t>
            </w:r>
          </w:p>
          <w:p w14:paraId="2D3A09CE">
            <w:pPr>
              <w:keepNext w:val="0"/>
              <w:keepLines w:val="0"/>
              <w:widowControl/>
              <w:numPr>
                <w:ilvl w:val="-1"/>
                <w:numId w:val="0"/>
              </w:numPr>
              <w:suppressLineNumbers w:val="0"/>
              <w:ind w:firstLine="663" w:firstLineChars="300"/>
              <w:jc w:val="left"/>
              <w:textAlignment w:val="center"/>
              <w:rPr>
                <w:rFonts w:hint="eastAsia" w:ascii="宋体" w:hAnsi="宋体" w:cs="宋体"/>
                <w:b/>
                <w:bCs/>
                <w:color w:val="000000" w:themeColor="text1"/>
                <w:kern w:val="0"/>
                <w:sz w:val="22"/>
                <w:szCs w:val="22"/>
                <w:highlight w:val="none"/>
                <w:u w:val="none"/>
                <w:lang w:bidi="ar"/>
                <w14:textFill>
                  <w14:solidFill>
                    <w14:schemeClr w14:val="tx1"/>
                  </w14:solidFill>
                </w14:textFill>
              </w:rPr>
            </w:pPr>
            <w:r>
              <w:rPr>
                <w:rFonts w:hint="eastAsia" w:ascii="宋体" w:hAnsi="宋体" w:cs="宋体"/>
                <w:b/>
                <w:bCs/>
                <w:color w:val="000000" w:themeColor="text1"/>
                <w:kern w:val="0"/>
                <w:sz w:val="22"/>
                <w:szCs w:val="22"/>
                <w:highlight w:val="none"/>
                <w:u w:val="none"/>
                <w:lang w:bidi="ar"/>
                <w14:textFill>
                  <w14:solidFill>
                    <w14:schemeClr w14:val="tx1"/>
                  </w14:solidFill>
                </w14:textFill>
              </w:rPr>
              <w:t>4.3成交单位须按本需求文件约定安排技术人员进场调试安装实施。技术人员须连续开展作业，直至完成项目。未经采购单位同意不得停止。停止施工一天（半天按一天计），成交单位向采购单位缴纳1000元作为违约金。</w:t>
            </w:r>
          </w:p>
          <w:p w14:paraId="1BFF51AA">
            <w:pPr>
              <w:keepNext w:val="0"/>
              <w:keepLines w:val="0"/>
              <w:widowControl/>
              <w:numPr>
                <w:ilvl w:val="-1"/>
                <w:numId w:val="0"/>
              </w:numPr>
              <w:suppressLineNumbers w:val="0"/>
              <w:ind w:firstLine="663" w:firstLineChars="300"/>
              <w:jc w:val="left"/>
              <w:textAlignment w:val="center"/>
              <w:rPr>
                <w:rFonts w:hint="eastAsia" w:ascii="宋体" w:hAnsi="宋体" w:cs="宋体"/>
                <w:b/>
                <w:bCs/>
                <w:color w:val="000000" w:themeColor="text1"/>
                <w:kern w:val="0"/>
                <w:sz w:val="22"/>
                <w:szCs w:val="22"/>
                <w:highlight w:val="none"/>
                <w:u w:val="none"/>
                <w:lang w:bidi="ar"/>
                <w14:textFill>
                  <w14:solidFill>
                    <w14:schemeClr w14:val="tx1"/>
                  </w14:solidFill>
                </w14:textFill>
              </w:rPr>
            </w:pPr>
            <w:r>
              <w:rPr>
                <w:rFonts w:hint="eastAsia" w:ascii="宋体" w:hAnsi="宋体" w:cs="宋体"/>
                <w:b/>
                <w:bCs/>
                <w:color w:val="000000" w:themeColor="text1"/>
                <w:kern w:val="0"/>
                <w:sz w:val="22"/>
                <w:szCs w:val="22"/>
                <w:highlight w:val="none"/>
                <w:u w:val="none"/>
                <w:lang w:bidi="ar"/>
                <w14:textFill>
                  <w14:solidFill>
                    <w14:schemeClr w14:val="tx1"/>
                  </w14:solidFill>
                </w14:textFill>
              </w:rPr>
              <w:t>4.4成交单位须按本需求文件要求和合同约定时间完成工作。每逾期一天，成交单位向采购单位缴纳1000元作为违约金。逾期天数达到10天（含10天）的，采购单位有权单方解除本合同，并有权拒绝支付合同款项。</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十</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、其他要求：</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1、报价为采购人指定地点的现场交货价，包括： （1）货物的价格； （2）货物的标准附件、备品备件、专用工具的价格； （3）采购、利润、运输、装卸、安装、调试、培训、技术支持、售后服务等费用； （4）必要的保险费用和各项税费。</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 xml:space="preserve">     </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2、</w:t>
            </w:r>
            <w:r>
              <w:rPr>
                <w:rFonts w:hint="eastAsia" w:ascii="宋体" w:hAnsi="宋体" w:cs="宋体"/>
                <w:b/>
                <w:bCs/>
                <w:color w:val="000000" w:themeColor="text1"/>
                <w:kern w:val="0"/>
                <w:sz w:val="22"/>
                <w:szCs w:val="22"/>
                <w:highlight w:val="none"/>
                <w:u w:val="none"/>
                <w:lang w:bidi="ar"/>
                <w14:textFill>
                  <w14:solidFill>
                    <w14:schemeClr w14:val="tx1"/>
                  </w14:solidFill>
                </w14:textFill>
              </w:rPr>
              <w:t>为保障学院机房设备的统一管理，须提供设备迁移服务：将分散于各机柜设备及线路迁移至新建机柜，必须确保迁移后设备正常运行。设备迁移完毕，且学院各项业务能够正常使用后，方可视为服务完成。</w:t>
            </w:r>
          </w:p>
          <w:p w14:paraId="6C73FB71">
            <w:pPr>
              <w:keepNext w:val="0"/>
              <w:keepLines w:val="0"/>
              <w:widowControl/>
              <w:numPr>
                <w:ilvl w:val="-1"/>
                <w:numId w:val="0"/>
              </w:numPr>
              <w:suppressLineNumbers w:val="0"/>
              <w:ind w:firstLine="663" w:firstLineChars="300"/>
              <w:jc w:val="left"/>
              <w:textAlignment w:val="center"/>
              <w:rPr>
                <w:rFonts w:hint="eastAsia" w:ascii="宋体" w:hAnsi="宋体" w:cs="宋体"/>
                <w:b/>
                <w:bCs/>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cs="宋体"/>
                <w:b/>
                <w:bCs/>
                <w:color w:val="000000" w:themeColor="text1"/>
                <w:kern w:val="0"/>
                <w:sz w:val="22"/>
                <w:szCs w:val="22"/>
                <w:highlight w:val="none"/>
                <w:u w:val="none"/>
                <w:lang w:val="en-US" w:eastAsia="zh-CN" w:bidi="ar"/>
                <w14:textFill>
                  <w14:solidFill>
                    <w14:schemeClr w14:val="tx1"/>
                  </w14:solidFill>
                </w14:textFill>
              </w:rPr>
              <w:t>3、本项目所投全部产品应与采购人现有的动环监控系统兼容，竞标人承诺承担所投产品与现有动环监控系统的对接开发费用，无须采购人额外支出成本，实现现有动环监控系统对本项目所投全部产品进行统一监控、操作、运维管理，竞标时出具现有动环监控系统兼容性说明函。</w:t>
            </w:r>
          </w:p>
          <w:p w14:paraId="3591E7A1">
            <w:pPr>
              <w:keepNext w:val="0"/>
              <w:keepLines w:val="0"/>
              <w:widowControl/>
              <w:numPr>
                <w:ilvl w:val="-1"/>
                <w:numId w:val="0"/>
              </w:numPr>
              <w:suppressLineNumbers w:val="0"/>
              <w:ind w:firstLine="663" w:firstLineChars="300"/>
              <w:jc w:val="left"/>
              <w:textAlignment w:val="center"/>
              <w:rPr>
                <w:rFonts w:hint="eastAsia" w:ascii="宋体" w:hAnsi="宋体" w:cs="宋体"/>
                <w:b/>
                <w:bCs/>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cs="宋体"/>
                <w:b/>
                <w:bCs/>
                <w:color w:val="000000" w:themeColor="text1"/>
                <w:kern w:val="0"/>
                <w:sz w:val="22"/>
                <w:szCs w:val="22"/>
                <w:highlight w:val="none"/>
                <w:u w:val="none"/>
                <w:lang w:val="en-US" w:eastAsia="zh-CN" w:bidi="ar"/>
                <w14:textFill>
                  <w14:solidFill>
                    <w14:schemeClr w14:val="tx1"/>
                  </w14:solidFill>
                </w14:textFill>
              </w:rPr>
              <w:t>4、本项目成交供应商应遵守国家有关安全文明措施的有关规定。如果由于本项目成交供应商未能对安全文明生产采取必要的措施而导致发生与此有关的人身伤亡、罚款、索赔、损失补偿、诉讼及其他责任,本单位不承担任何责任。</w:t>
            </w:r>
          </w:p>
        </w:tc>
      </w:tr>
    </w:tbl>
    <w:p w14:paraId="5AE932A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FC5ADF"/>
    <w:multiLevelType w:val="singleLevel"/>
    <w:tmpl w:val="D9FC5ADF"/>
    <w:lvl w:ilvl="0" w:tentative="0">
      <w:start w:val="1"/>
      <w:numFmt w:val="decimal"/>
      <w:lvlText w:val="%1."/>
      <w:lvlJc w:val="left"/>
      <w:pPr>
        <w:tabs>
          <w:tab w:val="left" w:pos="312"/>
        </w:tabs>
      </w:pPr>
    </w:lvl>
  </w:abstractNum>
  <w:abstractNum w:abstractNumId="1">
    <w:nsid w:val="F5F7C059"/>
    <w:multiLevelType w:val="singleLevel"/>
    <w:tmpl w:val="F5F7C059"/>
    <w:lvl w:ilvl="0" w:tentative="0">
      <w:start w:val="1"/>
      <w:numFmt w:val="decimal"/>
      <w:lvlText w:val="%1."/>
      <w:lvlJc w:val="left"/>
      <w:pPr>
        <w:tabs>
          <w:tab w:val="left" w:pos="312"/>
        </w:tabs>
      </w:pPr>
    </w:lvl>
  </w:abstractNum>
  <w:abstractNum w:abstractNumId="2">
    <w:nsid w:val="FD325BA2"/>
    <w:multiLevelType w:val="singleLevel"/>
    <w:tmpl w:val="FD325BA2"/>
    <w:lvl w:ilvl="0" w:tentative="0">
      <w:start w:val="1"/>
      <w:numFmt w:val="decimal"/>
      <w:lvlText w:val="%1."/>
      <w:lvlJc w:val="left"/>
      <w:pPr>
        <w:tabs>
          <w:tab w:val="left" w:pos="312"/>
        </w:tabs>
      </w:pPr>
    </w:lvl>
  </w:abstractNum>
  <w:abstractNum w:abstractNumId="3">
    <w:nsid w:val="FFEE15F4"/>
    <w:multiLevelType w:val="singleLevel"/>
    <w:tmpl w:val="FFEE15F4"/>
    <w:lvl w:ilvl="0" w:tentative="0">
      <w:start w:val="1"/>
      <w:numFmt w:val="decimal"/>
      <w:lvlText w:val="%1."/>
      <w:lvlJc w:val="left"/>
      <w:pPr>
        <w:tabs>
          <w:tab w:val="left" w:pos="312"/>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FA4B1"/>
    <w:rsid w:val="05E41BF9"/>
    <w:rsid w:val="09247737"/>
    <w:rsid w:val="09DD28D9"/>
    <w:rsid w:val="0A8213F4"/>
    <w:rsid w:val="0CD36378"/>
    <w:rsid w:val="101822F4"/>
    <w:rsid w:val="101D790A"/>
    <w:rsid w:val="10FD1C16"/>
    <w:rsid w:val="1B6A6989"/>
    <w:rsid w:val="1C931680"/>
    <w:rsid w:val="1FCB2EDF"/>
    <w:rsid w:val="21DE15EF"/>
    <w:rsid w:val="2B0B6795"/>
    <w:rsid w:val="2C0F5159"/>
    <w:rsid w:val="2DBBF312"/>
    <w:rsid w:val="31E3055C"/>
    <w:rsid w:val="36525CB0"/>
    <w:rsid w:val="397F1D75"/>
    <w:rsid w:val="3E7B60C8"/>
    <w:rsid w:val="3FDB9A8F"/>
    <w:rsid w:val="3FF72B04"/>
    <w:rsid w:val="4968161B"/>
    <w:rsid w:val="49CF51F6"/>
    <w:rsid w:val="4B4C441F"/>
    <w:rsid w:val="4B970CB3"/>
    <w:rsid w:val="4CEF795D"/>
    <w:rsid w:val="4CFE631E"/>
    <w:rsid w:val="4DBD4EEB"/>
    <w:rsid w:val="50704A07"/>
    <w:rsid w:val="51EE1332"/>
    <w:rsid w:val="52CA74CE"/>
    <w:rsid w:val="5CE037DB"/>
    <w:rsid w:val="5D46181B"/>
    <w:rsid w:val="5DDE9542"/>
    <w:rsid w:val="609B1E7E"/>
    <w:rsid w:val="62041115"/>
    <w:rsid w:val="65750EF0"/>
    <w:rsid w:val="67F3434E"/>
    <w:rsid w:val="67FFEBB2"/>
    <w:rsid w:val="6BFF5CDB"/>
    <w:rsid w:val="6C7613C0"/>
    <w:rsid w:val="6FDD4CC8"/>
    <w:rsid w:val="717FA4B1"/>
    <w:rsid w:val="757CDBD8"/>
    <w:rsid w:val="77AB69F3"/>
    <w:rsid w:val="78D635FC"/>
    <w:rsid w:val="7B7C4D10"/>
    <w:rsid w:val="7DFA5F11"/>
    <w:rsid w:val="7FB7A84B"/>
    <w:rsid w:val="7FBFD12D"/>
    <w:rsid w:val="932F3AFC"/>
    <w:rsid w:val="B2DD964D"/>
    <w:rsid w:val="B78DA2A3"/>
    <w:rsid w:val="BDFD1BBF"/>
    <w:rsid w:val="DE7CAFF8"/>
    <w:rsid w:val="DFEF3E72"/>
    <w:rsid w:val="EF53039B"/>
    <w:rsid w:val="EFE3D195"/>
    <w:rsid w:val="F37E6BB6"/>
    <w:rsid w:val="FC7773E5"/>
    <w:rsid w:val="FFBD4ECD"/>
    <w:rsid w:val="FFF71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5273</Words>
  <Characters>5700</Characters>
  <Lines>0</Lines>
  <Paragraphs>0</Paragraphs>
  <TotalTime>10</TotalTime>
  <ScaleCrop>false</ScaleCrop>
  <LinksUpToDate>false</LinksUpToDate>
  <CharactersWithSpaces>5732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2026-04-06T02:53:00Z</dcterms:created>
  <dc:creator>WPS_1602155600</dc:creator>
  <cp:lastModifiedBy>劳</cp:lastModifiedBy>
  <dcterms:modified xsi:type="dcterms:W3CDTF">2026-06-22T01:38:10Z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6996943B5BCD4C4F9BAF72E174EB2984_13</vt:lpwstr>
  </property>
  <property fmtid="{D5CDD505-2E9C-101B-9397-08002B2CF9AE}" pid="4" name="KSOTemplateDocerSaveRecord">
    <vt:lpwstr>eyJoZGlkIjoiZWQxMTYzMmE0ZDE0NmE5OTdlYjI0MjdiYzIxOWRiZDQiLCJ1c2VySWQiOiIxNDk5ODI2NjcxIn0=</vt:lpwstr>
  </property>
</Properties>
</file>