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9BAB8">
      <w:pPr>
        <w:spacing w:line="360" w:lineRule="auto"/>
        <w:jc w:val="center"/>
        <w:rPr>
          <w:rFonts w:hint="eastAsia" w:asciiTheme="minorEastAsia" w:hAnsiTheme="minorEastAsia"/>
          <w:color w:val="000000" w:themeColor="text1"/>
          <w:sz w:val="36"/>
          <w:szCs w:val="36"/>
          <w14:textFill>
            <w14:solidFill>
              <w14:schemeClr w14:val="tx1"/>
            </w14:solidFill>
          </w14:textFill>
        </w:rPr>
      </w:pPr>
    </w:p>
    <w:p w14:paraId="3D12306B">
      <w:pPr>
        <w:spacing w:line="360" w:lineRule="auto"/>
        <w:jc w:val="center"/>
        <w:rPr>
          <w:rFonts w:hint="eastAsia" w:asciiTheme="minorEastAsia" w:hAnsiTheme="minorEastAsia"/>
          <w:color w:val="000000" w:themeColor="text1"/>
          <w:sz w:val="36"/>
          <w:szCs w:val="36"/>
          <w14:textFill>
            <w14:solidFill>
              <w14:schemeClr w14:val="tx1"/>
            </w14:solidFill>
          </w14:textFill>
        </w:rPr>
      </w:pPr>
      <w:r>
        <w:rPr>
          <w:rFonts w:hint="eastAsia" w:asciiTheme="minorEastAsia" w:hAnsiTheme="minorEastAsia"/>
          <w:color w:val="000000" w:themeColor="text1"/>
          <w:sz w:val="36"/>
          <w:szCs w:val="36"/>
          <w14:textFill>
            <w14:solidFill>
              <w14:schemeClr w14:val="tx1"/>
            </w14:solidFill>
          </w14:textFill>
        </w:rPr>
        <w:t>广西自然资源职业技术学院岗位实习学生宿舍空调设备</w:t>
      </w:r>
      <w:r>
        <w:rPr>
          <w:rFonts w:hint="eastAsia" w:asciiTheme="minorEastAsia" w:hAnsiTheme="minorEastAsia"/>
          <w:color w:val="000000" w:themeColor="text1"/>
          <w:sz w:val="36"/>
          <w:szCs w:val="36"/>
          <w:lang w:val="en-US" w:eastAsia="zh-CN"/>
          <w14:textFill>
            <w14:solidFill>
              <w14:schemeClr w14:val="tx1"/>
            </w14:solidFill>
          </w14:textFill>
        </w:rPr>
        <w:t>采购</w:t>
      </w:r>
      <w:r>
        <w:rPr>
          <w:rFonts w:hint="eastAsia" w:asciiTheme="minorEastAsia" w:hAnsiTheme="minorEastAsia"/>
          <w:color w:val="000000" w:themeColor="text1"/>
          <w:sz w:val="36"/>
          <w:szCs w:val="36"/>
          <w14:textFill>
            <w14:solidFill>
              <w14:schemeClr w14:val="tx1"/>
            </w14:solidFill>
          </w14:textFill>
        </w:rPr>
        <w:t>项目需求</w:t>
      </w:r>
    </w:p>
    <w:p w14:paraId="28CEBEAF">
      <w:pPr>
        <w:pStyle w:val="6"/>
        <w:rPr>
          <w:rFonts w:hint="eastAsia"/>
        </w:rPr>
      </w:pPr>
    </w:p>
    <w:p w14:paraId="0266073A">
      <w:pPr>
        <w:pStyle w:val="6"/>
        <w:spacing w:line="480" w:lineRule="auto"/>
        <w:ind w:left="0" w:leftChars="0" w:firstLine="0" w:firstLineChars="0"/>
        <w:rPr>
          <w:rFonts w:hint="eastAsia"/>
          <w:b/>
          <w:bCs/>
          <w:sz w:val="24"/>
          <w:szCs w:val="24"/>
        </w:rPr>
      </w:pPr>
      <w:r>
        <w:rPr>
          <w:rFonts w:hint="eastAsia"/>
          <w:b/>
          <w:bCs/>
          <w:sz w:val="24"/>
          <w:szCs w:val="24"/>
        </w:rPr>
        <w:t>说明：</w:t>
      </w:r>
    </w:p>
    <w:p w14:paraId="5ECD4698">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1、本采购需求成交注▲号的内容为实质性要求和条件，竞价人须满足或响应，若无法完全满足，视为无效竞价。</w:t>
      </w:r>
    </w:p>
    <w:p w14:paraId="7A013F39">
      <w:pPr>
        <w:keepNext w:val="0"/>
        <w:keepLines w:val="0"/>
        <w:pageBreakBefore w:val="0"/>
        <w:widowControl w:val="0"/>
        <w:tabs>
          <w:tab w:val="left" w:pos="3479"/>
        </w:tabs>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▲2、竞价时必须上传响应文件，响应文件内容包含报价清单（注明所投品牌型号）、</w:t>
      </w:r>
      <w:r>
        <w:rPr>
          <w:rFonts w:hint="default" w:ascii="Times New Roman" w:hAnsi="Times New Roman" w:eastAsia="仿宋_GB2312" w:cs="Times New Roman"/>
          <w:bCs/>
          <w:sz w:val="24"/>
          <w:szCs w:val="24"/>
        </w:rPr>
        <w:t>竞标报价表</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sz w:val="24"/>
          <w:szCs w:val="24"/>
          <w:highlight w:val="none"/>
          <w:lang w:eastAsia="zh-CN"/>
        </w:rPr>
        <w:t>营业执照或者事业单位法人证书或者执业许可证等</w:t>
      </w:r>
      <w:r>
        <w:rPr>
          <w:rFonts w:hint="default" w:ascii="Times New Roman" w:hAnsi="Times New Roman" w:eastAsia="仿宋_GB2312" w:cs="Times New Roman"/>
          <w:color w:val="auto"/>
          <w:sz w:val="24"/>
          <w:szCs w:val="24"/>
          <w:highlight w:val="none"/>
          <w:lang w:val="en-US" w:eastAsia="zh-CN"/>
        </w:rPr>
        <w:t>资格证明材料复印件</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kern w:val="2"/>
          <w:sz w:val="24"/>
          <w:szCs w:val="24"/>
          <w:highlight w:val="none"/>
          <w:lang w:val="en-US" w:eastAsia="zh-CN" w:bidi="ar-SA"/>
        </w:rPr>
        <w:t>售后服务承诺书（包括但不限于质保期、故障响应时间、售后服务等内容，格式自拟）</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kern w:val="2"/>
          <w:sz w:val="24"/>
          <w:szCs w:val="24"/>
          <w:highlight w:val="none"/>
          <w:lang w:val="en-US" w:eastAsia="zh-CN" w:bidi="ar-SA"/>
        </w:rPr>
        <w:t>报价联系人及联系方式、邮箱</w:t>
      </w:r>
      <w:r>
        <w:rPr>
          <w:rFonts w:hint="default" w:ascii="Times New Roman" w:hAnsi="Times New Roman" w:eastAsia="仿宋_GB2312" w:cs="Times New Roman"/>
          <w:sz w:val="24"/>
          <w:szCs w:val="24"/>
        </w:rPr>
        <w:t>、</w:t>
      </w:r>
      <w:r>
        <w:rPr>
          <w:rFonts w:hint="default" w:ascii="Times New Roman" w:hAnsi="Times New Roman" w:eastAsia="仿宋_GB2312" w:cs="Times New Roman"/>
          <w:b w:val="0"/>
          <w:bCs w:val="0"/>
          <w:color w:val="auto"/>
          <w:kern w:val="2"/>
          <w:sz w:val="24"/>
          <w:szCs w:val="24"/>
          <w:highlight w:val="none"/>
          <w:lang w:val="en-US" w:eastAsia="zh-CN" w:bidi="ar-SA"/>
        </w:rPr>
        <w:t>法定代表人授权委托书及委托代理人有效身份证正反面复印件</w:t>
      </w:r>
      <w:r>
        <w:rPr>
          <w:rFonts w:hint="default" w:ascii="Times New Roman" w:hAnsi="Times New Roman" w:eastAsia="仿宋_GB2312" w:cs="Times New Roman"/>
          <w:color w:val="auto"/>
          <w:kern w:val="2"/>
          <w:sz w:val="24"/>
          <w:szCs w:val="24"/>
          <w:highlight w:val="none"/>
          <w:lang w:val="en-US" w:eastAsia="zh-CN" w:bidi="ar-SA"/>
        </w:rPr>
        <w:t>(如有委托，需提供)</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正品</w:t>
      </w:r>
      <w:r>
        <w:rPr>
          <w:rFonts w:hint="default" w:ascii="Times New Roman" w:hAnsi="Times New Roman" w:eastAsia="仿宋_GB2312" w:cs="Times New Roman"/>
          <w:sz w:val="24"/>
          <w:szCs w:val="24"/>
        </w:rPr>
        <w:t>承诺函复印件、项目现场勘探回执单</w:t>
      </w:r>
      <w:r>
        <w:rPr>
          <w:rFonts w:hint="default" w:ascii="Times New Roman" w:hAnsi="Times New Roman" w:eastAsia="仿宋_GB2312" w:cs="Times New Roman"/>
          <w:color w:val="auto"/>
          <w:kern w:val="2"/>
          <w:sz w:val="24"/>
          <w:szCs w:val="24"/>
          <w:highlight w:val="none"/>
          <w:lang w:val="en-US" w:eastAsia="zh-CN" w:bidi="ar-SA"/>
        </w:rPr>
        <w:t>、</w:t>
      </w:r>
      <w:r>
        <w:rPr>
          <w:rFonts w:hint="default" w:ascii="Times New Roman" w:hAnsi="Times New Roman" w:eastAsia="仿宋_GB2312" w:cs="Times New Roman"/>
          <w:sz w:val="24"/>
          <w:szCs w:val="24"/>
        </w:rPr>
        <w:t>货物技术参数配置清单等，如所提供的响应文件内容不全或者不符的，视为无效竞价；本项目仅接受意向品牌的产品参与报价，意向品牌以外的产品报价无效。</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、因现场环境施工的复杂性，涉及到线路的改造，墙体的打孔，窗户的改装，高空作业，和施工时间等额外安装费用因素，需竞价单位到现场勘探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如后期产生额外安装费则学校不予另外支付。</w:t>
      </w:r>
    </w:p>
    <w:p w14:paraId="05ADB05D">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竞价人必须认真审核采购文件所有要求，若发现竞价人存在未实质性响应采购文件行为，将视为无效竞价处理；如明知不满足竞价文件对于品牌、型号、单位资质等要求而进行恶意竞争的，或因竞价人虚假竞价导致竞价无效造成的工期延误及损失，将根据《政采云平台电子卖场权益维护及纠纷处理规则》的规定报有关部门处理，并在税务采购网平台列为失信供应商记录备案。</w:t>
      </w:r>
    </w:p>
    <w:p w14:paraId="130D3ACF">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、竞价人竞价时提供的证明材料应真实，如出现虚假应标情况，竞价人除了应接受有关部门的处罚外，还应依据《中华人民共和国民法典》的相关条款来确定赔偿金额。</w:t>
      </w:r>
    </w:p>
    <w:p w14:paraId="62FF4A62">
      <w:pPr>
        <w:keepNext w:val="0"/>
        <w:keepLines w:val="0"/>
        <w:pageBreakBefore w:val="0"/>
        <w:widowControl w:val="0"/>
        <w:kinsoku/>
        <w:wordWrap/>
        <w:overflowPunct/>
        <w:topLinePunct w:val="0"/>
        <w:autoSpaceDE/>
        <w:autoSpaceDN/>
        <w:bidi w:val="0"/>
        <w:adjustRightInd/>
        <w:snapToGrid/>
        <w:spacing w:line="400" w:lineRule="exact"/>
        <w:jc w:val="left"/>
        <w:textAlignment w:val="baseline"/>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、本次货物采购最高限价为人民币</w:t>
      </w:r>
      <w:r>
        <w:rPr>
          <w:rFonts w:hint="default" w:ascii="Times New Roman" w:hAnsi="Times New Roman" w:eastAsia="仿宋_GB2312" w:cs="Times New Roman"/>
          <w:color w:val="000000"/>
          <w:sz w:val="24"/>
          <w:szCs w:val="24"/>
          <w:highlight w:val="none"/>
          <w:lang w:val="en-US" w:eastAsia="zh-CN"/>
        </w:rPr>
        <w:t>1765</w:t>
      </w:r>
      <w:r>
        <w:rPr>
          <w:rFonts w:hint="default" w:ascii="Times New Roman" w:hAnsi="Times New Roman" w:eastAsia="仿宋_GB2312" w:cs="Times New Roman"/>
          <w:color w:val="000000"/>
          <w:sz w:val="24"/>
          <w:szCs w:val="24"/>
          <w:highlight w:val="none"/>
        </w:rPr>
        <w:t>0</w:t>
      </w:r>
      <w:r>
        <w:rPr>
          <w:rFonts w:hint="default" w:ascii="Times New Roman" w:hAnsi="Times New Roman" w:eastAsia="仿宋_GB2312" w:cs="Times New Roman"/>
          <w:sz w:val="24"/>
          <w:szCs w:val="24"/>
        </w:rPr>
        <w:t>元。货物分项最高限价详见表格。</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color w:val="000000"/>
          <w:sz w:val="24"/>
          <w:szCs w:val="24"/>
        </w:rPr>
        <w:t>项目地点：</w:t>
      </w:r>
      <w:r>
        <w:rPr>
          <w:rFonts w:hint="default" w:ascii="Times New Roman" w:hAnsi="Times New Roman" w:eastAsia="仿宋_GB2312" w:cs="Times New Roman"/>
          <w:color w:val="000000"/>
          <w:sz w:val="24"/>
          <w:szCs w:val="24"/>
          <w:highlight w:val="none"/>
        </w:rPr>
        <w:t>南宁市建政路5号17栋204、207、402、505、507号</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000000"/>
          <w:sz w:val="24"/>
          <w:szCs w:val="24"/>
          <w:highlight w:val="none"/>
          <w:lang w:val="en-US" w:eastAsia="zh-CN"/>
        </w:rPr>
        <w:t>所有房间所在楼层均为步梯）</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000000"/>
          <w:sz w:val="24"/>
          <w:szCs w:val="24"/>
          <w:highlight w:val="none"/>
          <w:lang w:eastAsia="zh-CN"/>
        </w:rPr>
        <w:br w:type="textWrapping"/>
      </w:r>
      <w:r>
        <w:rPr>
          <w:rFonts w:hint="default" w:ascii="Times New Roman" w:hAnsi="Times New Roman" w:eastAsia="仿宋_GB2312" w:cs="Times New Roman"/>
          <w:color w:val="000000"/>
          <w:sz w:val="24"/>
          <w:szCs w:val="24"/>
        </w:rPr>
        <w:t>采购项目控制价：</w:t>
      </w:r>
      <w:r>
        <w:rPr>
          <w:rFonts w:hint="default" w:ascii="Times New Roman" w:hAnsi="Times New Roman" w:eastAsia="仿宋_GB2312" w:cs="Times New Roman"/>
          <w:color w:val="000000"/>
          <w:sz w:val="24"/>
          <w:szCs w:val="24"/>
          <w:highlight w:val="none"/>
          <w:lang w:val="en-US" w:eastAsia="zh-CN"/>
        </w:rPr>
        <w:t>壹</w:t>
      </w:r>
      <w:r>
        <w:rPr>
          <w:rFonts w:hint="default" w:ascii="Times New Roman" w:hAnsi="Times New Roman" w:eastAsia="仿宋_GB2312" w:cs="Times New Roman"/>
          <w:color w:val="000000"/>
          <w:sz w:val="24"/>
          <w:szCs w:val="24"/>
          <w:highlight w:val="none"/>
        </w:rPr>
        <w:t>万</w:t>
      </w:r>
      <w:r>
        <w:rPr>
          <w:rFonts w:hint="default" w:ascii="Times New Roman" w:hAnsi="Times New Roman" w:eastAsia="仿宋_GB2312" w:cs="Times New Roman"/>
          <w:color w:val="000000"/>
          <w:sz w:val="24"/>
          <w:szCs w:val="24"/>
          <w:highlight w:val="none"/>
          <w:lang w:val="en-US" w:eastAsia="zh-CN"/>
        </w:rPr>
        <w:t>柒</w:t>
      </w:r>
      <w:r>
        <w:rPr>
          <w:rFonts w:hint="default" w:ascii="Times New Roman" w:hAnsi="Times New Roman" w:eastAsia="仿宋_GB2312" w:cs="Times New Roman"/>
          <w:color w:val="000000"/>
          <w:sz w:val="24"/>
          <w:szCs w:val="24"/>
          <w:highlight w:val="none"/>
        </w:rPr>
        <w:t>仟</w:t>
      </w:r>
      <w:r>
        <w:rPr>
          <w:rFonts w:hint="default" w:ascii="Times New Roman" w:hAnsi="Times New Roman" w:eastAsia="仿宋_GB2312" w:cs="Times New Roman"/>
          <w:color w:val="000000"/>
          <w:sz w:val="24"/>
          <w:szCs w:val="24"/>
          <w:highlight w:val="none"/>
          <w:lang w:val="en-US" w:eastAsia="zh-CN"/>
        </w:rPr>
        <w:t>陆</w:t>
      </w:r>
      <w:r>
        <w:rPr>
          <w:rFonts w:hint="default" w:ascii="Times New Roman" w:hAnsi="Times New Roman" w:eastAsia="仿宋_GB2312" w:cs="Times New Roman"/>
          <w:color w:val="000000"/>
          <w:sz w:val="24"/>
          <w:szCs w:val="24"/>
          <w:highlight w:val="none"/>
        </w:rPr>
        <w:t>佰</w:t>
      </w:r>
      <w:r>
        <w:rPr>
          <w:rFonts w:hint="default" w:ascii="Times New Roman" w:hAnsi="Times New Roman" w:eastAsia="仿宋_GB2312" w:cs="Times New Roman"/>
          <w:color w:val="000000"/>
          <w:sz w:val="24"/>
          <w:szCs w:val="24"/>
          <w:highlight w:val="none"/>
          <w:lang w:val="en-US" w:eastAsia="zh-CN"/>
        </w:rPr>
        <w:t>伍拾</w:t>
      </w:r>
      <w:r>
        <w:rPr>
          <w:rFonts w:hint="default" w:ascii="Times New Roman" w:hAnsi="Times New Roman" w:eastAsia="仿宋_GB2312" w:cs="Times New Roman"/>
          <w:color w:val="000000"/>
          <w:sz w:val="24"/>
          <w:szCs w:val="24"/>
          <w:highlight w:val="none"/>
        </w:rPr>
        <w:t>元整（</w:t>
      </w:r>
      <w:r>
        <w:rPr>
          <w:rFonts w:hint="default" w:ascii="Times New Roman" w:hAnsi="Times New Roman" w:eastAsia="仿宋_GB2312" w:cs="Times New Roman"/>
          <w:color w:val="000000"/>
          <w:sz w:val="24"/>
          <w:szCs w:val="24"/>
          <w:highlight w:val="none"/>
          <w:lang w:val="en-US" w:eastAsia="zh-CN"/>
        </w:rPr>
        <w:t>1765</w:t>
      </w:r>
      <w:r>
        <w:rPr>
          <w:rFonts w:hint="default" w:ascii="Times New Roman" w:hAnsi="Times New Roman" w:eastAsia="仿宋_GB2312" w:cs="Times New Roman"/>
          <w:color w:val="000000"/>
          <w:sz w:val="24"/>
          <w:szCs w:val="24"/>
          <w:highlight w:val="none"/>
        </w:rPr>
        <w:t>0.00元）。</w:t>
      </w:r>
    </w:p>
    <w:p w14:paraId="7910811E">
      <w:pPr>
        <w:spacing w:line="240" w:lineRule="auto"/>
        <w:ind w:firstLine="0" w:firstLineChars="0"/>
        <w:jc w:val="left"/>
        <w:textAlignment w:val="baseline"/>
        <w:rPr>
          <w:rFonts w:hint="eastAsia" w:asciiTheme="minorEastAsia" w:hAnsiTheme="minorEastAsia" w:eastAsiaTheme="minorEastAsia" w:cstheme="minorEastAsia"/>
          <w:color w:val="000000"/>
          <w:sz w:val="24"/>
          <w:szCs w:val="24"/>
        </w:rPr>
      </w:pPr>
    </w:p>
    <w:p w14:paraId="1E4267DF">
      <w:pPr>
        <w:pStyle w:val="6"/>
        <w:spacing w:line="240" w:lineRule="auto"/>
        <w:ind w:left="0" w:leftChars="0" w:firstLine="0" w:firstLineChars="0"/>
        <w:rPr>
          <w:rFonts w:hint="eastAsia" w:eastAsiaTheme="minorEastAsia"/>
          <w:sz w:val="24"/>
          <w:szCs w:val="24"/>
          <w:lang w:val="en-US" w:eastAsia="zh-CN"/>
        </w:rPr>
      </w:pPr>
    </w:p>
    <w:p w14:paraId="097561C9">
      <w:pPr>
        <w:spacing w:line="480" w:lineRule="auto"/>
        <w:rPr>
          <w:rFonts w:hint="eastAsia"/>
        </w:rPr>
      </w:pPr>
      <w:r>
        <w:rPr>
          <w:rFonts w:hint="eastAsia"/>
        </w:rPr>
        <w:br w:type="page"/>
      </w:r>
    </w:p>
    <w:p w14:paraId="0D2868BF">
      <w:pPr>
        <w:pStyle w:val="6"/>
      </w:pPr>
      <w:r>
        <w:rPr>
          <w:rFonts w:hint="eastAsia" w:asciiTheme="minorEastAsia" w:hAnsiTheme="minorEastAsia" w:cstheme="minorEastAsia"/>
          <w:b/>
          <w:bCs/>
          <w:color w:val="000000" w:themeColor="text1"/>
          <w:kern w:val="0"/>
          <w:szCs w:val="21"/>
          <w:lang w:bidi="ar"/>
          <w14:textFill>
            <w14:solidFill>
              <w14:schemeClr w14:val="tx1"/>
            </w14:solidFill>
          </w14:textFill>
        </w:rPr>
        <w:t>一、技术参数配置要求</w:t>
      </w:r>
    </w:p>
    <w:tbl>
      <w:tblPr>
        <w:tblStyle w:val="11"/>
        <w:tblW w:w="14933" w:type="dxa"/>
        <w:tblInd w:w="-287" w:type="dxa"/>
        <w:tblLayout w:type="fixed"/>
        <w:tblCellMar>
          <w:top w:w="0" w:type="dxa"/>
          <w:left w:w="108" w:type="dxa"/>
          <w:bottom w:w="0" w:type="dxa"/>
          <w:right w:w="108" w:type="dxa"/>
        </w:tblCellMar>
      </w:tblPr>
      <w:tblGrid>
        <w:gridCol w:w="516"/>
        <w:gridCol w:w="1300"/>
        <w:gridCol w:w="1316"/>
        <w:gridCol w:w="8453"/>
        <w:gridCol w:w="600"/>
        <w:gridCol w:w="558"/>
        <w:gridCol w:w="1017"/>
        <w:gridCol w:w="1173"/>
      </w:tblGrid>
      <w:tr w14:paraId="23E937C4">
        <w:tblPrEx>
          <w:tblCellMar>
            <w:top w:w="0" w:type="dxa"/>
            <w:left w:w="108" w:type="dxa"/>
            <w:bottom w:w="0" w:type="dxa"/>
            <w:right w:w="108" w:type="dxa"/>
          </w:tblCellMar>
        </w:tblPrEx>
        <w:trPr>
          <w:trHeight w:val="272" w:hRule="atLeast"/>
          <w:tblHead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83E3">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序号</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93C3">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产品名称</w:t>
            </w:r>
          </w:p>
        </w:tc>
        <w:tc>
          <w:tcPr>
            <w:tcW w:w="1316" w:type="dxa"/>
            <w:tcBorders>
              <w:top w:val="single" w:color="000000" w:sz="4" w:space="0"/>
              <w:left w:val="single" w:color="000000" w:sz="4" w:space="0"/>
              <w:bottom w:val="single" w:color="000000" w:sz="4" w:space="0"/>
              <w:right w:val="single" w:color="000000" w:sz="4" w:space="0"/>
            </w:tcBorders>
            <w:vAlign w:val="center"/>
          </w:tcPr>
          <w:p w14:paraId="3230BDB2">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参考品牌</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88C5">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规格及性能参数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9A50">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数量</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C73C">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单位</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DB80">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单价（元）</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6D17">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合价</w:t>
            </w:r>
          </w:p>
          <w:p w14:paraId="352931A9">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（元）</w:t>
            </w:r>
          </w:p>
        </w:tc>
      </w:tr>
      <w:tr w14:paraId="38AF56A3">
        <w:tblPrEx>
          <w:tblCellMar>
            <w:top w:w="0" w:type="dxa"/>
            <w:left w:w="108" w:type="dxa"/>
            <w:bottom w:w="0" w:type="dxa"/>
            <w:right w:w="108" w:type="dxa"/>
          </w:tblCellMar>
        </w:tblPrEx>
        <w:trPr>
          <w:trHeight w:val="1134"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9BB4">
            <w:pPr>
              <w:pStyle w:val="13"/>
              <w:ind w:firstLine="0" w:firstLineChars="0"/>
              <w:jc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154D">
            <w:pPr>
              <w:jc w:val="center"/>
              <w:rPr>
                <w:rFonts w:hint="default" w:asciiTheme="minorEastAsia" w:hAnsiTheme="minorEastAsia" w:eastAsiaTheme="minorEastAsia"/>
                <w:lang w:val="en-US" w:eastAsia="zh-CN"/>
              </w:rPr>
            </w:pPr>
            <w:r>
              <w:rPr>
                <w:rFonts w:hint="default" w:ascii="Times New Roman" w:hAnsi="Times New Roman" w:eastAsia="仿宋_GB2312" w:cs="Times New Roman"/>
                <w:color w:val="000000"/>
                <w:kern w:val="0"/>
                <w:sz w:val="32"/>
                <w:szCs w:val="32"/>
                <w:highlight w:val="none"/>
                <w:lang w:val="en-US" w:eastAsia="zh-CN"/>
              </w:rPr>
              <w:t>分体壁挂式冷暖空调</w:t>
            </w:r>
          </w:p>
        </w:tc>
        <w:tc>
          <w:tcPr>
            <w:tcW w:w="1316" w:type="dxa"/>
            <w:tcBorders>
              <w:top w:val="single" w:color="000000" w:sz="4" w:space="0"/>
              <w:left w:val="single" w:color="000000" w:sz="4" w:space="0"/>
              <w:bottom w:val="single" w:color="000000" w:sz="4" w:space="0"/>
              <w:right w:val="single" w:color="000000" w:sz="4" w:space="0"/>
            </w:tcBorders>
            <w:vAlign w:val="center"/>
          </w:tcPr>
          <w:p w14:paraId="0748976E">
            <w:pPr>
              <w:widowControl/>
              <w:spacing w:line="276" w:lineRule="auto"/>
              <w:jc w:val="center"/>
              <w:textAlignment w:val="center"/>
              <w:rPr>
                <w:rFonts w:asciiTheme="minorEastAsia" w:hAnsiTheme="minorEastAsia" w:cstheme="minorEastAsia"/>
                <w:color w:val="000000" w:themeColor="text1"/>
                <w:kern w:val="0"/>
                <w:szCs w:val="21"/>
                <w:lang w:bidi="ar"/>
                <w14:textFill>
                  <w14:solidFill>
                    <w14:schemeClr w14:val="tx1"/>
                  </w14:solidFill>
                </w14:textFill>
              </w:rPr>
            </w:pPr>
            <w:r>
              <w:rPr>
                <w:rFonts w:hint="default" w:ascii="Times New Roman" w:hAnsi="Times New Roman" w:eastAsia="仿宋_GB2312" w:cs="Times New Roman"/>
                <w:color w:val="000000"/>
                <w:kern w:val="0"/>
                <w:sz w:val="32"/>
                <w:szCs w:val="32"/>
                <w:highlight w:val="none"/>
              </w:rPr>
              <w:t>格力、美的、松下</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6504">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能效等级: 1级</w:t>
            </w:r>
          </w:p>
          <w:p w14:paraId="1A18F261">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定频/变频: 变频</w:t>
            </w:r>
          </w:p>
          <w:p w14:paraId="5DB6D1C9">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匹数: 1.5匹</w:t>
            </w:r>
          </w:p>
          <w:p w14:paraId="70435B9C">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单冷/冷暖: 冷暖</w:t>
            </w:r>
          </w:p>
          <w:p w14:paraId="0547F2D6">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挂机/柜机: 挂机</w:t>
            </w:r>
          </w:p>
          <w:p w14:paraId="7C858BCD">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能源消耗效率(APF):</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5.30(全年能源消耗效率）</w:t>
            </w:r>
          </w:p>
          <w:p w14:paraId="211D44F6">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制冷量（W）:</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 xml:space="preserve"> 3510</w:t>
            </w:r>
          </w:p>
          <w:p w14:paraId="0D91E1AE">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制冷功率（W）: </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845</w:t>
            </w:r>
          </w:p>
          <w:p w14:paraId="4C5C6A40">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制热量(W): </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5010</w:t>
            </w:r>
          </w:p>
          <w:p w14:paraId="24D89C1C">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制热功率(W): </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1240</w:t>
            </w:r>
          </w:p>
          <w:p w14:paraId="453F10C9">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电辅加热</w:t>
            </w:r>
          </w:p>
          <w:p w14:paraId="7162FCD3">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电辅加热功率（W）:</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1000</w:t>
            </w:r>
          </w:p>
          <w:p w14:paraId="289C9370">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内机噪音dB(A): 高风档41</w:t>
            </w:r>
          </w:p>
          <w:p w14:paraId="1CA944BC">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外机噪音dB(A): 高风档51</w:t>
            </w:r>
          </w:p>
          <w:p w14:paraId="65422E97">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循环风量(m³/h): </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720</w:t>
            </w:r>
          </w:p>
          <w:p w14:paraId="27162262">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eastAsia"/>
                <w:color w:val="auto"/>
                <w:sz w:val="21"/>
                <w:szCs w:val="21"/>
                <w:lang w:bidi="ar"/>
              </w:rPr>
              <w:t>▲</w:t>
            </w:r>
            <w:r>
              <w:rPr>
                <w:rFonts w:hint="default" w:ascii="Times New Roman" w:hAnsi="Times New Roman" w:eastAsia="仿宋_GB2312" w:cs="Times New Roman"/>
                <w:color w:val="000000"/>
                <w:kern w:val="0"/>
                <w:sz w:val="32"/>
                <w:szCs w:val="32"/>
                <w:highlight w:val="none"/>
              </w:rPr>
              <w:t>电压/频率（V/Hz）:220V～/50Hz</w:t>
            </w:r>
            <w:r>
              <w:rPr>
                <w:rFonts w:hint="eastAsia" w:ascii="Times New Roman" w:hAnsi="Times New Roman" w:eastAsia="仿宋_GB2312" w:cs="Times New Roman"/>
                <w:color w:val="000000"/>
                <w:kern w:val="0"/>
                <w:sz w:val="32"/>
                <w:szCs w:val="32"/>
                <w:highlight w:val="none"/>
                <w:lang w:val="en-US" w:eastAsia="zh-CN"/>
              </w:rPr>
              <w:t xml:space="preserve">  </w:t>
            </w:r>
            <w:r>
              <w:rPr>
                <w:rFonts w:hint="default" w:ascii="Times New Roman" w:hAnsi="Times New Roman" w:eastAsia="仿宋_GB2312" w:cs="Times New Roman"/>
                <w:color w:val="000000"/>
                <w:kern w:val="0"/>
                <w:sz w:val="32"/>
                <w:szCs w:val="32"/>
                <w:highlight w:val="none"/>
              </w:rPr>
              <w:t>整机原厂免费质保不少于6年，压缩机等核心部件质保10年</w:t>
            </w:r>
          </w:p>
          <w:p w14:paraId="150C7B49">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val="en-US" w:eastAsia="zh-CN"/>
              </w:rPr>
              <w:t>备注：需</w:t>
            </w:r>
            <w:r>
              <w:rPr>
                <w:rFonts w:hint="eastAsia" w:ascii="Times New Roman" w:hAnsi="Times New Roman" w:eastAsia="仿宋_GB2312" w:cs="Times New Roman"/>
                <w:color w:val="000000"/>
                <w:kern w:val="0"/>
                <w:sz w:val="32"/>
                <w:szCs w:val="32"/>
                <w:highlight w:val="none"/>
                <w:lang w:eastAsia="zh-CN"/>
              </w:rPr>
              <w:t>提供与标“▲”技术参数要求及功能符合的“检测报告或功能截图”作为合同确认的标准依据。）</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F13D">
            <w:pPr>
              <w:widowControl/>
              <w:jc w:val="center"/>
              <w:textAlignment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C5E3">
            <w:pPr>
              <w:widowControl/>
              <w:jc w:val="center"/>
              <w:textAlignment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646E">
            <w:pPr>
              <w:widowControl/>
              <w:jc w:val="center"/>
              <w:textAlignment w:val="center"/>
              <w:rPr>
                <w:rFonts w:hint="default" w:asciiTheme="minorEastAsia" w:hAnsiTheme="minorEastAsia" w:eastAsia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3530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37DC">
            <w:pPr>
              <w:widowControl/>
              <w:jc w:val="center"/>
              <w:textAlignment w:val="center"/>
              <w:rPr>
                <w:rFonts w:hint="default" w:asciiTheme="minorEastAsia" w:hAnsiTheme="minorEastAsia" w:eastAsiaTheme="minorEastAsia" w:cstheme="minorEastAsia"/>
                <w:color w:val="000000" w:themeColor="text1"/>
                <w:kern w:val="0"/>
                <w:szCs w:val="21"/>
                <w:lang w:val="en-US" w:eastAsia="zh-CN" w:bidi="ar"/>
                <w14:textFill>
                  <w14:solidFill>
                    <w14:schemeClr w14:val="tx1"/>
                  </w14:solidFill>
                </w14:textFill>
              </w:rPr>
            </w:pP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17650</w:t>
            </w:r>
          </w:p>
        </w:tc>
      </w:tr>
      <w:tr w14:paraId="0D2B247D">
        <w:tblPrEx>
          <w:tblCellMar>
            <w:top w:w="0" w:type="dxa"/>
            <w:left w:w="108" w:type="dxa"/>
            <w:bottom w:w="0" w:type="dxa"/>
            <w:right w:w="108" w:type="dxa"/>
          </w:tblCellMar>
        </w:tblPrEx>
        <w:trPr>
          <w:trHeight w:val="624" w:hRule="atLeast"/>
        </w:trPr>
        <w:tc>
          <w:tcPr>
            <w:tcW w:w="137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C34D82">
            <w:pPr>
              <w:widowControl/>
              <w:jc w:val="center"/>
              <w:textAlignment w:val="center"/>
              <w:rPr>
                <w:rFonts w:asciiTheme="minorEastAsia" w:hAnsiTheme="minorEastAsia" w:cstheme="minorEastAsia"/>
                <w:b/>
                <w:bCs/>
                <w:color w:val="000000" w:themeColor="text1"/>
                <w:kern w:val="0"/>
                <w:szCs w:val="21"/>
                <w:lang w:bidi="ar"/>
                <w14:textFill>
                  <w14:solidFill>
                    <w14:schemeClr w14:val="tx1"/>
                  </w14:solidFill>
                </w14:textFill>
              </w:rPr>
            </w:pPr>
            <w:r>
              <w:rPr>
                <w:rFonts w:hint="eastAsia" w:asciiTheme="minorEastAsia" w:hAnsiTheme="minorEastAsia" w:cstheme="minorEastAsia"/>
                <w:b/>
                <w:bCs/>
                <w:color w:val="000000" w:themeColor="text1"/>
                <w:kern w:val="0"/>
                <w:szCs w:val="21"/>
                <w:lang w:bidi="ar"/>
                <w14:textFill>
                  <w14:solidFill>
                    <w14:schemeClr w14:val="tx1"/>
                  </w14:solidFill>
                </w14:textFill>
              </w:rPr>
              <w:t>合计（元）</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ED64">
            <w:pPr>
              <w:widowControl/>
              <w:jc w:val="center"/>
              <w:textAlignment w:val="center"/>
              <w:rPr>
                <w:rFonts w:hint="default" w:cs="宋体" w:asciiTheme="minorEastAsia" w:hAnsiTheme="minorEastAsia" w:eastAsiaTheme="minorEastAsia"/>
                <w:b/>
                <w:bCs/>
                <w:color w:val="000000" w:themeColor="text1"/>
                <w:kern w:val="0"/>
                <w:szCs w:val="21"/>
                <w:lang w:val="en-US" w:eastAsia="zh-CN" w:bidi="ar"/>
                <w14:textFill>
                  <w14:solidFill>
                    <w14:schemeClr w14:val="tx1"/>
                  </w14:solidFill>
                </w14:textFill>
              </w:rPr>
            </w:pPr>
            <w:r>
              <w:rPr>
                <w:rFonts w:hint="eastAsia" w:cs="宋体" w:asciiTheme="minorEastAsia" w:hAnsiTheme="minorEastAsia"/>
                <w:b/>
                <w:bCs/>
                <w:color w:val="000000" w:themeColor="text1"/>
                <w:kern w:val="0"/>
                <w:szCs w:val="21"/>
                <w:lang w:val="en-US" w:eastAsia="zh-CN" w:bidi="ar"/>
                <w14:textFill>
                  <w14:solidFill>
                    <w14:schemeClr w14:val="tx1"/>
                  </w14:solidFill>
                </w14:textFill>
              </w:rPr>
              <w:t>17650</w:t>
            </w:r>
          </w:p>
        </w:tc>
      </w:tr>
    </w:tbl>
    <w:p w14:paraId="6128A6FE">
      <w:pP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br w:type="page"/>
      </w:r>
    </w:p>
    <w:p w14:paraId="4200BC58">
      <w:pPr>
        <w:pStyle w:val="6"/>
        <w:ind w:left="0" w:leftChars="0" w:firstLine="422" w:firstLineChars="200"/>
      </w:pPr>
      <w:r>
        <w:rPr>
          <w:rFonts w:hint="eastAsia" w:ascii="宋体" w:hAnsi="宋体" w:eastAsia="宋体" w:cs="宋体"/>
          <w:b/>
          <w:bCs/>
          <w:kern w:val="0"/>
          <w:sz w:val="21"/>
          <w:szCs w:val="21"/>
          <w:lang w:bidi="ar"/>
        </w:rPr>
        <w:t>二、商务服务要求表</w:t>
      </w:r>
    </w:p>
    <w:tbl>
      <w:tblPr>
        <w:tblStyle w:val="11"/>
        <w:tblpPr w:leftFromText="180" w:rightFromText="180" w:vertAnchor="text" w:horzAnchor="page" w:tblpX="1128" w:tblpY="288"/>
        <w:tblOverlap w:val="never"/>
        <w:tblW w:w="14821" w:type="dxa"/>
        <w:tblInd w:w="0" w:type="dxa"/>
        <w:tblLayout w:type="fixed"/>
        <w:tblCellMar>
          <w:top w:w="0" w:type="dxa"/>
          <w:left w:w="108" w:type="dxa"/>
          <w:bottom w:w="0" w:type="dxa"/>
          <w:right w:w="108" w:type="dxa"/>
        </w:tblCellMar>
      </w:tblPr>
      <w:tblGrid>
        <w:gridCol w:w="1783"/>
        <w:gridCol w:w="13038"/>
      </w:tblGrid>
      <w:tr w14:paraId="2346E895">
        <w:tblPrEx>
          <w:tblCellMar>
            <w:top w:w="0" w:type="dxa"/>
            <w:left w:w="108" w:type="dxa"/>
            <w:bottom w:w="0" w:type="dxa"/>
            <w:right w:w="108" w:type="dxa"/>
          </w:tblCellMar>
        </w:tblPrEx>
        <w:trPr>
          <w:trHeight w:val="567"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A6AE">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合同签订期</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AEDC">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自成交公告发出之日起</w:t>
            </w:r>
            <w:r>
              <w:rPr>
                <w:rStyle w:val="15"/>
                <w:rFonts w:hint="default" w:ascii="Times New Roman" w:hAnsi="Times New Roman" w:eastAsia="仿宋_GB2312" w:cs="Times New Roman"/>
                <w:color w:val="auto"/>
                <w:sz w:val="21"/>
                <w:szCs w:val="21"/>
                <w:lang w:bidi="ar"/>
              </w:rPr>
              <w:t xml:space="preserve"> </w:t>
            </w:r>
            <w:r>
              <w:rPr>
                <w:rStyle w:val="15"/>
                <w:rFonts w:hint="default" w:ascii="Times New Roman" w:hAnsi="Times New Roman" w:eastAsia="仿宋_GB2312" w:cs="Times New Roman"/>
                <w:color w:val="auto"/>
                <w:sz w:val="21"/>
                <w:szCs w:val="21"/>
                <w:lang w:val="en-US" w:eastAsia="zh-CN" w:bidi="ar"/>
              </w:rPr>
              <w:t>10</w:t>
            </w:r>
            <w:r>
              <w:rPr>
                <w:rStyle w:val="15"/>
                <w:rFonts w:hint="default" w:ascii="Times New Roman" w:hAnsi="Times New Roman" w:eastAsia="仿宋_GB2312" w:cs="Times New Roman"/>
                <w:color w:val="auto"/>
                <w:sz w:val="21"/>
                <w:szCs w:val="21"/>
                <w:lang w:bidi="ar"/>
              </w:rPr>
              <w:t xml:space="preserve"> </w:t>
            </w:r>
            <w:r>
              <w:rPr>
                <w:rFonts w:hint="default" w:ascii="Times New Roman" w:hAnsi="Times New Roman" w:eastAsia="仿宋_GB2312" w:cs="Times New Roman"/>
                <w:kern w:val="0"/>
                <w:sz w:val="21"/>
                <w:szCs w:val="21"/>
                <w:lang w:bidi="ar"/>
              </w:rPr>
              <w:t>个日历日内。</w:t>
            </w:r>
          </w:p>
        </w:tc>
      </w:tr>
      <w:tr w14:paraId="53EA32A1">
        <w:tblPrEx>
          <w:tblCellMar>
            <w:top w:w="0" w:type="dxa"/>
            <w:left w:w="108" w:type="dxa"/>
            <w:bottom w:w="0" w:type="dxa"/>
            <w:right w:w="108" w:type="dxa"/>
          </w:tblCellMar>
        </w:tblPrEx>
        <w:trPr>
          <w:trHeight w:val="76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7992">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交货时间及地点</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A963">
            <w:pPr>
              <w:pStyle w:val="9"/>
              <w:keepNext w:val="0"/>
              <w:keepLines w:val="0"/>
              <w:pageBreakBefore w:val="0"/>
              <w:kinsoku/>
              <w:wordWrap/>
              <w:overflowPunct/>
              <w:topLinePunct w:val="0"/>
              <w:bidi w:val="0"/>
              <w:spacing w:line="360" w:lineRule="auto"/>
              <w:ind w:firstLine="0" w:firstLineChars="0"/>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1</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交货期：合同签订后</w:t>
            </w:r>
            <w:r>
              <w:rPr>
                <w:rFonts w:hint="default" w:ascii="Times New Roman" w:hAnsi="Times New Roman" w:eastAsia="仿宋_GB2312" w:cs="Times New Roman"/>
                <w:sz w:val="21"/>
                <w:szCs w:val="21"/>
              </w:rPr>
              <w:t>接到采购人通知之日起</w:t>
            </w:r>
            <w:r>
              <w:rPr>
                <w:rFonts w:hint="default" w:ascii="Times New Roman" w:hAnsi="Times New Roman" w:eastAsia="仿宋_GB2312" w:cs="Times New Roman"/>
                <w:sz w:val="21"/>
                <w:szCs w:val="21"/>
                <w:lang w:val="en-US" w:eastAsia="zh-CN"/>
              </w:rPr>
              <w:t>5</w:t>
            </w:r>
            <w:r>
              <w:rPr>
                <w:rFonts w:hint="default" w:ascii="Times New Roman" w:hAnsi="Times New Roman" w:eastAsia="仿宋_GB2312" w:cs="Times New Roman"/>
                <w:sz w:val="21"/>
                <w:szCs w:val="21"/>
              </w:rPr>
              <w:t>个</w:t>
            </w:r>
            <w:r>
              <w:rPr>
                <w:rFonts w:hint="default" w:ascii="Times New Roman" w:hAnsi="Times New Roman" w:eastAsia="仿宋_GB2312" w:cs="Times New Roman"/>
                <w:sz w:val="21"/>
                <w:szCs w:val="21"/>
                <w:lang w:eastAsia="zh-CN"/>
              </w:rPr>
              <w:t>工作</w:t>
            </w:r>
            <w:r>
              <w:rPr>
                <w:rFonts w:hint="default" w:ascii="Times New Roman" w:hAnsi="Times New Roman" w:eastAsia="仿宋_GB2312" w:cs="Times New Roman"/>
                <w:sz w:val="21"/>
                <w:szCs w:val="21"/>
              </w:rPr>
              <w:t>日内到货并安装</w:t>
            </w:r>
            <w:r>
              <w:rPr>
                <w:rFonts w:hint="default" w:ascii="Times New Roman" w:hAnsi="Times New Roman" w:eastAsia="仿宋_GB2312" w:cs="Times New Roman"/>
                <w:sz w:val="21"/>
                <w:szCs w:val="21"/>
                <w:lang w:eastAsia="zh-CN"/>
              </w:rPr>
              <w:t>调试</w:t>
            </w:r>
            <w:r>
              <w:rPr>
                <w:rFonts w:hint="default" w:ascii="Times New Roman" w:hAnsi="Times New Roman" w:eastAsia="仿宋_GB2312" w:cs="Times New Roman"/>
                <w:sz w:val="21"/>
                <w:szCs w:val="21"/>
              </w:rPr>
              <w:t>完毕交付使用。</w:t>
            </w:r>
          </w:p>
          <w:p w14:paraId="2E810054">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2</w:t>
            </w:r>
            <w:r>
              <w:rPr>
                <w:rStyle w:val="17"/>
                <w:rFonts w:hint="default" w:ascii="Times New Roman" w:hAnsi="Times New Roman" w:eastAsia="仿宋_GB2312" w:cs="Times New Roman"/>
                <w:color w:val="auto"/>
                <w:sz w:val="21"/>
                <w:szCs w:val="21"/>
                <w:lang w:eastAsia="zh-CN" w:bidi="ar"/>
              </w:rPr>
              <w:t>、</w:t>
            </w:r>
            <w:r>
              <w:rPr>
                <w:rStyle w:val="17"/>
                <w:rFonts w:hint="default" w:ascii="Times New Roman" w:hAnsi="Times New Roman" w:eastAsia="仿宋_GB2312" w:cs="Times New Roman"/>
                <w:color w:val="auto"/>
                <w:sz w:val="21"/>
                <w:szCs w:val="21"/>
                <w:lang w:bidi="ar"/>
              </w:rPr>
              <w:t>交货地点：</w:t>
            </w:r>
            <w:r>
              <w:rPr>
                <w:rFonts w:hint="default" w:ascii="Times New Roman" w:hAnsi="Times New Roman" w:eastAsia="仿宋_GB2312" w:cs="Times New Roman"/>
                <w:color w:val="000000"/>
                <w:sz w:val="21"/>
                <w:szCs w:val="21"/>
                <w:highlight w:val="none"/>
              </w:rPr>
              <w:t>南宁市建政路5号17栋204、207、402、505、507号</w:t>
            </w:r>
            <w:r>
              <w:rPr>
                <w:rFonts w:hint="default" w:ascii="Times New Roman" w:hAnsi="Times New Roman" w:eastAsia="仿宋_GB2312" w:cs="Times New Roman"/>
                <w:color w:val="000000"/>
                <w:sz w:val="21"/>
                <w:szCs w:val="21"/>
                <w:highlight w:val="none"/>
                <w:lang w:eastAsia="zh-CN"/>
              </w:rPr>
              <w:t>（</w:t>
            </w:r>
            <w:r>
              <w:rPr>
                <w:rFonts w:hint="default" w:ascii="Times New Roman" w:hAnsi="Times New Roman" w:eastAsia="仿宋_GB2312" w:cs="Times New Roman"/>
                <w:color w:val="000000"/>
                <w:sz w:val="21"/>
                <w:szCs w:val="21"/>
                <w:highlight w:val="none"/>
                <w:lang w:val="en-US" w:eastAsia="zh-CN"/>
              </w:rPr>
              <w:t>所有房间所在楼层均为步梯）</w:t>
            </w:r>
            <w:r>
              <w:rPr>
                <w:rStyle w:val="17"/>
                <w:rFonts w:hint="default" w:ascii="Times New Roman" w:hAnsi="Times New Roman" w:eastAsia="仿宋_GB2312" w:cs="Times New Roman"/>
                <w:color w:val="auto"/>
                <w:sz w:val="21"/>
                <w:szCs w:val="21"/>
                <w:lang w:bidi="ar"/>
              </w:rPr>
              <w:t>。</w:t>
            </w:r>
          </w:p>
        </w:tc>
      </w:tr>
      <w:tr w14:paraId="3DD0B353">
        <w:tblPrEx>
          <w:tblCellMar>
            <w:top w:w="0" w:type="dxa"/>
            <w:left w:w="108" w:type="dxa"/>
            <w:bottom w:w="0" w:type="dxa"/>
            <w:right w:w="108" w:type="dxa"/>
          </w:tblCellMar>
        </w:tblPrEx>
        <w:trPr>
          <w:trHeight w:val="76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AA19">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质保期</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B4BB">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按国家有关规定或厂家承诺实行“三包”，</w:t>
            </w:r>
            <w:r>
              <w:rPr>
                <w:rFonts w:hint="default" w:ascii="Times New Roman" w:hAnsi="Times New Roman" w:eastAsia="仿宋_GB2312" w:cs="Times New Roman"/>
                <w:kern w:val="0"/>
                <w:sz w:val="21"/>
                <w:szCs w:val="21"/>
                <w:lang w:bidi="ar"/>
              </w:rPr>
              <w:t>质保期从验收合格之日起整机不少于3年（技术参数中有特别指明质保期的按参数要求，厂家质保期高于采购要求的按厂家质保）</w:t>
            </w:r>
            <w:r>
              <w:rPr>
                <w:rStyle w:val="17"/>
                <w:rFonts w:hint="default" w:ascii="Times New Roman" w:hAnsi="Times New Roman" w:eastAsia="仿宋_GB2312" w:cs="Times New Roman"/>
                <w:color w:val="auto"/>
                <w:sz w:val="21"/>
                <w:szCs w:val="21"/>
                <w:lang w:bidi="ar"/>
              </w:rPr>
              <w:t>，质保期内全免费上门维修、免费更换零部件，质保期过后提供终身技术支持和维护。</w:t>
            </w:r>
          </w:p>
        </w:tc>
      </w:tr>
      <w:tr w14:paraId="1FAA8EC1">
        <w:tblPrEx>
          <w:tblCellMar>
            <w:top w:w="0" w:type="dxa"/>
            <w:left w:w="108" w:type="dxa"/>
            <w:bottom w:w="0" w:type="dxa"/>
            <w:right w:w="108" w:type="dxa"/>
          </w:tblCellMar>
        </w:tblPrEx>
        <w:trPr>
          <w:trHeight w:val="2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9493">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产品质量与售后服务要求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AD22">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r>
              <w:rPr>
                <w:rStyle w:val="17"/>
                <w:rFonts w:hint="default" w:ascii="Times New Roman" w:hAnsi="Times New Roman" w:eastAsia="仿宋_GB2312" w:cs="Times New Roman"/>
                <w:color w:val="auto"/>
                <w:sz w:val="21"/>
                <w:szCs w:val="21"/>
                <w:lang w:bidi="ar"/>
              </w:rPr>
              <w:t>▲1</w:t>
            </w:r>
            <w:r>
              <w:rPr>
                <w:rStyle w:val="17"/>
                <w:rFonts w:hint="default" w:ascii="Times New Roman" w:hAnsi="Times New Roman" w:eastAsia="仿宋_GB2312" w:cs="Times New Roman"/>
                <w:color w:val="auto"/>
                <w:sz w:val="21"/>
                <w:szCs w:val="21"/>
                <w:lang w:val="en-US" w:eastAsia="zh-CN" w:bidi="ar"/>
              </w:rPr>
              <w:t>.</w:t>
            </w:r>
            <w:r>
              <w:rPr>
                <w:rFonts w:hint="default" w:ascii="Times New Roman" w:hAnsi="Times New Roman" w:eastAsia="仿宋_GB2312" w:cs="Times New Roman"/>
                <w:sz w:val="21"/>
                <w:szCs w:val="21"/>
              </w:rPr>
              <w:t>竞价时必须上传响应文件，响应文件内容包含报价清单（注明所投品牌型号）、</w:t>
            </w:r>
            <w:r>
              <w:rPr>
                <w:rFonts w:hint="default" w:ascii="Times New Roman" w:hAnsi="Times New Roman" w:eastAsia="仿宋_GB2312" w:cs="Times New Roman"/>
                <w:bCs/>
                <w:sz w:val="21"/>
                <w:szCs w:val="21"/>
              </w:rPr>
              <w:t>竞标报价表</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sz w:val="21"/>
                <w:szCs w:val="21"/>
                <w:highlight w:val="none"/>
                <w:lang w:eastAsia="zh-CN"/>
              </w:rPr>
              <w:t>营业执照或者事业单位法人证书或者执业许可证等</w:t>
            </w:r>
            <w:r>
              <w:rPr>
                <w:rFonts w:hint="default" w:ascii="Times New Roman" w:hAnsi="Times New Roman" w:eastAsia="仿宋_GB2312" w:cs="Times New Roman"/>
                <w:color w:val="auto"/>
                <w:sz w:val="21"/>
                <w:szCs w:val="21"/>
                <w:highlight w:val="none"/>
                <w:lang w:val="en-US" w:eastAsia="zh-CN"/>
              </w:rPr>
              <w:t>资格证明材料复印件</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kern w:val="2"/>
                <w:sz w:val="21"/>
                <w:szCs w:val="21"/>
                <w:highlight w:val="none"/>
                <w:lang w:val="en-US" w:eastAsia="zh-CN" w:bidi="ar-SA"/>
              </w:rPr>
              <w:t>售后服务承诺书（包括但不限于质保期、故障响应时间、售后服务等内容，格式自拟）</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kern w:val="2"/>
                <w:sz w:val="21"/>
                <w:szCs w:val="21"/>
                <w:highlight w:val="none"/>
                <w:lang w:val="en-US" w:eastAsia="zh-CN" w:bidi="ar-SA"/>
              </w:rPr>
              <w:t>报价联系人及联系方式、邮箱</w:t>
            </w:r>
            <w:r>
              <w:rPr>
                <w:rFonts w:hint="default" w:ascii="Times New Roman" w:hAnsi="Times New Roman" w:eastAsia="仿宋_GB2312" w:cs="Times New Roman"/>
                <w:sz w:val="21"/>
                <w:szCs w:val="21"/>
              </w:rPr>
              <w:t>、</w:t>
            </w:r>
            <w:r>
              <w:rPr>
                <w:rFonts w:hint="default" w:ascii="Times New Roman" w:hAnsi="Times New Roman" w:eastAsia="仿宋_GB2312" w:cs="Times New Roman"/>
                <w:b w:val="0"/>
                <w:bCs w:val="0"/>
                <w:color w:val="auto"/>
                <w:kern w:val="2"/>
                <w:sz w:val="21"/>
                <w:szCs w:val="21"/>
                <w:highlight w:val="none"/>
                <w:lang w:val="en-US" w:eastAsia="zh-CN" w:bidi="ar-SA"/>
              </w:rPr>
              <w:t>法定代表人授权委托书及委托代理人有效身份证正反面复印件</w:t>
            </w:r>
            <w:r>
              <w:rPr>
                <w:rFonts w:hint="default" w:ascii="Times New Roman" w:hAnsi="Times New Roman" w:eastAsia="仿宋_GB2312" w:cs="Times New Roman"/>
                <w:color w:val="auto"/>
                <w:kern w:val="2"/>
                <w:sz w:val="21"/>
                <w:szCs w:val="21"/>
                <w:highlight w:val="none"/>
                <w:lang w:val="en-US" w:eastAsia="zh-CN" w:bidi="ar-SA"/>
              </w:rPr>
              <w:t>(如有委托，需提供)</w:t>
            </w:r>
            <w:r>
              <w:rPr>
                <w:rFonts w:hint="default" w:ascii="Times New Roman" w:hAnsi="Times New Roman" w:eastAsia="仿宋_GB2312" w:cs="Times New Roman"/>
                <w:sz w:val="21"/>
                <w:szCs w:val="21"/>
              </w:rPr>
              <w:t>、</w:t>
            </w:r>
            <w:r>
              <w:rPr>
                <w:rFonts w:hint="default" w:ascii="Times New Roman" w:hAnsi="Times New Roman" w:eastAsia="仿宋_GB2312" w:cs="Times New Roman"/>
                <w:sz w:val="21"/>
                <w:szCs w:val="21"/>
                <w:lang w:eastAsia="zh-CN"/>
              </w:rPr>
              <w:t>正品</w:t>
            </w:r>
            <w:r>
              <w:rPr>
                <w:rFonts w:hint="default" w:ascii="Times New Roman" w:hAnsi="Times New Roman" w:eastAsia="仿宋_GB2312" w:cs="Times New Roman"/>
                <w:sz w:val="21"/>
                <w:szCs w:val="21"/>
              </w:rPr>
              <w:t>承诺函复印件、货物技术参数配置清单等，如所提供的响应文件内容不全或者不符的，视为无效竞价；本项目仅接受意向品牌的产品参与报价，意向品牌以外的产品报价无效。</w:t>
            </w:r>
          </w:p>
          <w:p w14:paraId="1DA7DAD5">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bookmarkStart w:id="0" w:name="OLE_LINK2"/>
            <w:r>
              <w:rPr>
                <w:rStyle w:val="17"/>
                <w:rFonts w:hint="default" w:ascii="Times New Roman" w:hAnsi="Times New Roman" w:eastAsia="仿宋_GB2312" w:cs="Times New Roman"/>
                <w:color w:val="auto"/>
                <w:sz w:val="21"/>
                <w:szCs w:val="21"/>
                <w:lang w:bidi="ar"/>
              </w:rPr>
              <w:t>▲</w:t>
            </w:r>
            <w:bookmarkEnd w:id="0"/>
            <w:r>
              <w:rPr>
                <w:rStyle w:val="17"/>
                <w:rFonts w:hint="default" w:ascii="Times New Roman" w:hAnsi="Times New Roman" w:eastAsia="仿宋_GB2312" w:cs="Times New Roman"/>
                <w:color w:val="auto"/>
                <w:sz w:val="21"/>
                <w:szCs w:val="21"/>
                <w:lang w:bidi="ar"/>
              </w:rPr>
              <w:t>2</w:t>
            </w:r>
            <w:r>
              <w:rPr>
                <w:rStyle w:val="17"/>
                <w:rFonts w:hint="default" w:ascii="Times New Roman" w:hAnsi="Times New Roman" w:eastAsia="仿宋_GB2312" w:cs="Times New Roman"/>
                <w:color w:val="auto"/>
                <w:sz w:val="21"/>
                <w:szCs w:val="21"/>
                <w:lang w:val="en-US" w:eastAsia="zh-CN" w:bidi="ar"/>
              </w:rPr>
              <w:t>.</w:t>
            </w:r>
            <w:r>
              <w:rPr>
                <w:rStyle w:val="17"/>
                <w:rFonts w:hint="default" w:ascii="Times New Roman" w:hAnsi="Times New Roman" w:eastAsia="仿宋_GB2312" w:cs="Times New Roman"/>
                <w:color w:val="auto"/>
                <w:sz w:val="21"/>
                <w:szCs w:val="21"/>
                <w:lang w:bidi="ar"/>
              </w:rPr>
              <w:t>为保障产品性能符合竞价文件要求，防止虚假应标，竞标时必须提供与标“▲”技术参数要求及功能符合的“检测报告或功能截图”作为合同确认的标准依据，如出现所提供产品不符技术参数要求或无法提供所有“检测报告或功能截图”，均视为虚假应标处理，采购人有权拒签合同，并取消其成交资格；如出现以上虚假应标行为，采购人有权依法追求法律责任，并将依法向政采云平台举报，上报政府采购监管部门，予以禁止报价、扣除诚信分等处罚，政采云全平台各区划联动生效。</w:t>
            </w:r>
          </w:p>
          <w:p w14:paraId="61E372E8">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r>
              <w:rPr>
                <w:rStyle w:val="17"/>
                <w:rFonts w:hint="default" w:ascii="Times New Roman" w:hAnsi="Times New Roman" w:eastAsia="仿宋_GB2312" w:cs="Times New Roman"/>
                <w:color w:val="auto"/>
                <w:sz w:val="21"/>
                <w:szCs w:val="21"/>
                <w:lang w:val="en-US" w:eastAsia="zh-CN" w:bidi="ar"/>
              </w:rPr>
              <w:t>3</w:t>
            </w:r>
            <w:r>
              <w:rPr>
                <w:rStyle w:val="17"/>
                <w:rFonts w:hint="default" w:ascii="Times New Roman" w:hAnsi="Times New Roman" w:eastAsia="仿宋_GB2312" w:cs="Times New Roman"/>
                <w:color w:val="auto"/>
                <w:sz w:val="21"/>
                <w:szCs w:val="21"/>
                <w:lang w:bidi="ar"/>
              </w:rPr>
              <w:t xml:space="preserve">、本项目成交供应商必须按采购需求中意向的品牌进行供货，不接受意向品牌外的产品，供应商不得以任何理由更改设备的品牌、型号、配置，配置必须是原厂出厂配置，不接受出厂后加装。 </w:t>
            </w:r>
          </w:p>
          <w:p w14:paraId="0DB1596C">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val="en-US" w:eastAsia="zh-CN" w:bidi="ar"/>
              </w:rPr>
              <w:t>4</w:t>
            </w:r>
            <w:r>
              <w:rPr>
                <w:rStyle w:val="17"/>
                <w:rFonts w:hint="default" w:ascii="Times New Roman" w:hAnsi="Times New Roman" w:eastAsia="仿宋_GB2312" w:cs="Times New Roman"/>
                <w:color w:val="auto"/>
                <w:sz w:val="21"/>
                <w:szCs w:val="21"/>
                <w:lang w:bidi="ar"/>
              </w:rPr>
              <w:t>、故障响应时间：</w:t>
            </w:r>
            <w:r>
              <w:rPr>
                <w:rFonts w:hint="default" w:ascii="Times New Roman" w:hAnsi="Times New Roman" w:eastAsia="仿宋_GB2312" w:cs="Times New Roman"/>
                <w:kern w:val="0"/>
                <w:sz w:val="21"/>
                <w:szCs w:val="21"/>
                <w:lang w:bidi="ar"/>
              </w:rPr>
              <w:t>成交供应商收到采购人的故障维修通知后</w:t>
            </w:r>
            <w:r>
              <w:rPr>
                <w:rFonts w:hint="default" w:ascii="Times New Roman" w:hAnsi="Times New Roman" w:eastAsia="仿宋_GB2312" w:cs="Times New Roman"/>
                <w:kern w:val="0"/>
                <w:sz w:val="21"/>
                <w:szCs w:val="21"/>
                <w:lang w:val="en-US" w:eastAsia="zh-CN" w:bidi="ar"/>
              </w:rPr>
              <w:t>10</w:t>
            </w:r>
            <w:r>
              <w:rPr>
                <w:rFonts w:hint="default" w:ascii="Times New Roman" w:hAnsi="Times New Roman" w:eastAsia="仿宋_GB2312" w:cs="Times New Roman"/>
                <w:kern w:val="0"/>
                <w:sz w:val="21"/>
                <w:szCs w:val="21"/>
                <w:lang w:bidi="ar"/>
              </w:rPr>
              <w:t>分钟内</w:t>
            </w:r>
            <w:r>
              <w:rPr>
                <w:rFonts w:hint="default" w:ascii="Times New Roman" w:hAnsi="Times New Roman" w:eastAsia="仿宋_GB2312" w:cs="Times New Roman"/>
                <w:sz w:val="21"/>
                <w:szCs w:val="21"/>
              </w:rPr>
              <w:t>电话服务应答</w:t>
            </w:r>
            <w:r>
              <w:rPr>
                <w:rFonts w:hint="default" w:ascii="Times New Roman" w:hAnsi="Times New Roman" w:eastAsia="仿宋_GB2312" w:cs="Times New Roman"/>
                <w:kern w:val="0"/>
                <w:sz w:val="21"/>
                <w:szCs w:val="21"/>
                <w:lang w:bidi="ar"/>
              </w:rPr>
              <w:t>，2小时内到达现场进行维修，4小时内排除故障，</w:t>
            </w:r>
            <w:r>
              <w:rPr>
                <w:rFonts w:hint="default" w:ascii="Times New Roman" w:hAnsi="Times New Roman" w:eastAsia="仿宋_GB2312" w:cs="Times New Roman"/>
                <w:sz w:val="21"/>
                <w:szCs w:val="21"/>
              </w:rPr>
              <w:t>如24小时内无法修复的，质保期内</w:t>
            </w:r>
            <w:r>
              <w:rPr>
                <w:rFonts w:hint="default" w:ascii="Times New Roman" w:hAnsi="Times New Roman" w:eastAsia="仿宋_GB2312" w:cs="Times New Roman"/>
                <w:sz w:val="21"/>
                <w:szCs w:val="21"/>
                <w:lang w:val="en"/>
              </w:rPr>
              <w:t>成交</w:t>
            </w:r>
            <w:r>
              <w:rPr>
                <w:rFonts w:hint="default" w:ascii="Times New Roman" w:hAnsi="Times New Roman" w:eastAsia="仿宋_GB2312" w:cs="Times New Roman"/>
                <w:sz w:val="21"/>
                <w:szCs w:val="21"/>
              </w:rPr>
              <w:t>供应商应无条件更换新设备或提供代用设备，或采取使设备可正常运转的措施(必须响应)。</w:t>
            </w:r>
          </w:p>
        </w:tc>
      </w:tr>
      <w:tr w14:paraId="1D582386">
        <w:tblPrEx>
          <w:tblCellMar>
            <w:top w:w="0" w:type="dxa"/>
            <w:left w:w="108" w:type="dxa"/>
            <w:bottom w:w="0" w:type="dxa"/>
            <w:right w:w="108" w:type="dxa"/>
          </w:tblCellMar>
        </w:tblPrEx>
        <w:trPr>
          <w:trHeight w:val="2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0B73">
            <w:pPr>
              <w:keepNext w:val="0"/>
              <w:keepLines w:val="0"/>
              <w:pageBreakBefore w:val="0"/>
              <w:kinsoku/>
              <w:wordWrap/>
              <w:overflowPunct/>
              <w:topLinePunct w:val="0"/>
              <w:bidi w:val="0"/>
              <w:spacing w:line="360" w:lineRule="auto"/>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履约责任</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1298">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1</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不按本商务要求规定签订合同的，取消成交单位中标（竞得）资格。</w:t>
            </w:r>
          </w:p>
          <w:p w14:paraId="4473ECF7">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2</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因成交单位原因提前终止或解决合同的，除具有法定或约定免责理由外，采购单位没收成交单位履约保证金，同时按成交价款的20%赔偿采购单位损失（另行向采购单位缴纳）。</w:t>
            </w:r>
          </w:p>
          <w:p w14:paraId="6D0DC959">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发生以下情形之一的，成交单位每次向采购单位缴纳500元作为违约金。</w:t>
            </w:r>
          </w:p>
          <w:p w14:paraId="49A840B5">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.1成交单位达不到本需求文件约定的；</w:t>
            </w:r>
          </w:p>
          <w:p w14:paraId="22B54A52">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.2成交单位未达到或违反本商务文件约定的。</w:t>
            </w:r>
          </w:p>
          <w:p w14:paraId="45952E82">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3成交单位须按本需求文件约定安排技术人员进场调试安装实施。技术人员须连续开展作业，直至完成项目。未经采购单位同意不得停止。停止施工一天（半天按一天计），成交单位向采购单位缴纳1000元作为违约金。</w:t>
            </w:r>
          </w:p>
          <w:p w14:paraId="74A8CC42">
            <w:pPr>
              <w:keepNext w:val="0"/>
              <w:keepLines w:val="0"/>
              <w:pageBreakBefore w:val="0"/>
              <w:kinsoku/>
              <w:wordWrap/>
              <w:overflowPunct/>
              <w:topLinePunct w:val="0"/>
              <w:bidi w:val="0"/>
              <w:spacing w:line="360" w:lineRule="auto"/>
              <w:rPr>
                <w:rFonts w:hint="default" w:ascii="Times New Roman" w:hAnsi="Times New Roman" w:eastAsia="仿宋_GB2312" w:cs="Times New Roman"/>
                <w:kern w:val="0"/>
                <w:sz w:val="21"/>
                <w:szCs w:val="21"/>
                <w:lang w:val="zh-CN"/>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.4成交单位须按本需求文件要求和合同约定时间完成工作。每逾期一天，成交单位向采购单位缴纳1000元作为违约金。逾期天数达到10天（含10天）的，采购单位有权单方解除本合同，并有权拒绝支付合同款项。</w:t>
            </w:r>
          </w:p>
        </w:tc>
      </w:tr>
      <w:tr w14:paraId="5DE5450A">
        <w:tblPrEx>
          <w:tblCellMar>
            <w:top w:w="0" w:type="dxa"/>
            <w:left w:w="108" w:type="dxa"/>
            <w:bottom w:w="0" w:type="dxa"/>
            <w:right w:w="108" w:type="dxa"/>
          </w:tblCellMar>
        </w:tblPrEx>
        <w:trPr>
          <w:trHeight w:val="692"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DB4F">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付款方式</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8153">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项目全部内容实施完成并安装调试至正常运行，经采购人最终验收合格后，中标人开具</w:t>
            </w:r>
            <w:r>
              <w:rPr>
                <w:rFonts w:hint="default" w:ascii="Times New Roman" w:hAnsi="Times New Roman" w:eastAsia="仿宋_GB2312" w:cs="Times New Roman"/>
                <w:sz w:val="21"/>
                <w:szCs w:val="21"/>
              </w:rPr>
              <w:t>等额完税</w:t>
            </w:r>
            <w:r>
              <w:rPr>
                <w:rFonts w:hint="default" w:ascii="Times New Roman" w:hAnsi="Times New Roman" w:eastAsia="仿宋_GB2312" w:cs="Times New Roman"/>
                <w:kern w:val="0"/>
                <w:sz w:val="21"/>
                <w:szCs w:val="21"/>
                <w:lang w:bidi="ar"/>
              </w:rPr>
              <w:t>增值税</w:t>
            </w:r>
            <w:r>
              <w:rPr>
                <w:rFonts w:hint="default" w:ascii="Times New Roman" w:hAnsi="Times New Roman" w:eastAsia="仿宋_GB2312" w:cs="Times New Roman"/>
                <w:kern w:val="0"/>
                <w:sz w:val="21"/>
                <w:szCs w:val="21"/>
                <w:lang w:val="en-US" w:eastAsia="zh-CN" w:bidi="ar"/>
              </w:rPr>
              <w:t>专用</w:t>
            </w:r>
            <w:r>
              <w:rPr>
                <w:rFonts w:hint="default" w:ascii="Times New Roman" w:hAnsi="Times New Roman" w:eastAsia="仿宋_GB2312" w:cs="Times New Roman"/>
                <w:kern w:val="0"/>
                <w:sz w:val="21"/>
                <w:szCs w:val="21"/>
                <w:lang w:bidi="ar"/>
              </w:rPr>
              <w:t>发票给采购人，采购人在收到发票后</w:t>
            </w:r>
            <w:r>
              <w:rPr>
                <w:rFonts w:hint="default" w:ascii="Times New Roman" w:hAnsi="Times New Roman" w:eastAsia="仿宋_GB2312" w:cs="Times New Roman"/>
                <w:kern w:val="0"/>
                <w:sz w:val="21"/>
                <w:szCs w:val="21"/>
                <w:lang w:val="en-US" w:eastAsia="zh-CN" w:bidi="ar"/>
              </w:rPr>
              <w:t>20</w:t>
            </w:r>
            <w:r>
              <w:rPr>
                <w:rFonts w:hint="default" w:ascii="Times New Roman" w:hAnsi="Times New Roman" w:eastAsia="仿宋_GB2312" w:cs="Times New Roman"/>
                <w:kern w:val="0"/>
                <w:sz w:val="21"/>
                <w:szCs w:val="21"/>
                <w:lang w:bidi="ar"/>
              </w:rPr>
              <w:t>个工作日内一次性支付合同总价100%的货款。</w:t>
            </w:r>
          </w:p>
        </w:tc>
      </w:tr>
      <w:tr w14:paraId="123BD7A9">
        <w:tblPrEx>
          <w:tblCellMar>
            <w:top w:w="0" w:type="dxa"/>
            <w:left w:w="108" w:type="dxa"/>
            <w:bottom w:w="0" w:type="dxa"/>
            <w:right w:w="108" w:type="dxa"/>
          </w:tblCellMar>
        </w:tblPrEx>
        <w:trPr>
          <w:trHeight w:val="19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B999">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验收要求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4E0B">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1</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中标人所提供的货物应免费送货到采购人指定地点，并按采购人指定的安装地点完成设备的安装与调试。</w:t>
            </w:r>
          </w:p>
          <w:p w14:paraId="2117BEC7">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2</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中标人完成设备安装与调试后，供应商需对拟交付的合同成果及其组件进行自检并提出书面验收申请，经采购人同意后共同组织验收，签写相应验收意见并签名确认。如对验收存在异议的，可聘请第三方按合同约定组织验收。</w:t>
            </w:r>
          </w:p>
          <w:p w14:paraId="6527EEAD">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3</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货物（设备）验收合格，项目约定产品或服务方可正式交接，双方对相关货物清单、随机附件及验收结论意见书等书面材料进行清点签字后，作为项目的最终验收。</w:t>
            </w:r>
          </w:p>
          <w:p w14:paraId="31590DFB">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4</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验收费用：验收所产生的劳务费、检验费及相关发生的全部费用均由成交人承担。</w:t>
            </w:r>
          </w:p>
          <w:p w14:paraId="1BDC8FF7">
            <w:pPr>
              <w:pStyle w:val="6"/>
              <w:spacing w:line="360" w:lineRule="auto"/>
              <w:ind w:left="0" w:leftChars="0" w:firstLine="0" w:firstLineChars="0"/>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5</w:t>
            </w:r>
            <w:r>
              <w:rPr>
                <w:rFonts w:hint="default" w:ascii="Times New Roman" w:hAnsi="Times New Roman" w:eastAsia="仿宋_GB2312" w:cs="Times New Roman"/>
                <w:color w:val="000000" w:themeColor="text1"/>
                <w:kern w:val="0"/>
                <w:sz w:val="21"/>
                <w:szCs w:val="21"/>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为保证原厂正品，供货时必须提供原厂针对本项目授权、供货证明及售后服务承诺函原件，否则采购单位有权拒绝验收并终止合同。</w:t>
            </w:r>
          </w:p>
        </w:tc>
      </w:tr>
      <w:tr w14:paraId="33974CE9">
        <w:tblPrEx>
          <w:tblCellMar>
            <w:top w:w="0" w:type="dxa"/>
            <w:left w:w="108" w:type="dxa"/>
            <w:bottom w:w="0" w:type="dxa"/>
            <w:right w:w="108" w:type="dxa"/>
          </w:tblCellMar>
        </w:tblPrEx>
        <w:trPr>
          <w:trHeight w:val="985"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40E8">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其他要求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085F">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1</w:t>
            </w:r>
            <w:r>
              <w:rPr>
                <w:rFonts w:hint="default"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报价为采购人指定地点的现场交货价，包括： （1）货物的价格； （2）货物的标准附件、备品备件、专用工具的价格； （3）采购、利润、运输、装卸、安装、调试、培训、技术支持、售后服务等费用； （4）必要的保险费用和各项税费。</w:t>
            </w:r>
          </w:p>
          <w:p w14:paraId="074AF273">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▲2、为保障学院机房设备的统一管理，须提供设备迁移服务：将分散于各机柜设备及线路迁移至新建机柜，必须确保迁移后设备正常运行。设备迁移完毕，且学院各项业务能够正常使用后，方可视为服务完成。</w:t>
            </w:r>
          </w:p>
          <w:p w14:paraId="732393BE">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3、本项目成交供应商应遵守国家有关安全文明措施的有关规定。如果由于本项目成交供应商未能对安全文明生产采取必要的措施而导致发生与此有关的人身伤亡、罚款、索赔、损失补偿、诉讼及其他责任,本单位不承担任何责任。</w:t>
            </w:r>
          </w:p>
          <w:p w14:paraId="49568951">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color w:val="auto"/>
                <w:kern w:val="0"/>
                <w:sz w:val="21"/>
                <w:szCs w:val="21"/>
                <w:highlight w:val="none"/>
                <w:lang w:val="en-US" w:eastAsia="zh-CN" w:bidi="ar"/>
              </w:rPr>
              <w:t>4</w:t>
            </w:r>
            <w:r>
              <w:rPr>
                <w:rFonts w:hint="default" w:ascii="Times New Roman" w:hAnsi="Times New Roman" w:eastAsia="仿宋_GB2312" w:cs="Times New Roman"/>
                <w:color w:val="auto"/>
                <w:kern w:val="0"/>
                <w:sz w:val="21"/>
                <w:szCs w:val="21"/>
                <w:highlight w:val="none"/>
                <w:lang w:bidi="ar"/>
              </w:rPr>
              <w:t>、供应商在参与竞标报价前需仔细阅读项目采购的技术及商务要求，评估自身履约能力，谢绝恶意低价、不按要求报价、中标后无故放弃、不按合同履行等违约行为。</w:t>
            </w:r>
            <w:r>
              <w:rPr>
                <w:rFonts w:hint="default" w:ascii="Times New Roman" w:hAnsi="Times New Roman" w:eastAsia="仿宋_GB2312" w:cs="Times New Roman"/>
                <w:color w:val="auto"/>
                <w:sz w:val="21"/>
                <w:szCs w:val="21"/>
                <w:highlight w:val="none"/>
              </w:rPr>
              <w:t>对出现此类行为的预中标供应商，将根据在线竞价违约处理规则，依法依规提请政采云平台进行处罚，处罚内容包括停止推送报价信息、禁止报价等，并记入政府采购诚信档案。采购单位有权将在线询价单中的商务要求列入合同条款，否则有权拒签合同。</w:t>
            </w:r>
          </w:p>
        </w:tc>
      </w:tr>
    </w:tbl>
    <w:p w14:paraId="0AD6480A">
      <w:pPr>
        <w:rPr>
          <w:rFonts w:hint="eastAsia"/>
          <w:lang w:eastAsia="zh-CN"/>
        </w:rPr>
      </w:pPr>
    </w:p>
    <w:p w14:paraId="7ED0AB11">
      <w:pPr>
        <w:rPr>
          <w:rFonts w:hint="eastAsia"/>
          <w:lang w:eastAsia="zh-CN"/>
        </w:rPr>
      </w:pPr>
    </w:p>
    <w:p w14:paraId="62836AE6">
      <w:pPr>
        <w:rPr>
          <w:rFonts w:hint="eastAsia"/>
          <w:lang w:eastAsia="zh-CN"/>
        </w:rPr>
      </w:pPr>
    </w:p>
    <w:p w14:paraId="642687B8">
      <w:pPr>
        <w:rPr>
          <w:rFonts w:hint="eastAsia"/>
          <w:lang w:eastAsia="zh-CN"/>
        </w:rPr>
      </w:pPr>
    </w:p>
    <w:p w14:paraId="42239F21">
      <w:pPr>
        <w:rPr>
          <w:rFonts w:hint="eastAsia"/>
          <w:lang w:eastAsia="zh-CN"/>
        </w:rPr>
      </w:pPr>
      <w:r>
        <w:rPr>
          <w:rFonts w:hint="eastAsia"/>
          <w:lang w:eastAsia="zh-CN"/>
        </w:rPr>
        <w:br w:type="page"/>
      </w:r>
    </w:p>
    <w:p w14:paraId="633C9C2B">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p>
    <w:p w14:paraId="2A2D52AF">
      <w:pPr>
        <w:keepNext w:val="0"/>
        <w:keepLines w:val="0"/>
        <w:pageBreakBefore w:val="0"/>
        <w:widowControl w:val="0"/>
        <w:tabs>
          <w:tab w:val="left" w:pos="3479"/>
        </w:tabs>
        <w:kinsoku/>
        <w:wordWrap/>
        <w:overflowPunct/>
        <w:topLinePunct w:val="0"/>
        <w:autoSpaceDE/>
        <w:autoSpaceDN/>
        <w:bidi w:val="0"/>
        <w:adjustRightInd/>
        <w:spacing w:line="520" w:lineRule="exact"/>
        <w:jc w:val="center"/>
        <w:textAlignment w:val="auto"/>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44"/>
          <w:szCs w:val="44"/>
        </w:rPr>
        <w:t>竞  标  报  价  表</w:t>
      </w:r>
    </w:p>
    <w:p w14:paraId="29395AF0">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方正小标宋简体" w:hAnsi="方正小标宋简体" w:eastAsia="方正小标宋简体" w:cs="方正小标宋简体"/>
          <w:bCs/>
          <w:sz w:val="32"/>
          <w:szCs w:val="32"/>
        </w:rPr>
      </w:pPr>
    </w:p>
    <w:p w14:paraId="3768834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_GB2312"/>
          <w:sz w:val="24"/>
          <w:u w:val="single"/>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p>
    <w:p w14:paraId="71E966D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rPr>
        <w:t xml:space="preserve">                     </w:t>
      </w:r>
      <w:r>
        <w:rPr>
          <w:rFonts w:hint="eastAsia" w:ascii="宋体" w:hAnsi="宋体" w:cs="仿宋_GB2312"/>
          <w:sz w:val="24"/>
          <w:lang w:val="en-US" w:eastAsia="zh-CN"/>
        </w:rPr>
        <w:t xml:space="preserve">                                   </w:t>
      </w:r>
      <w:r>
        <w:rPr>
          <w:rFonts w:hint="eastAsia" w:ascii="宋体" w:hAnsi="宋体" w:cs="仿宋_GB2312"/>
          <w:sz w:val="24"/>
        </w:rPr>
        <w:t xml:space="preserve"> 单位：元</w:t>
      </w:r>
    </w:p>
    <w:tbl>
      <w:tblPr>
        <w:tblStyle w:val="11"/>
        <w:tblW w:w="146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1471"/>
        <w:gridCol w:w="1388"/>
        <w:gridCol w:w="1202"/>
        <w:gridCol w:w="1471"/>
        <w:gridCol w:w="2053"/>
        <w:gridCol w:w="1690"/>
        <w:gridCol w:w="1960"/>
        <w:gridCol w:w="2550"/>
      </w:tblGrid>
      <w:tr w14:paraId="003E2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723" w:hRule="atLeast"/>
        </w:trPr>
        <w:tc>
          <w:tcPr>
            <w:tcW w:w="838" w:type="dxa"/>
            <w:tcBorders>
              <w:top w:val="single" w:color="auto" w:sz="4" w:space="0"/>
              <w:left w:val="single" w:color="auto" w:sz="4" w:space="0"/>
              <w:bottom w:val="single" w:color="auto" w:sz="4" w:space="0"/>
              <w:right w:val="single" w:color="auto" w:sz="4" w:space="0"/>
            </w:tcBorders>
            <w:vAlign w:val="center"/>
          </w:tcPr>
          <w:p w14:paraId="50CBCD9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项号</w:t>
            </w:r>
          </w:p>
        </w:tc>
        <w:tc>
          <w:tcPr>
            <w:tcW w:w="1471" w:type="dxa"/>
            <w:tcBorders>
              <w:top w:val="single" w:color="auto" w:sz="4" w:space="0"/>
              <w:left w:val="single" w:color="auto" w:sz="4" w:space="0"/>
              <w:bottom w:val="single" w:color="auto" w:sz="4" w:space="0"/>
              <w:right w:val="single" w:color="auto" w:sz="4" w:space="0"/>
            </w:tcBorders>
            <w:vAlign w:val="center"/>
          </w:tcPr>
          <w:p w14:paraId="61EC9395">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仿宋_GB2312"/>
                <w:b/>
                <w:bCs/>
                <w:sz w:val="24"/>
              </w:rPr>
            </w:pPr>
            <w:r>
              <w:rPr>
                <w:rFonts w:hint="eastAsia" w:ascii="宋体" w:hAnsi="宋体" w:cs="仿宋_GB2312"/>
                <w:b/>
                <w:bCs/>
                <w:sz w:val="24"/>
              </w:rPr>
              <w:t>标的</w:t>
            </w:r>
            <w:r>
              <w:rPr>
                <w:rFonts w:hint="eastAsia" w:ascii="宋体" w:hAnsi="宋体" w:cs="仿宋_GB2312"/>
                <w:b/>
                <w:bCs/>
                <w:sz w:val="24"/>
                <w:lang w:eastAsia="zh-CN"/>
              </w:rPr>
              <w:t>物</w:t>
            </w:r>
            <w:r>
              <w:rPr>
                <w:rFonts w:hint="eastAsia" w:ascii="宋体" w:hAnsi="宋体" w:cs="仿宋_GB2312"/>
                <w:b/>
                <w:bCs/>
                <w:sz w:val="24"/>
              </w:rPr>
              <w:t>名称</w:t>
            </w:r>
          </w:p>
        </w:tc>
        <w:tc>
          <w:tcPr>
            <w:tcW w:w="1388" w:type="dxa"/>
            <w:tcBorders>
              <w:top w:val="single" w:color="auto" w:sz="4" w:space="0"/>
              <w:left w:val="single" w:color="auto" w:sz="4" w:space="0"/>
              <w:bottom w:val="single" w:color="auto" w:sz="4" w:space="0"/>
              <w:right w:val="single" w:color="auto" w:sz="4" w:space="0"/>
            </w:tcBorders>
            <w:vAlign w:val="center"/>
          </w:tcPr>
          <w:p w14:paraId="3C73AD9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单位</w:t>
            </w:r>
          </w:p>
        </w:tc>
        <w:tc>
          <w:tcPr>
            <w:tcW w:w="1202" w:type="dxa"/>
            <w:tcBorders>
              <w:top w:val="single" w:color="auto" w:sz="4" w:space="0"/>
              <w:left w:val="single" w:color="auto" w:sz="4" w:space="0"/>
              <w:bottom w:val="single" w:color="auto" w:sz="4" w:space="0"/>
              <w:right w:val="single" w:color="auto" w:sz="4" w:space="0"/>
            </w:tcBorders>
            <w:vAlign w:val="center"/>
          </w:tcPr>
          <w:p w14:paraId="5D16853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数量</w:t>
            </w:r>
          </w:p>
          <w:p w14:paraId="2C3C530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①</w:t>
            </w:r>
          </w:p>
        </w:tc>
        <w:tc>
          <w:tcPr>
            <w:tcW w:w="1471" w:type="dxa"/>
            <w:tcBorders>
              <w:top w:val="single" w:color="auto" w:sz="4" w:space="0"/>
              <w:left w:val="single" w:color="auto" w:sz="4" w:space="0"/>
              <w:bottom w:val="single" w:color="auto" w:sz="4" w:space="0"/>
              <w:right w:val="single" w:color="auto" w:sz="4" w:space="0"/>
            </w:tcBorders>
            <w:vAlign w:val="center"/>
          </w:tcPr>
          <w:p w14:paraId="211779F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品牌</w:t>
            </w:r>
          </w:p>
        </w:tc>
        <w:tc>
          <w:tcPr>
            <w:tcW w:w="2053" w:type="dxa"/>
            <w:tcBorders>
              <w:top w:val="single" w:color="auto" w:sz="4" w:space="0"/>
              <w:left w:val="single" w:color="auto" w:sz="4" w:space="0"/>
              <w:bottom w:val="single" w:color="auto" w:sz="4" w:space="0"/>
              <w:right w:val="single" w:color="auto" w:sz="4" w:space="0"/>
            </w:tcBorders>
            <w:vAlign w:val="center"/>
          </w:tcPr>
          <w:p w14:paraId="3A4FCE27">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仿宋_GB2312"/>
                <w:b/>
                <w:bCs/>
                <w:sz w:val="24"/>
              </w:rPr>
            </w:pPr>
            <w:r>
              <w:rPr>
                <w:rFonts w:hint="eastAsia" w:ascii="宋体" w:hAnsi="宋体" w:cs="仿宋_GB2312"/>
                <w:b/>
                <w:bCs/>
                <w:sz w:val="24"/>
              </w:rPr>
              <w:t>规格</w:t>
            </w:r>
          </w:p>
          <w:p w14:paraId="132B4F00">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型号</w:t>
            </w:r>
          </w:p>
        </w:tc>
        <w:tc>
          <w:tcPr>
            <w:tcW w:w="1690" w:type="dxa"/>
            <w:tcBorders>
              <w:top w:val="single" w:color="auto" w:sz="4" w:space="0"/>
              <w:left w:val="single" w:color="auto" w:sz="4" w:space="0"/>
              <w:bottom w:val="single" w:color="auto" w:sz="4" w:space="0"/>
              <w:right w:val="single" w:color="auto" w:sz="4" w:space="0"/>
            </w:tcBorders>
            <w:vAlign w:val="center"/>
          </w:tcPr>
          <w:p w14:paraId="321DAAC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制造商</w:t>
            </w:r>
          </w:p>
        </w:tc>
        <w:tc>
          <w:tcPr>
            <w:tcW w:w="1960" w:type="dxa"/>
            <w:tcBorders>
              <w:top w:val="single" w:color="auto" w:sz="4" w:space="0"/>
              <w:left w:val="single" w:color="auto" w:sz="4" w:space="0"/>
              <w:bottom w:val="single" w:color="auto" w:sz="4" w:space="0"/>
              <w:right w:val="single" w:color="auto" w:sz="4" w:space="0"/>
            </w:tcBorders>
            <w:vAlign w:val="center"/>
          </w:tcPr>
          <w:p w14:paraId="0E60762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单价</w:t>
            </w:r>
          </w:p>
          <w:p w14:paraId="32A15F0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②</w:t>
            </w:r>
          </w:p>
        </w:tc>
        <w:tc>
          <w:tcPr>
            <w:tcW w:w="2550" w:type="dxa"/>
            <w:tcBorders>
              <w:top w:val="single" w:color="auto" w:sz="4" w:space="0"/>
              <w:left w:val="single" w:color="auto" w:sz="4" w:space="0"/>
              <w:bottom w:val="single" w:color="auto" w:sz="4" w:space="0"/>
              <w:right w:val="single" w:color="auto" w:sz="4" w:space="0"/>
            </w:tcBorders>
            <w:vAlign w:val="center"/>
          </w:tcPr>
          <w:p w14:paraId="11584D2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竞标报价</w:t>
            </w:r>
          </w:p>
          <w:p w14:paraId="08F1754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③=①×②</w:t>
            </w:r>
          </w:p>
        </w:tc>
      </w:tr>
      <w:tr w14:paraId="2612B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7697E9F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1</w:t>
            </w:r>
          </w:p>
        </w:tc>
        <w:tc>
          <w:tcPr>
            <w:tcW w:w="1471" w:type="dxa"/>
            <w:tcBorders>
              <w:top w:val="single" w:color="auto" w:sz="4" w:space="0"/>
              <w:left w:val="single" w:color="auto" w:sz="4" w:space="0"/>
              <w:bottom w:val="single" w:color="auto" w:sz="4" w:space="0"/>
              <w:right w:val="single" w:color="auto" w:sz="4" w:space="0"/>
            </w:tcBorders>
            <w:vAlign w:val="center"/>
          </w:tcPr>
          <w:p w14:paraId="3B759A5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7E12B53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51B49CB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55171FC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053" w:type="dxa"/>
            <w:tcBorders>
              <w:top w:val="single" w:color="auto" w:sz="4" w:space="0"/>
              <w:left w:val="single" w:color="auto" w:sz="4" w:space="0"/>
              <w:bottom w:val="single" w:color="auto" w:sz="4" w:space="0"/>
              <w:right w:val="single" w:color="auto" w:sz="4" w:space="0"/>
            </w:tcBorders>
            <w:vAlign w:val="center"/>
          </w:tcPr>
          <w:p w14:paraId="1F58432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90" w:type="dxa"/>
            <w:tcBorders>
              <w:top w:val="single" w:color="auto" w:sz="4" w:space="0"/>
              <w:left w:val="single" w:color="auto" w:sz="4" w:space="0"/>
              <w:bottom w:val="single" w:color="auto" w:sz="4" w:space="0"/>
              <w:right w:val="single" w:color="auto" w:sz="4" w:space="0"/>
            </w:tcBorders>
            <w:vAlign w:val="top"/>
          </w:tcPr>
          <w:p w14:paraId="1AEC3ED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60" w:type="dxa"/>
            <w:tcBorders>
              <w:top w:val="single" w:color="auto" w:sz="4" w:space="0"/>
              <w:left w:val="single" w:color="auto" w:sz="4" w:space="0"/>
              <w:bottom w:val="single" w:color="auto" w:sz="4" w:space="0"/>
              <w:right w:val="single" w:color="auto" w:sz="4" w:space="0"/>
            </w:tcBorders>
            <w:vAlign w:val="center"/>
          </w:tcPr>
          <w:p w14:paraId="5FC885B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550" w:type="dxa"/>
            <w:tcBorders>
              <w:top w:val="single" w:color="auto" w:sz="4" w:space="0"/>
              <w:left w:val="single" w:color="auto" w:sz="4" w:space="0"/>
              <w:bottom w:val="single" w:color="auto" w:sz="4" w:space="0"/>
              <w:right w:val="single" w:color="auto" w:sz="4" w:space="0"/>
            </w:tcBorders>
            <w:vAlign w:val="center"/>
          </w:tcPr>
          <w:p w14:paraId="7C5533A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086E9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29B6155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2</w:t>
            </w:r>
          </w:p>
        </w:tc>
        <w:tc>
          <w:tcPr>
            <w:tcW w:w="1471" w:type="dxa"/>
            <w:tcBorders>
              <w:top w:val="single" w:color="auto" w:sz="4" w:space="0"/>
              <w:left w:val="single" w:color="auto" w:sz="4" w:space="0"/>
              <w:bottom w:val="single" w:color="auto" w:sz="4" w:space="0"/>
              <w:right w:val="single" w:color="auto" w:sz="4" w:space="0"/>
            </w:tcBorders>
            <w:vAlign w:val="center"/>
          </w:tcPr>
          <w:p w14:paraId="7D7D566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3C11D8A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0CC44C2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2729288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053" w:type="dxa"/>
            <w:tcBorders>
              <w:top w:val="single" w:color="auto" w:sz="4" w:space="0"/>
              <w:left w:val="single" w:color="auto" w:sz="4" w:space="0"/>
              <w:bottom w:val="single" w:color="auto" w:sz="4" w:space="0"/>
              <w:right w:val="single" w:color="auto" w:sz="4" w:space="0"/>
            </w:tcBorders>
            <w:vAlign w:val="center"/>
          </w:tcPr>
          <w:p w14:paraId="3EDE9E2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90" w:type="dxa"/>
            <w:tcBorders>
              <w:top w:val="single" w:color="auto" w:sz="4" w:space="0"/>
              <w:left w:val="single" w:color="auto" w:sz="4" w:space="0"/>
              <w:bottom w:val="single" w:color="auto" w:sz="4" w:space="0"/>
              <w:right w:val="single" w:color="auto" w:sz="4" w:space="0"/>
            </w:tcBorders>
            <w:vAlign w:val="top"/>
          </w:tcPr>
          <w:p w14:paraId="7212E42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60" w:type="dxa"/>
            <w:tcBorders>
              <w:top w:val="single" w:color="auto" w:sz="4" w:space="0"/>
              <w:left w:val="single" w:color="auto" w:sz="4" w:space="0"/>
              <w:bottom w:val="single" w:color="auto" w:sz="4" w:space="0"/>
              <w:right w:val="single" w:color="auto" w:sz="4" w:space="0"/>
            </w:tcBorders>
            <w:vAlign w:val="center"/>
          </w:tcPr>
          <w:p w14:paraId="5C04072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550" w:type="dxa"/>
            <w:tcBorders>
              <w:top w:val="single" w:color="auto" w:sz="4" w:space="0"/>
              <w:left w:val="single" w:color="auto" w:sz="4" w:space="0"/>
              <w:bottom w:val="single" w:color="auto" w:sz="4" w:space="0"/>
              <w:right w:val="single" w:color="auto" w:sz="4" w:space="0"/>
            </w:tcBorders>
            <w:vAlign w:val="center"/>
          </w:tcPr>
          <w:p w14:paraId="4314B2D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4E003D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544" w:hRule="atLeast"/>
        </w:trPr>
        <w:tc>
          <w:tcPr>
            <w:tcW w:w="838" w:type="dxa"/>
            <w:tcBorders>
              <w:top w:val="single" w:color="auto" w:sz="4" w:space="0"/>
              <w:left w:val="single" w:color="auto" w:sz="4" w:space="0"/>
              <w:bottom w:val="single" w:color="auto" w:sz="4" w:space="0"/>
              <w:right w:val="single" w:color="auto" w:sz="4" w:space="0"/>
            </w:tcBorders>
            <w:vAlign w:val="center"/>
          </w:tcPr>
          <w:p w14:paraId="70247AF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w:t>
            </w:r>
          </w:p>
        </w:tc>
        <w:tc>
          <w:tcPr>
            <w:tcW w:w="1471" w:type="dxa"/>
            <w:tcBorders>
              <w:top w:val="single" w:color="auto" w:sz="4" w:space="0"/>
              <w:left w:val="single" w:color="auto" w:sz="4" w:space="0"/>
              <w:bottom w:val="single" w:color="auto" w:sz="4" w:space="0"/>
              <w:right w:val="single" w:color="auto" w:sz="4" w:space="0"/>
            </w:tcBorders>
            <w:vAlign w:val="center"/>
          </w:tcPr>
          <w:p w14:paraId="2A2B1E1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w:t>
            </w:r>
          </w:p>
        </w:tc>
        <w:tc>
          <w:tcPr>
            <w:tcW w:w="1388" w:type="dxa"/>
            <w:tcBorders>
              <w:top w:val="single" w:color="auto" w:sz="4" w:space="0"/>
              <w:left w:val="single" w:color="auto" w:sz="4" w:space="0"/>
              <w:bottom w:val="single" w:color="auto" w:sz="4" w:space="0"/>
              <w:right w:val="single" w:color="auto" w:sz="4" w:space="0"/>
            </w:tcBorders>
            <w:vAlign w:val="center"/>
          </w:tcPr>
          <w:p w14:paraId="24BED2A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6F28573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101BD25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053" w:type="dxa"/>
            <w:tcBorders>
              <w:top w:val="single" w:color="auto" w:sz="4" w:space="0"/>
              <w:left w:val="single" w:color="auto" w:sz="4" w:space="0"/>
              <w:bottom w:val="single" w:color="auto" w:sz="4" w:space="0"/>
              <w:right w:val="single" w:color="auto" w:sz="4" w:space="0"/>
            </w:tcBorders>
            <w:vAlign w:val="center"/>
          </w:tcPr>
          <w:p w14:paraId="3DF2CC8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90" w:type="dxa"/>
            <w:tcBorders>
              <w:top w:val="single" w:color="auto" w:sz="4" w:space="0"/>
              <w:left w:val="single" w:color="auto" w:sz="4" w:space="0"/>
              <w:bottom w:val="single" w:color="auto" w:sz="4" w:space="0"/>
              <w:right w:val="single" w:color="auto" w:sz="4" w:space="0"/>
            </w:tcBorders>
            <w:vAlign w:val="top"/>
          </w:tcPr>
          <w:p w14:paraId="5E7E7F3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60" w:type="dxa"/>
            <w:tcBorders>
              <w:top w:val="single" w:color="auto" w:sz="4" w:space="0"/>
              <w:left w:val="single" w:color="auto" w:sz="4" w:space="0"/>
              <w:bottom w:val="single" w:color="auto" w:sz="4" w:space="0"/>
              <w:right w:val="single" w:color="auto" w:sz="4" w:space="0"/>
            </w:tcBorders>
            <w:vAlign w:val="center"/>
          </w:tcPr>
          <w:p w14:paraId="68F533E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550" w:type="dxa"/>
            <w:tcBorders>
              <w:top w:val="single" w:color="auto" w:sz="4" w:space="0"/>
              <w:left w:val="single" w:color="auto" w:sz="4" w:space="0"/>
              <w:bottom w:val="single" w:color="auto" w:sz="4" w:space="0"/>
              <w:right w:val="single" w:color="auto" w:sz="4" w:space="0"/>
            </w:tcBorders>
            <w:vAlign w:val="center"/>
          </w:tcPr>
          <w:p w14:paraId="6A0C719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1BEE0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4623" w:type="dxa"/>
            <w:gridSpan w:val="9"/>
            <w:tcBorders>
              <w:top w:val="single" w:color="auto" w:sz="4" w:space="0"/>
              <w:left w:val="single" w:color="auto" w:sz="4" w:space="0"/>
              <w:bottom w:val="single" w:color="auto" w:sz="4" w:space="0"/>
              <w:right w:val="single" w:color="auto" w:sz="4" w:space="0"/>
            </w:tcBorders>
            <w:vAlign w:val="center"/>
          </w:tcPr>
          <w:p w14:paraId="12030F9F">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cs="仿宋_GB2312"/>
                <w:sz w:val="24"/>
                <w:u w:val="single"/>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tc>
      </w:tr>
    </w:tbl>
    <w:p w14:paraId="6F35741C">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rPr>
        <w:t>注: 1.所有价格均用人民币表示，单位为元，精确到个数位。</w:t>
      </w:r>
    </w:p>
    <w:p w14:paraId="788B9D62">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以上竞标报价表中“货物名称、数量及单位、品牌、规格型号、制造商、参数性能、指标及配置”必须如实填写完整，品牌、规格型号没有则填无，填写有缺漏的，其响应文件按无效响应处理。</w:t>
      </w:r>
    </w:p>
    <w:p w14:paraId="3CE7113E">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3、</w:t>
      </w:r>
      <w:r>
        <w:rPr>
          <w:rFonts w:hint="eastAsia" w:ascii="宋体" w:hAnsi="宋体" w:eastAsia="宋体" w:cs="Times New Roman"/>
          <w:sz w:val="24"/>
        </w:rPr>
        <w:t>供应商的报价表必须加盖供应商公章并由法定代表人或者委托代理人签字，否则其响应文件按无效响应处理。</w:t>
      </w:r>
    </w:p>
    <w:p w14:paraId="7C1A7EB4">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4、</w:t>
      </w:r>
      <w:r>
        <w:rPr>
          <w:rFonts w:hint="eastAsia" w:ascii="宋体" w:hAnsi="宋体" w:eastAsia="宋体" w:cs="Times New Roman"/>
          <w:sz w:val="24"/>
        </w:rPr>
        <w:t>报价一经涂改，应在涂改处加盖供应商公章或者由法定代表人或者授权委托人签字或者盖章，否则其响应文件按无效响应处理。</w:t>
      </w:r>
    </w:p>
    <w:p w14:paraId="6BC8B4CD">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cs="仿宋_GB2312"/>
          <w:sz w:val="24"/>
        </w:rPr>
      </w:pPr>
    </w:p>
    <w:p w14:paraId="54CC5D53">
      <w:pPr>
        <w:keepNext w:val="0"/>
        <w:keepLines w:val="0"/>
        <w:pageBreakBefore w:val="0"/>
        <w:widowControl w:val="0"/>
        <w:kinsoku/>
        <w:wordWrap/>
        <w:overflowPunct/>
        <w:topLinePunct w:val="0"/>
        <w:autoSpaceDE/>
        <w:autoSpaceDN/>
        <w:bidi w:val="0"/>
        <w:adjustRightInd/>
        <w:spacing w:line="360" w:lineRule="auto"/>
        <w:ind w:right="-817" w:rightChars="-389" w:firstLine="2640" w:firstLineChars="1100"/>
        <w:contextualSpacing/>
        <w:textAlignment w:val="auto"/>
        <w:rPr>
          <w:rFonts w:hint="eastAsia" w:ascii="宋体" w:hAnsi="宋体" w:cs="仿宋_GB2312"/>
          <w:sz w:val="24"/>
        </w:rPr>
      </w:pPr>
    </w:p>
    <w:p w14:paraId="77683060">
      <w:pPr>
        <w:keepNext w:val="0"/>
        <w:keepLines w:val="0"/>
        <w:pageBreakBefore w:val="0"/>
        <w:widowControl w:val="0"/>
        <w:kinsoku/>
        <w:wordWrap/>
        <w:overflowPunct/>
        <w:topLinePunct w:val="0"/>
        <w:autoSpaceDE/>
        <w:autoSpaceDN/>
        <w:bidi w:val="0"/>
        <w:adjustRightInd/>
        <w:spacing w:line="360" w:lineRule="auto"/>
        <w:ind w:right="-817" w:rightChars="-389" w:firstLine="6240" w:firstLineChars="2600"/>
        <w:contextualSpacing/>
        <w:textAlignment w:val="auto"/>
        <w:rPr>
          <w:rFonts w:hint="eastAsia" w:ascii="宋体" w:hAnsi="宋体" w:cs="仿宋_GB2312"/>
          <w:sz w:val="24"/>
        </w:rPr>
      </w:pPr>
      <w:r>
        <w:rPr>
          <w:rFonts w:hint="eastAsia" w:ascii="宋体" w:hAnsi="宋体" w:cs="仿宋_GB2312"/>
          <w:sz w:val="24"/>
        </w:rPr>
        <w:t xml:space="preserve">法定代表人或者委托代理人（签字）：                    </w:t>
      </w:r>
    </w:p>
    <w:p w14:paraId="0A09DEA2">
      <w:pPr>
        <w:keepNext w:val="0"/>
        <w:keepLines w:val="0"/>
        <w:pageBreakBefore w:val="0"/>
        <w:widowControl w:val="0"/>
        <w:kinsoku/>
        <w:wordWrap/>
        <w:overflowPunct/>
        <w:topLinePunct w:val="0"/>
        <w:autoSpaceDE/>
        <w:autoSpaceDN/>
        <w:bidi w:val="0"/>
        <w:adjustRightInd/>
        <w:spacing w:line="360" w:lineRule="auto"/>
        <w:ind w:right="-817" w:rightChars="-389" w:firstLine="8160" w:firstLineChars="3400"/>
        <w:contextualSpacing/>
        <w:textAlignment w:val="auto"/>
        <w:rPr>
          <w:rFonts w:hint="eastAsia" w:ascii="宋体" w:hAnsi="宋体" w:cs="仿宋_GB2312"/>
          <w:sz w:val="24"/>
        </w:rPr>
      </w:pPr>
      <w:r>
        <w:rPr>
          <w:rFonts w:hint="eastAsia" w:ascii="宋体" w:hAnsi="宋体" w:cs="仿宋_GB2312"/>
          <w:sz w:val="24"/>
        </w:rPr>
        <w:t xml:space="preserve">供应商（盖公章）：      </w:t>
      </w:r>
    </w:p>
    <w:p w14:paraId="68BF4B60">
      <w:pPr>
        <w:keepNext w:val="0"/>
        <w:keepLines w:val="0"/>
        <w:pageBreakBefore w:val="0"/>
        <w:widowControl w:val="0"/>
        <w:kinsoku/>
        <w:wordWrap/>
        <w:overflowPunct/>
        <w:topLinePunct w:val="0"/>
        <w:autoSpaceDE/>
        <w:autoSpaceDN/>
        <w:bidi w:val="0"/>
        <w:adjustRightInd/>
        <w:spacing w:line="360" w:lineRule="auto"/>
        <w:ind w:right="-817" w:rightChars="-389" w:firstLine="9360" w:firstLineChars="3900"/>
        <w:contextualSpacing/>
        <w:textAlignment w:val="auto"/>
        <w:rPr>
          <w:rFonts w:hint="eastAsia" w:ascii="仿宋_GB2312" w:hAnsi="仿宋_GB2312" w:eastAsia="仿宋_GB2312" w:cs="仿宋_GB2312"/>
          <w:b/>
          <w:sz w:val="32"/>
          <w:szCs w:val="32"/>
        </w:rPr>
      </w:pPr>
      <w:r>
        <w:rPr>
          <w:rFonts w:hint="eastAsia" w:ascii="宋体" w:hAnsi="宋体" w:cs="仿宋_GB2312"/>
          <w:sz w:val="24"/>
        </w:rPr>
        <w:t>日</w:t>
      </w:r>
      <w:r>
        <w:rPr>
          <w:rFonts w:hint="eastAsia" w:ascii="宋体" w:hAnsi="宋体" w:cs="仿宋_GB2312"/>
          <w:sz w:val="24"/>
          <w:lang w:val="en-US" w:eastAsia="zh-CN"/>
        </w:rPr>
        <w:t xml:space="preserve"> </w:t>
      </w:r>
      <w:r>
        <w:rPr>
          <w:rFonts w:hint="eastAsia" w:ascii="宋体" w:hAnsi="宋体" w:cs="仿宋_GB2312"/>
          <w:sz w:val="24"/>
        </w:rPr>
        <w:t>期：   年   月   日</w:t>
      </w:r>
    </w:p>
    <w:p w14:paraId="395563D9">
      <w:pPr>
        <w:pStyle w:val="10"/>
        <w:rPr>
          <w:rFonts w:hint="default"/>
          <w:lang w:val="en-US" w:eastAsia="zh-CN"/>
        </w:rPr>
      </w:pPr>
    </w:p>
    <w:p w14:paraId="5CEDCEB4">
      <w:pPr>
        <w:adjustRightInd w:val="0"/>
        <w:snapToGrid w:val="0"/>
        <w:spacing w:line="52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货物</w:t>
      </w:r>
      <w:r>
        <w:rPr>
          <w:rFonts w:hint="eastAsia" w:ascii="方正小标宋简体" w:hAnsi="方正小标宋简体" w:eastAsia="方正小标宋简体" w:cs="方正小标宋简体"/>
          <w:bCs/>
          <w:sz w:val="44"/>
          <w:szCs w:val="44"/>
        </w:rPr>
        <w:t>技术参数配置清单</w:t>
      </w:r>
    </w:p>
    <w:p w14:paraId="6F23B2A6">
      <w:pPr>
        <w:spacing w:line="300" w:lineRule="auto"/>
        <w:rPr>
          <w:rFonts w:hint="eastAsia" w:ascii="宋体" w:hAnsi="宋体"/>
          <w:szCs w:val="21"/>
        </w:rPr>
      </w:pPr>
    </w:p>
    <w:p w14:paraId="008BB11F">
      <w:pPr>
        <w:spacing w:line="360" w:lineRule="auto"/>
        <w:rPr>
          <w:rFonts w:hint="eastAsia" w:ascii="宋体" w:hAnsi="宋体" w:cs="仿宋_GB2312" w:eastAsiaTheme="minorEastAsia"/>
          <w:sz w:val="24"/>
          <w:lang w:val="en-US" w:eastAsia="zh-CN"/>
        </w:rPr>
      </w:pPr>
      <w:r>
        <w:rPr>
          <w:rFonts w:hint="eastAsia" w:ascii="宋体" w:hAnsi="宋体" w:cs="仿宋_GB2312"/>
          <w:sz w:val="24"/>
        </w:rPr>
        <w:t>项目</w:t>
      </w:r>
      <w:r>
        <w:rPr>
          <w:rFonts w:hint="eastAsia" w:ascii="宋体" w:hAnsi="宋体" w:cs="仿宋_GB2312"/>
          <w:sz w:val="24"/>
          <w:lang w:val="en-US" w:eastAsia="zh-CN"/>
        </w:rPr>
        <w:t>名称</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 xml:space="preserve"> </w:t>
      </w:r>
      <w:r>
        <w:rPr>
          <w:rFonts w:hint="eastAsia" w:ascii="宋体" w:hAnsi="宋体" w:cs="仿宋_GB2312"/>
          <w:sz w:val="24"/>
          <w:lang w:val="en-US" w:eastAsia="zh-CN"/>
        </w:rPr>
        <w:t xml:space="preserve"> </w:t>
      </w:r>
      <w:r>
        <w:rPr>
          <w:rFonts w:hint="eastAsia" w:ascii="宋体" w:hAnsi="宋体" w:cs="仿宋_GB2312"/>
          <w:sz w:val="24"/>
        </w:rPr>
        <w:t>项目</w:t>
      </w:r>
      <w:r>
        <w:rPr>
          <w:rFonts w:hint="eastAsia" w:ascii="宋体" w:hAnsi="宋体" w:cs="仿宋_GB2312"/>
          <w:sz w:val="24"/>
          <w:lang w:val="en-US" w:eastAsia="zh-CN"/>
        </w:rPr>
        <w:t>编号</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rPr>
        <w:t xml:space="preserve"> </w:t>
      </w:r>
      <w:r>
        <w:rPr>
          <w:rFonts w:hint="eastAsia" w:ascii="宋体" w:hAnsi="宋体" w:cs="仿宋_GB2312"/>
          <w:sz w:val="24"/>
          <w:lang w:eastAsia="zh-CN"/>
        </w:rPr>
        <w:t>供应商：</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p>
    <w:tbl>
      <w:tblPr>
        <w:tblStyle w:val="11"/>
        <w:tblW w:w="1365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0"/>
        <w:gridCol w:w="2208"/>
        <w:gridCol w:w="1139"/>
        <w:gridCol w:w="1039"/>
        <w:gridCol w:w="1320"/>
        <w:gridCol w:w="1758"/>
        <w:gridCol w:w="1711"/>
        <w:gridCol w:w="3735"/>
      </w:tblGrid>
      <w:tr w14:paraId="153D3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10B60C91">
            <w:pPr>
              <w:snapToGrid w:val="0"/>
              <w:spacing w:before="50" w:after="50"/>
              <w:jc w:val="center"/>
              <w:rPr>
                <w:rFonts w:hint="eastAsia" w:ascii="宋体" w:hAnsi="宋体"/>
                <w:sz w:val="24"/>
              </w:rPr>
            </w:pPr>
            <w:r>
              <w:rPr>
                <w:rFonts w:hint="eastAsia" w:ascii="宋体" w:hAnsi="宋体"/>
                <w:sz w:val="24"/>
              </w:rPr>
              <w:t>序号</w:t>
            </w:r>
          </w:p>
        </w:tc>
        <w:tc>
          <w:tcPr>
            <w:tcW w:w="2208" w:type="dxa"/>
            <w:tcBorders>
              <w:top w:val="single" w:color="auto" w:sz="4" w:space="0"/>
              <w:left w:val="single" w:color="auto" w:sz="4" w:space="0"/>
              <w:bottom w:val="single" w:color="auto" w:sz="4" w:space="0"/>
              <w:right w:val="single" w:color="auto" w:sz="4" w:space="0"/>
            </w:tcBorders>
            <w:vAlign w:val="center"/>
          </w:tcPr>
          <w:p w14:paraId="683A0177">
            <w:pPr>
              <w:snapToGrid w:val="0"/>
              <w:spacing w:before="50" w:after="50"/>
              <w:jc w:val="center"/>
              <w:rPr>
                <w:rFonts w:hint="eastAsia" w:ascii="宋体" w:hAnsi="宋体"/>
                <w:sz w:val="24"/>
              </w:rPr>
            </w:pPr>
            <w:r>
              <w:rPr>
                <w:rFonts w:hint="eastAsia" w:ascii="宋体" w:hAnsi="宋体"/>
                <w:sz w:val="24"/>
              </w:rPr>
              <w:t>货物名称</w:t>
            </w:r>
          </w:p>
        </w:tc>
        <w:tc>
          <w:tcPr>
            <w:tcW w:w="1139" w:type="dxa"/>
            <w:tcBorders>
              <w:top w:val="single" w:color="auto" w:sz="4" w:space="0"/>
              <w:left w:val="single" w:color="auto" w:sz="4" w:space="0"/>
              <w:bottom w:val="single" w:color="auto" w:sz="4" w:space="0"/>
              <w:right w:val="single" w:color="auto" w:sz="4" w:space="0"/>
            </w:tcBorders>
            <w:vAlign w:val="center"/>
          </w:tcPr>
          <w:p w14:paraId="3783B380">
            <w:pPr>
              <w:snapToGrid w:val="0"/>
              <w:spacing w:before="50" w:after="50"/>
              <w:jc w:val="center"/>
              <w:rPr>
                <w:rFonts w:hint="eastAsia" w:ascii="宋体" w:hAnsi="宋体"/>
                <w:sz w:val="24"/>
              </w:rPr>
            </w:pPr>
            <w:r>
              <w:rPr>
                <w:rFonts w:hint="eastAsia" w:ascii="宋体" w:hAnsi="宋体"/>
                <w:sz w:val="24"/>
              </w:rPr>
              <w:t>单位</w:t>
            </w:r>
          </w:p>
        </w:tc>
        <w:tc>
          <w:tcPr>
            <w:tcW w:w="1039" w:type="dxa"/>
            <w:tcBorders>
              <w:top w:val="single" w:color="auto" w:sz="4" w:space="0"/>
              <w:left w:val="single" w:color="auto" w:sz="4" w:space="0"/>
              <w:bottom w:val="single" w:color="auto" w:sz="4" w:space="0"/>
              <w:right w:val="single" w:color="auto" w:sz="4" w:space="0"/>
            </w:tcBorders>
            <w:vAlign w:val="center"/>
          </w:tcPr>
          <w:p w14:paraId="745CDAFA">
            <w:pPr>
              <w:snapToGrid w:val="0"/>
              <w:spacing w:before="50" w:after="50"/>
              <w:jc w:val="center"/>
              <w:rPr>
                <w:rFonts w:hint="eastAsia" w:ascii="宋体" w:hAnsi="宋体"/>
                <w:sz w:val="24"/>
              </w:rPr>
            </w:pPr>
            <w:r>
              <w:rPr>
                <w:rFonts w:hint="eastAsia" w:ascii="宋体" w:hAnsi="宋体"/>
                <w:sz w:val="24"/>
              </w:rPr>
              <w:t>数量</w:t>
            </w:r>
          </w:p>
        </w:tc>
        <w:tc>
          <w:tcPr>
            <w:tcW w:w="1320" w:type="dxa"/>
            <w:tcBorders>
              <w:top w:val="single" w:color="auto" w:sz="4" w:space="0"/>
              <w:left w:val="single" w:color="auto" w:sz="4" w:space="0"/>
              <w:bottom w:val="single" w:color="auto" w:sz="4" w:space="0"/>
              <w:right w:val="single" w:color="auto" w:sz="4" w:space="0"/>
            </w:tcBorders>
            <w:vAlign w:val="center"/>
          </w:tcPr>
          <w:p w14:paraId="2D66ABC3">
            <w:pPr>
              <w:snapToGrid w:val="0"/>
              <w:spacing w:before="50" w:after="50"/>
              <w:jc w:val="center"/>
              <w:rPr>
                <w:rFonts w:hint="eastAsia" w:ascii="宋体" w:hAnsi="宋体"/>
                <w:sz w:val="24"/>
              </w:rPr>
            </w:pPr>
            <w:r>
              <w:rPr>
                <w:rFonts w:hint="eastAsia" w:ascii="宋体" w:hAnsi="宋体"/>
                <w:sz w:val="24"/>
              </w:rPr>
              <w:t>品牌</w:t>
            </w:r>
          </w:p>
        </w:tc>
        <w:tc>
          <w:tcPr>
            <w:tcW w:w="1758" w:type="dxa"/>
            <w:tcBorders>
              <w:top w:val="single" w:color="auto" w:sz="4" w:space="0"/>
              <w:left w:val="single" w:color="auto" w:sz="4" w:space="0"/>
              <w:bottom w:val="single" w:color="auto" w:sz="4" w:space="0"/>
              <w:right w:val="single" w:color="auto" w:sz="4" w:space="0"/>
            </w:tcBorders>
            <w:vAlign w:val="top"/>
          </w:tcPr>
          <w:p w14:paraId="50393253">
            <w:pPr>
              <w:snapToGrid w:val="0"/>
              <w:spacing w:before="50" w:after="50"/>
              <w:jc w:val="center"/>
              <w:rPr>
                <w:rFonts w:ascii="宋体" w:hAnsi="宋体"/>
                <w:sz w:val="24"/>
              </w:rPr>
            </w:pPr>
          </w:p>
          <w:p w14:paraId="49F74BAD">
            <w:pPr>
              <w:snapToGrid w:val="0"/>
              <w:spacing w:before="50" w:after="50"/>
              <w:jc w:val="center"/>
              <w:rPr>
                <w:rFonts w:hint="eastAsia" w:ascii="宋体" w:hAnsi="宋体"/>
                <w:sz w:val="24"/>
              </w:rPr>
            </w:pPr>
            <w:r>
              <w:rPr>
                <w:rFonts w:hint="eastAsia" w:ascii="宋体" w:hAnsi="宋体"/>
                <w:sz w:val="24"/>
              </w:rPr>
              <w:t>规格型号</w:t>
            </w:r>
          </w:p>
        </w:tc>
        <w:tc>
          <w:tcPr>
            <w:tcW w:w="1711" w:type="dxa"/>
            <w:tcBorders>
              <w:top w:val="single" w:color="auto" w:sz="4" w:space="0"/>
              <w:left w:val="single" w:color="auto" w:sz="4" w:space="0"/>
              <w:bottom w:val="single" w:color="auto" w:sz="4" w:space="0"/>
              <w:right w:val="single" w:color="auto" w:sz="4" w:space="0"/>
            </w:tcBorders>
            <w:vAlign w:val="center"/>
          </w:tcPr>
          <w:p w14:paraId="43BBBA0D">
            <w:pPr>
              <w:snapToGrid w:val="0"/>
              <w:spacing w:before="50" w:after="50"/>
              <w:jc w:val="center"/>
              <w:rPr>
                <w:rFonts w:hint="eastAsia" w:ascii="宋体" w:hAnsi="宋体"/>
                <w:sz w:val="24"/>
              </w:rPr>
            </w:pPr>
            <w:r>
              <w:rPr>
                <w:rFonts w:hint="eastAsia" w:ascii="宋体" w:hAnsi="宋体"/>
                <w:sz w:val="24"/>
              </w:rPr>
              <w:t>制造商</w:t>
            </w:r>
          </w:p>
        </w:tc>
        <w:tc>
          <w:tcPr>
            <w:tcW w:w="3735" w:type="dxa"/>
            <w:tcBorders>
              <w:top w:val="single" w:color="auto" w:sz="4" w:space="0"/>
              <w:left w:val="single" w:color="auto" w:sz="4" w:space="0"/>
              <w:bottom w:val="single" w:color="auto" w:sz="4" w:space="0"/>
              <w:right w:val="single" w:color="auto" w:sz="4" w:space="0"/>
            </w:tcBorders>
            <w:vAlign w:val="center"/>
          </w:tcPr>
          <w:p w14:paraId="091F73F3">
            <w:pPr>
              <w:snapToGrid w:val="0"/>
              <w:spacing w:before="50" w:after="50"/>
              <w:jc w:val="center"/>
              <w:rPr>
                <w:rFonts w:hint="eastAsia" w:ascii="宋体" w:hAnsi="宋体"/>
                <w:sz w:val="24"/>
              </w:rPr>
            </w:pPr>
            <w:r>
              <w:rPr>
                <w:rFonts w:hint="eastAsia" w:ascii="宋体" w:hAnsi="宋体"/>
                <w:sz w:val="24"/>
              </w:rPr>
              <w:t>参数性能、指标及配置</w:t>
            </w:r>
          </w:p>
        </w:tc>
      </w:tr>
      <w:tr w14:paraId="2EF3A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3DC40F97">
            <w:pPr>
              <w:snapToGrid w:val="0"/>
              <w:spacing w:before="50" w:after="50"/>
              <w:jc w:val="center"/>
              <w:rPr>
                <w:rFonts w:hint="eastAsia" w:ascii="宋体" w:hAnsi="宋体" w:eastAsiaTheme="minorEastAsia"/>
                <w:sz w:val="24"/>
                <w:lang w:val="en-US" w:eastAsia="zh-CN"/>
              </w:rPr>
            </w:pPr>
            <w:r>
              <w:rPr>
                <w:rFonts w:hint="eastAsia" w:ascii="宋体" w:hAnsi="宋体"/>
                <w:sz w:val="24"/>
                <w:lang w:val="en-US" w:eastAsia="zh-CN"/>
              </w:rPr>
              <w:t>1</w:t>
            </w:r>
          </w:p>
        </w:tc>
        <w:tc>
          <w:tcPr>
            <w:tcW w:w="2208" w:type="dxa"/>
            <w:tcBorders>
              <w:top w:val="single" w:color="auto" w:sz="4" w:space="0"/>
              <w:left w:val="single" w:color="auto" w:sz="4" w:space="0"/>
              <w:bottom w:val="single" w:color="auto" w:sz="4" w:space="0"/>
              <w:right w:val="single" w:color="auto" w:sz="4" w:space="0"/>
            </w:tcBorders>
            <w:vAlign w:val="center"/>
          </w:tcPr>
          <w:p w14:paraId="512A2ED1">
            <w:pPr>
              <w:snapToGrid w:val="0"/>
              <w:spacing w:before="50" w:after="50"/>
              <w:jc w:val="center"/>
              <w:rPr>
                <w:rFonts w:hint="eastAsia" w:ascii="宋体" w:hAnsi="宋体"/>
                <w:sz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3752D5B0">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3973B16A">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7F33D6DC">
            <w:pPr>
              <w:snapToGrid w:val="0"/>
              <w:spacing w:before="50" w:after="50"/>
              <w:jc w:val="center"/>
              <w:rPr>
                <w:rFonts w:hint="eastAsia" w:ascii="宋体" w:hAnsi="宋体"/>
                <w:sz w:val="24"/>
              </w:rPr>
            </w:pPr>
          </w:p>
        </w:tc>
        <w:tc>
          <w:tcPr>
            <w:tcW w:w="1758" w:type="dxa"/>
            <w:tcBorders>
              <w:top w:val="single" w:color="auto" w:sz="4" w:space="0"/>
              <w:left w:val="single" w:color="auto" w:sz="4" w:space="0"/>
              <w:bottom w:val="single" w:color="auto" w:sz="4" w:space="0"/>
              <w:right w:val="single" w:color="auto" w:sz="4" w:space="0"/>
            </w:tcBorders>
            <w:vAlign w:val="top"/>
          </w:tcPr>
          <w:p w14:paraId="7BA0989C">
            <w:pPr>
              <w:snapToGrid w:val="0"/>
              <w:spacing w:before="50" w:after="50"/>
              <w:jc w:val="center"/>
              <w:rPr>
                <w:rFonts w:hint="eastAsia" w:ascii="宋体" w:hAnsi="宋体"/>
                <w:sz w:val="24"/>
              </w:rPr>
            </w:pPr>
          </w:p>
        </w:tc>
        <w:tc>
          <w:tcPr>
            <w:tcW w:w="1711" w:type="dxa"/>
            <w:tcBorders>
              <w:top w:val="single" w:color="auto" w:sz="4" w:space="0"/>
              <w:left w:val="single" w:color="auto" w:sz="4" w:space="0"/>
              <w:bottom w:val="single" w:color="auto" w:sz="4" w:space="0"/>
              <w:right w:val="single" w:color="auto" w:sz="4" w:space="0"/>
            </w:tcBorders>
            <w:vAlign w:val="center"/>
          </w:tcPr>
          <w:p w14:paraId="204E41DB">
            <w:pPr>
              <w:snapToGrid w:val="0"/>
              <w:spacing w:before="50" w:after="50"/>
              <w:jc w:val="center"/>
              <w:rPr>
                <w:rFonts w:hint="eastAsia" w:ascii="宋体" w:hAnsi="宋体"/>
                <w:sz w:val="24"/>
              </w:rPr>
            </w:pPr>
          </w:p>
        </w:tc>
        <w:tc>
          <w:tcPr>
            <w:tcW w:w="3735" w:type="dxa"/>
            <w:tcBorders>
              <w:top w:val="single" w:color="auto" w:sz="4" w:space="0"/>
              <w:left w:val="single" w:color="auto" w:sz="4" w:space="0"/>
              <w:bottom w:val="single" w:color="auto" w:sz="4" w:space="0"/>
              <w:right w:val="single" w:color="auto" w:sz="4" w:space="0"/>
            </w:tcBorders>
            <w:vAlign w:val="center"/>
          </w:tcPr>
          <w:p w14:paraId="041211B4">
            <w:pPr>
              <w:snapToGrid w:val="0"/>
              <w:spacing w:before="50" w:after="50"/>
              <w:jc w:val="center"/>
              <w:rPr>
                <w:rFonts w:hint="eastAsia" w:ascii="宋体" w:hAnsi="宋体"/>
                <w:sz w:val="24"/>
              </w:rPr>
            </w:pPr>
          </w:p>
        </w:tc>
      </w:tr>
      <w:tr w14:paraId="31F600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491626FF">
            <w:pPr>
              <w:snapToGrid w:val="0"/>
              <w:spacing w:before="50" w:after="50"/>
              <w:jc w:val="center"/>
              <w:rPr>
                <w:rFonts w:hint="eastAsia" w:ascii="宋体" w:hAnsi="宋体" w:eastAsiaTheme="minorEastAsia"/>
                <w:sz w:val="24"/>
                <w:lang w:val="en-US" w:eastAsia="zh-CN"/>
              </w:rPr>
            </w:pPr>
            <w:r>
              <w:rPr>
                <w:rFonts w:hint="eastAsia" w:ascii="宋体" w:hAnsi="宋体"/>
                <w:sz w:val="24"/>
                <w:lang w:val="en-US" w:eastAsia="zh-CN"/>
              </w:rPr>
              <w:t>2</w:t>
            </w:r>
          </w:p>
        </w:tc>
        <w:tc>
          <w:tcPr>
            <w:tcW w:w="2208" w:type="dxa"/>
            <w:tcBorders>
              <w:top w:val="single" w:color="auto" w:sz="4" w:space="0"/>
              <w:left w:val="single" w:color="auto" w:sz="4" w:space="0"/>
              <w:bottom w:val="single" w:color="auto" w:sz="4" w:space="0"/>
              <w:right w:val="single" w:color="auto" w:sz="4" w:space="0"/>
            </w:tcBorders>
            <w:vAlign w:val="center"/>
          </w:tcPr>
          <w:p w14:paraId="1053E3F2">
            <w:pPr>
              <w:snapToGrid w:val="0"/>
              <w:spacing w:before="50" w:after="50"/>
              <w:jc w:val="center"/>
              <w:rPr>
                <w:rFonts w:hint="eastAsia" w:ascii="宋体" w:hAnsi="宋体"/>
                <w:sz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413CD06F">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4009EB3A">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1618657D">
            <w:pPr>
              <w:snapToGrid w:val="0"/>
              <w:spacing w:before="50" w:after="50"/>
              <w:jc w:val="center"/>
              <w:rPr>
                <w:rFonts w:hint="eastAsia" w:ascii="宋体" w:hAnsi="宋体"/>
                <w:sz w:val="24"/>
              </w:rPr>
            </w:pPr>
          </w:p>
        </w:tc>
        <w:tc>
          <w:tcPr>
            <w:tcW w:w="1758" w:type="dxa"/>
            <w:tcBorders>
              <w:top w:val="single" w:color="auto" w:sz="4" w:space="0"/>
              <w:left w:val="single" w:color="auto" w:sz="4" w:space="0"/>
              <w:bottom w:val="single" w:color="auto" w:sz="4" w:space="0"/>
              <w:right w:val="single" w:color="auto" w:sz="4" w:space="0"/>
            </w:tcBorders>
            <w:vAlign w:val="top"/>
          </w:tcPr>
          <w:p w14:paraId="422D1C88">
            <w:pPr>
              <w:snapToGrid w:val="0"/>
              <w:spacing w:before="50" w:after="50"/>
              <w:jc w:val="center"/>
              <w:rPr>
                <w:rFonts w:hint="eastAsia" w:ascii="宋体" w:hAnsi="宋体"/>
                <w:sz w:val="24"/>
              </w:rPr>
            </w:pPr>
          </w:p>
        </w:tc>
        <w:tc>
          <w:tcPr>
            <w:tcW w:w="1711" w:type="dxa"/>
            <w:tcBorders>
              <w:top w:val="single" w:color="auto" w:sz="4" w:space="0"/>
              <w:left w:val="single" w:color="auto" w:sz="4" w:space="0"/>
              <w:bottom w:val="single" w:color="auto" w:sz="4" w:space="0"/>
              <w:right w:val="single" w:color="auto" w:sz="4" w:space="0"/>
            </w:tcBorders>
            <w:vAlign w:val="center"/>
          </w:tcPr>
          <w:p w14:paraId="52FA736A">
            <w:pPr>
              <w:snapToGrid w:val="0"/>
              <w:spacing w:before="50" w:after="50"/>
              <w:jc w:val="center"/>
              <w:rPr>
                <w:rFonts w:hint="eastAsia" w:ascii="宋体" w:hAnsi="宋体"/>
                <w:sz w:val="24"/>
              </w:rPr>
            </w:pPr>
          </w:p>
        </w:tc>
        <w:tc>
          <w:tcPr>
            <w:tcW w:w="3735" w:type="dxa"/>
            <w:tcBorders>
              <w:top w:val="single" w:color="auto" w:sz="4" w:space="0"/>
              <w:left w:val="single" w:color="auto" w:sz="4" w:space="0"/>
              <w:bottom w:val="single" w:color="auto" w:sz="4" w:space="0"/>
              <w:right w:val="single" w:color="auto" w:sz="4" w:space="0"/>
            </w:tcBorders>
            <w:vAlign w:val="center"/>
          </w:tcPr>
          <w:p w14:paraId="7D0F2D3F">
            <w:pPr>
              <w:snapToGrid w:val="0"/>
              <w:spacing w:before="50" w:after="50"/>
              <w:jc w:val="center"/>
              <w:rPr>
                <w:rFonts w:hint="eastAsia" w:ascii="宋体" w:hAnsi="宋体"/>
                <w:sz w:val="24"/>
              </w:rPr>
            </w:pPr>
          </w:p>
        </w:tc>
      </w:tr>
      <w:tr w14:paraId="1DDAEF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1DC327D6">
            <w:pPr>
              <w:snapToGrid w:val="0"/>
              <w:spacing w:before="50" w:after="50"/>
              <w:jc w:val="center"/>
              <w:rPr>
                <w:rFonts w:hint="eastAsia" w:ascii="宋体" w:hAnsi="宋体" w:eastAsiaTheme="minorEastAsia"/>
                <w:sz w:val="24"/>
                <w:lang w:eastAsia="zh-CN"/>
              </w:rPr>
            </w:pPr>
            <w:r>
              <w:rPr>
                <w:rFonts w:hint="eastAsia" w:ascii="宋体" w:hAnsi="宋体"/>
                <w:sz w:val="24"/>
                <w:lang w:eastAsia="zh-CN"/>
              </w:rPr>
              <w:t>……</w:t>
            </w:r>
          </w:p>
        </w:tc>
        <w:tc>
          <w:tcPr>
            <w:tcW w:w="2208" w:type="dxa"/>
            <w:tcBorders>
              <w:top w:val="single" w:color="auto" w:sz="4" w:space="0"/>
              <w:left w:val="single" w:color="auto" w:sz="4" w:space="0"/>
              <w:bottom w:val="single" w:color="auto" w:sz="4" w:space="0"/>
              <w:right w:val="single" w:color="auto" w:sz="4" w:space="0"/>
            </w:tcBorders>
            <w:vAlign w:val="center"/>
          </w:tcPr>
          <w:p w14:paraId="248CD1C5">
            <w:pPr>
              <w:snapToGrid w:val="0"/>
              <w:spacing w:before="50" w:after="50"/>
              <w:jc w:val="center"/>
              <w:rPr>
                <w:rFonts w:hint="eastAsia" w:ascii="宋体" w:hAnsi="宋体"/>
                <w:sz w:val="24"/>
              </w:rPr>
            </w:pPr>
            <w:r>
              <w:rPr>
                <w:rFonts w:hint="eastAsia" w:ascii="宋体" w:hAnsi="宋体" w:cs="仿宋_GB2312"/>
                <w:sz w:val="24"/>
              </w:rPr>
              <w:t>……</w:t>
            </w:r>
          </w:p>
        </w:tc>
        <w:tc>
          <w:tcPr>
            <w:tcW w:w="1139" w:type="dxa"/>
            <w:tcBorders>
              <w:top w:val="single" w:color="auto" w:sz="4" w:space="0"/>
              <w:left w:val="single" w:color="auto" w:sz="4" w:space="0"/>
              <w:bottom w:val="single" w:color="auto" w:sz="4" w:space="0"/>
              <w:right w:val="single" w:color="auto" w:sz="4" w:space="0"/>
            </w:tcBorders>
            <w:vAlign w:val="center"/>
          </w:tcPr>
          <w:p w14:paraId="7C9EB532">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76AC7A40">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1C6A496B">
            <w:pPr>
              <w:snapToGrid w:val="0"/>
              <w:spacing w:before="50" w:after="50"/>
              <w:jc w:val="center"/>
              <w:rPr>
                <w:rFonts w:hint="eastAsia" w:ascii="宋体" w:hAnsi="宋体"/>
                <w:sz w:val="24"/>
              </w:rPr>
            </w:pPr>
          </w:p>
        </w:tc>
        <w:tc>
          <w:tcPr>
            <w:tcW w:w="1758" w:type="dxa"/>
            <w:tcBorders>
              <w:top w:val="single" w:color="auto" w:sz="4" w:space="0"/>
              <w:left w:val="single" w:color="auto" w:sz="4" w:space="0"/>
              <w:bottom w:val="single" w:color="auto" w:sz="4" w:space="0"/>
              <w:right w:val="single" w:color="auto" w:sz="4" w:space="0"/>
            </w:tcBorders>
            <w:vAlign w:val="top"/>
          </w:tcPr>
          <w:p w14:paraId="4473C8E6">
            <w:pPr>
              <w:snapToGrid w:val="0"/>
              <w:spacing w:before="50" w:after="50"/>
              <w:jc w:val="center"/>
              <w:rPr>
                <w:rFonts w:hint="eastAsia" w:ascii="宋体" w:hAnsi="宋体"/>
                <w:sz w:val="24"/>
              </w:rPr>
            </w:pPr>
          </w:p>
        </w:tc>
        <w:tc>
          <w:tcPr>
            <w:tcW w:w="1711" w:type="dxa"/>
            <w:tcBorders>
              <w:top w:val="single" w:color="auto" w:sz="4" w:space="0"/>
              <w:left w:val="single" w:color="auto" w:sz="4" w:space="0"/>
              <w:bottom w:val="single" w:color="auto" w:sz="4" w:space="0"/>
              <w:right w:val="single" w:color="auto" w:sz="4" w:space="0"/>
            </w:tcBorders>
            <w:vAlign w:val="center"/>
          </w:tcPr>
          <w:p w14:paraId="1BC63A6F">
            <w:pPr>
              <w:snapToGrid w:val="0"/>
              <w:spacing w:before="50" w:after="50"/>
              <w:jc w:val="center"/>
              <w:rPr>
                <w:rFonts w:hint="eastAsia" w:ascii="宋体" w:hAnsi="宋体"/>
                <w:sz w:val="24"/>
              </w:rPr>
            </w:pPr>
          </w:p>
        </w:tc>
        <w:tc>
          <w:tcPr>
            <w:tcW w:w="3735" w:type="dxa"/>
            <w:tcBorders>
              <w:top w:val="single" w:color="auto" w:sz="4" w:space="0"/>
              <w:left w:val="single" w:color="auto" w:sz="4" w:space="0"/>
              <w:bottom w:val="single" w:color="auto" w:sz="4" w:space="0"/>
              <w:right w:val="single" w:color="auto" w:sz="4" w:space="0"/>
            </w:tcBorders>
            <w:vAlign w:val="center"/>
          </w:tcPr>
          <w:p w14:paraId="042A87ED">
            <w:pPr>
              <w:snapToGrid w:val="0"/>
              <w:spacing w:before="50" w:after="50"/>
              <w:jc w:val="center"/>
              <w:rPr>
                <w:rFonts w:hint="eastAsia" w:ascii="宋体" w:hAnsi="宋体"/>
                <w:sz w:val="24"/>
              </w:rPr>
            </w:pPr>
          </w:p>
        </w:tc>
      </w:tr>
    </w:tbl>
    <w:p w14:paraId="622B2F85">
      <w:pPr>
        <w:spacing w:line="360" w:lineRule="auto"/>
        <w:contextualSpacing/>
        <w:rPr>
          <w:rFonts w:hint="eastAsia" w:ascii="宋体" w:hAnsi="宋体"/>
          <w:sz w:val="24"/>
        </w:rPr>
      </w:pPr>
      <w:r>
        <w:rPr>
          <w:rFonts w:hint="eastAsia" w:ascii="宋体" w:hAnsi="宋体"/>
          <w:sz w:val="24"/>
        </w:rPr>
        <w:t>备注：</w:t>
      </w:r>
    </w:p>
    <w:p w14:paraId="282F6AB3">
      <w:pPr>
        <w:tabs>
          <w:tab w:val="left" w:pos="1065"/>
        </w:tabs>
        <w:adjustRightInd w:val="0"/>
        <w:spacing w:line="360" w:lineRule="auto"/>
        <w:ind w:firstLine="482" w:firstLineChars="200"/>
        <w:contextualSpacing/>
        <w:rPr>
          <w:rFonts w:hint="eastAsia" w:ascii="宋体" w:hAnsi="宋体" w:cs="仿宋_GB2312"/>
          <w:sz w:val="24"/>
        </w:rPr>
      </w:pPr>
      <w:r>
        <w:rPr>
          <w:rFonts w:hint="eastAsia" w:ascii="宋体" w:hAnsi="宋体"/>
          <w:b/>
          <w:bCs/>
          <w:sz w:val="24"/>
        </w:rPr>
        <w:t>以上货物配置清单中“货物名称、数量及单位、品牌、规格型号、制造商、</w:t>
      </w:r>
      <w:bookmarkStart w:id="1" w:name="_GoBack"/>
      <w:bookmarkEnd w:id="1"/>
      <w:r>
        <w:rPr>
          <w:rFonts w:hint="eastAsia" w:ascii="宋体" w:hAnsi="宋体"/>
          <w:b/>
          <w:bCs/>
          <w:sz w:val="24"/>
        </w:rPr>
        <w:t>参数性能、指标及配置”必须如实填写完整，品牌、规格型号没有则填无，填写有缺漏的，响应文件按无效响应处理</w:t>
      </w:r>
      <w:r>
        <w:rPr>
          <w:rFonts w:hint="eastAsia" w:ascii="宋体" w:hAnsi="宋体"/>
          <w:b/>
          <w:sz w:val="24"/>
        </w:rPr>
        <w:t>。</w:t>
      </w:r>
      <w:r>
        <w:rPr>
          <w:rFonts w:hint="eastAsia" w:ascii="宋体" w:hAnsi="宋体"/>
          <w:sz w:val="24"/>
        </w:rPr>
        <w:t>货物名称、数量及单位、品牌必须与“竞标报价表”一致，</w:t>
      </w:r>
      <w:r>
        <w:rPr>
          <w:rFonts w:hint="eastAsia" w:ascii="宋体" w:hAnsi="宋体"/>
          <w:bCs/>
          <w:sz w:val="24"/>
        </w:rPr>
        <w:t>否则响应文件按无效响应处理</w:t>
      </w:r>
      <w:r>
        <w:rPr>
          <w:rFonts w:hint="eastAsia" w:ascii="宋体" w:hAnsi="宋体"/>
          <w:b/>
          <w:sz w:val="24"/>
        </w:rPr>
        <w:t>。</w:t>
      </w:r>
      <w:r>
        <w:rPr>
          <w:rFonts w:hint="eastAsia" w:ascii="宋体" w:hAnsi="宋体" w:cs="仿宋_GB2312"/>
          <w:sz w:val="24"/>
        </w:rPr>
        <w:tab/>
      </w:r>
    </w:p>
    <w:p w14:paraId="08A5DF5C">
      <w:pPr>
        <w:adjustRightInd w:val="0"/>
        <w:spacing w:line="360" w:lineRule="auto"/>
        <w:contextualSpacing/>
        <w:jc w:val="left"/>
        <w:rPr>
          <w:rFonts w:hint="eastAsia" w:ascii="宋体" w:hAnsi="宋体" w:cs="仿宋_GB2312"/>
          <w:sz w:val="24"/>
        </w:rPr>
      </w:pPr>
    </w:p>
    <w:p w14:paraId="2DBFC455">
      <w:pPr>
        <w:adjustRightInd w:val="0"/>
        <w:spacing w:line="360" w:lineRule="auto"/>
        <w:contextualSpacing/>
        <w:jc w:val="left"/>
        <w:rPr>
          <w:rFonts w:hint="eastAsia" w:ascii="宋体" w:hAnsi="宋体" w:cs="仿宋_GB2312"/>
          <w:sz w:val="24"/>
        </w:rPr>
      </w:pPr>
    </w:p>
    <w:p w14:paraId="6FF55335">
      <w:pPr>
        <w:adjustRightInd w:val="0"/>
        <w:spacing w:line="360" w:lineRule="auto"/>
        <w:contextualSpacing/>
        <w:jc w:val="left"/>
        <w:rPr>
          <w:rFonts w:hint="eastAsia" w:ascii="宋体" w:hAnsi="宋体" w:cs="仿宋_GB2312"/>
          <w:sz w:val="24"/>
        </w:rPr>
      </w:pPr>
    </w:p>
    <w:p w14:paraId="47385C51">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w:t>
      </w:r>
    </w:p>
    <w:p w14:paraId="72A9EC0D">
      <w:pPr>
        <w:spacing w:line="360" w:lineRule="auto"/>
        <w:ind w:right="-817" w:rightChars="-389" w:firstLine="7560" w:firstLineChars="3150"/>
        <w:contextualSpacing/>
        <w:rPr>
          <w:rFonts w:hint="eastAsia" w:ascii="宋体" w:hAnsi="宋体" w:cs="仿宋_GB2312"/>
          <w:sz w:val="24"/>
        </w:rPr>
      </w:pPr>
      <w:r>
        <w:rPr>
          <w:rFonts w:hint="eastAsia" w:ascii="宋体" w:hAnsi="宋体" w:cs="仿宋_GB2312"/>
          <w:sz w:val="24"/>
        </w:rPr>
        <w:t xml:space="preserve">供应商（盖公章）：      </w:t>
      </w:r>
    </w:p>
    <w:p w14:paraId="5CE3C8E1">
      <w:pPr>
        <w:spacing w:line="360" w:lineRule="auto"/>
        <w:ind w:right="-817" w:rightChars="-389" w:firstLine="8640" w:firstLineChars="3600"/>
        <w:contextualSpacing/>
        <w:rPr>
          <w:rFonts w:hint="default"/>
          <w:lang w:val="en-US" w:eastAsia="zh-CN"/>
        </w:rPr>
      </w:pPr>
      <w:r>
        <w:rPr>
          <w:rFonts w:hint="eastAsia" w:ascii="宋体" w:hAnsi="宋体" w:cs="仿宋_GB2312"/>
          <w:sz w:val="24"/>
        </w:rPr>
        <w:t>日</w:t>
      </w:r>
      <w:r>
        <w:rPr>
          <w:rFonts w:hint="eastAsia" w:ascii="宋体" w:hAnsi="宋体" w:cs="仿宋_GB2312"/>
          <w:sz w:val="24"/>
          <w:lang w:val="en-US" w:eastAsia="zh-CN"/>
        </w:rPr>
        <w:t xml:space="preserve">  </w:t>
      </w:r>
      <w:r>
        <w:rPr>
          <w:rFonts w:hint="eastAsia" w:ascii="宋体" w:hAnsi="宋体" w:cs="仿宋_GB2312"/>
          <w:sz w:val="24"/>
        </w:rPr>
        <w:t xml:space="preserve">期：   </w:t>
      </w:r>
      <w:r>
        <w:rPr>
          <w:rFonts w:hint="eastAsia" w:ascii="宋体" w:hAnsi="宋体" w:cs="仿宋_GB2312"/>
          <w:sz w:val="24"/>
          <w:lang w:val="en-US" w:eastAsia="zh-CN"/>
        </w:rPr>
        <w:t xml:space="preserve"> </w:t>
      </w:r>
      <w:r>
        <w:rPr>
          <w:rFonts w:hint="eastAsia" w:ascii="宋体" w:hAnsi="宋体" w:cs="仿宋_GB2312"/>
          <w:sz w:val="24"/>
        </w:rPr>
        <w:t>年   月   日</w:t>
      </w:r>
    </w:p>
    <w:p w14:paraId="4177FF5F">
      <w:pPr>
        <w:pStyle w:val="6"/>
        <w:rPr>
          <w:rFonts w:asciiTheme="minorEastAsia" w:hAnsiTheme="minorEastAsia"/>
          <w:color w:val="000000" w:themeColor="text1"/>
          <w14:textFill>
            <w14:solidFill>
              <w14:schemeClr w14:val="tx1"/>
            </w14:solidFill>
          </w14:textFill>
        </w:rPr>
      </w:pPr>
    </w:p>
    <w:p w14:paraId="532B8EBC">
      <w:pPr>
        <w:rPr>
          <w:rFonts w:asciiTheme="minorEastAsia" w:hAnsiTheme="minorEastAsia"/>
          <w:color w:val="000000" w:themeColor="text1"/>
          <w14:textFill>
            <w14:solidFill>
              <w14:schemeClr w14:val="tx1"/>
            </w14:solidFill>
          </w14:textFill>
        </w:rPr>
      </w:pPr>
    </w:p>
    <w:sectPr>
      <w:pgSz w:w="16838" w:h="11906" w:orient="landscape"/>
      <w:pgMar w:top="1134" w:right="1134" w:bottom="96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5022C0-8C5B-4066-AA60-5B9C8F2BF8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9B3F69F-2570-460C-94B5-5EFA5747B4FC}"/>
  </w:font>
  <w:font w:name="方正小标宋简体">
    <w:panose1 w:val="02000000000000000000"/>
    <w:charset w:val="86"/>
    <w:family w:val="auto"/>
    <w:pitch w:val="default"/>
    <w:sig w:usb0="00000001" w:usb1="08000000" w:usb2="00000000" w:usb3="00000000" w:csb0="00040000" w:csb1="00000000"/>
    <w:embedRegular r:id="rId3" w:fontKey="{D30FB0CF-7632-4D10-8B72-168AD553351C}"/>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mZjg2YTI3MzFkMjAxNzMxY2QzYWJiM2UyZTFiOTcifQ=="/>
  </w:docVars>
  <w:rsids>
    <w:rsidRoot w:val="00000000"/>
    <w:rsid w:val="64C93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iPriority="99"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ascii="Calibri" w:hAnsi="Calibri"/>
      <w:szCs w:val="20"/>
    </w:rPr>
  </w:style>
  <w:style w:type="paragraph" w:styleId="3">
    <w:name w:val="annotation text"/>
    <w:basedOn w:val="1"/>
    <w:unhideWhenUsed/>
    <w:qFormat/>
    <w:uiPriority w:val="0"/>
    <w:pPr>
      <w:jc w:val="left"/>
    </w:pPr>
  </w:style>
  <w:style w:type="paragraph" w:styleId="4">
    <w:name w:val="Body Text"/>
    <w:basedOn w:val="1"/>
    <w:next w:val="1"/>
    <w:qFormat/>
    <w:uiPriority w:val="0"/>
    <w:pPr>
      <w:spacing w:line="380" w:lineRule="exact"/>
    </w:pPr>
    <w:rPr>
      <w:sz w:val="24"/>
    </w:rPr>
  </w:style>
  <w:style w:type="paragraph" w:styleId="5">
    <w:name w:val="Body Text Indent"/>
    <w:basedOn w:val="1"/>
    <w:qFormat/>
    <w:uiPriority w:val="0"/>
    <w:pPr>
      <w:ind w:firstLine="830" w:firstLineChars="352"/>
    </w:pPr>
    <w:rPr>
      <w:rFonts w:ascii="仿宋_GB2312" w:eastAsia="仿宋_GB2312" w:cs="仿宋_GB2312"/>
      <w:sz w:val="32"/>
      <w:szCs w:val="32"/>
    </w:rPr>
  </w:style>
  <w:style w:type="paragraph" w:styleId="6">
    <w:name w:val="List 2"/>
    <w:basedOn w:val="1"/>
    <w:unhideWhenUsed/>
    <w:qFormat/>
    <w:uiPriority w:val="99"/>
    <w:pPr>
      <w:ind w:left="100" w:leftChars="200" w:hanging="200" w:hangingChars="200"/>
      <w:contextualSpacing/>
    </w:pPr>
  </w:style>
  <w:style w:type="paragraph" w:styleId="7">
    <w:name w:val="footer"/>
    <w:basedOn w:val="1"/>
    <w:link w:val="20"/>
    <w:unhideWhenUsed/>
    <w:qFormat/>
    <w:uiPriority w:val="0"/>
    <w:pPr>
      <w:tabs>
        <w:tab w:val="center" w:pos="4153"/>
        <w:tab w:val="right" w:pos="8306"/>
      </w:tabs>
      <w:snapToGrid w:val="0"/>
      <w:jc w:val="left"/>
    </w:pPr>
    <w:rPr>
      <w:sz w:val="18"/>
      <w:szCs w:val="18"/>
    </w:rPr>
  </w:style>
  <w:style w:type="paragraph" w:styleId="8">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4"/>
    <w:qFormat/>
    <w:uiPriority w:val="0"/>
    <w:pPr>
      <w:spacing w:line="240" w:lineRule="auto"/>
      <w:ind w:firstLine="420" w:firstLineChars="100"/>
    </w:pPr>
    <w:rPr>
      <w:sz w:val="21"/>
    </w:rPr>
  </w:style>
  <w:style w:type="paragraph" w:styleId="10">
    <w:name w:val="Body Text First Indent 2"/>
    <w:basedOn w:val="5"/>
    <w:next w:val="2"/>
    <w:qFormat/>
    <w:uiPriority w:val="0"/>
    <w:pPr>
      <w:spacing w:after="120"/>
      <w:ind w:left="420" w:leftChars="200" w:firstLine="420" w:firstLineChars="200"/>
    </w:pPr>
    <w:rPr>
      <w:rFonts w:ascii="Times New Roman" w:eastAsia="宋体"/>
      <w:sz w:val="21"/>
      <w:szCs w:val="24"/>
    </w:rPr>
  </w:style>
  <w:style w:type="paragraph" w:customStyle="1" w:styleId="13">
    <w:name w:val="List Paragraph"/>
    <w:basedOn w:val="1"/>
    <w:qFormat/>
    <w:uiPriority w:val="99"/>
    <w:pPr>
      <w:ind w:firstLine="420" w:firstLineChars="200"/>
    </w:pPr>
  </w:style>
  <w:style w:type="character" w:customStyle="1" w:styleId="14">
    <w:name w:val="font21"/>
    <w:basedOn w:val="12"/>
    <w:qFormat/>
    <w:uiPriority w:val="0"/>
    <w:rPr>
      <w:rFonts w:hint="eastAsia" w:ascii="宋体" w:hAnsi="宋体" w:eastAsia="宋体" w:cs="宋体"/>
      <w:color w:val="FF0000"/>
      <w:sz w:val="21"/>
      <w:szCs w:val="21"/>
      <w:u w:val="none"/>
    </w:rPr>
  </w:style>
  <w:style w:type="character" w:customStyle="1" w:styleId="15">
    <w:name w:val="font51"/>
    <w:basedOn w:val="12"/>
    <w:qFormat/>
    <w:uiPriority w:val="0"/>
    <w:rPr>
      <w:rFonts w:hint="eastAsia" w:ascii="宋体" w:hAnsi="宋体" w:eastAsia="宋体" w:cs="宋体"/>
      <w:color w:val="FF0000"/>
      <w:sz w:val="21"/>
      <w:szCs w:val="21"/>
      <w:u w:val="single"/>
    </w:rPr>
  </w:style>
  <w:style w:type="character" w:customStyle="1" w:styleId="16">
    <w:name w:val="font61"/>
    <w:basedOn w:val="12"/>
    <w:qFormat/>
    <w:uiPriority w:val="0"/>
    <w:rPr>
      <w:rFonts w:hint="eastAsia" w:ascii="宋体" w:hAnsi="宋体" w:eastAsia="宋体" w:cs="宋体"/>
      <w:color w:val="000000"/>
      <w:sz w:val="21"/>
      <w:szCs w:val="21"/>
      <w:u w:val="none"/>
    </w:rPr>
  </w:style>
  <w:style w:type="character" w:customStyle="1" w:styleId="17">
    <w:name w:val="font31"/>
    <w:basedOn w:val="12"/>
    <w:qFormat/>
    <w:uiPriority w:val="0"/>
    <w:rPr>
      <w:rFonts w:hint="eastAsia" w:ascii="宋体" w:hAnsi="宋体" w:eastAsia="宋体" w:cs="宋体"/>
      <w:color w:val="000000"/>
      <w:sz w:val="21"/>
      <w:szCs w:val="21"/>
      <w:u w:val="none"/>
    </w:rPr>
  </w:style>
  <w:style w:type="character" w:customStyle="1" w:styleId="18">
    <w:name w:val="font41"/>
    <w:basedOn w:val="12"/>
    <w:qFormat/>
    <w:uiPriority w:val="0"/>
    <w:rPr>
      <w:rFonts w:hint="eastAsia" w:ascii="宋体" w:hAnsi="宋体" w:eastAsia="宋体" w:cs="宋体"/>
      <w:color w:val="000000"/>
      <w:sz w:val="21"/>
      <w:szCs w:val="21"/>
      <w:u w:val="single"/>
    </w:rPr>
  </w:style>
  <w:style w:type="character" w:customStyle="1" w:styleId="19">
    <w:name w:val="页眉 Char"/>
    <w:basedOn w:val="12"/>
    <w:link w:val="8"/>
    <w:qFormat/>
    <w:uiPriority w:val="0"/>
    <w:rPr>
      <w:rFonts w:asciiTheme="minorHAnsi" w:hAnsiTheme="minorHAnsi" w:eastAsiaTheme="minorEastAsia" w:cstheme="minorBidi"/>
      <w:kern w:val="2"/>
      <w:sz w:val="18"/>
      <w:szCs w:val="18"/>
    </w:rPr>
  </w:style>
  <w:style w:type="character" w:customStyle="1" w:styleId="20">
    <w:name w:val="页脚 Char"/>
    <w:basedOn w:val="12"/>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7</Pages>
  <Words>3818</Words>
  <Characters>3955</Characters>
  <Lines>74</Lines>
  <Paragraphs>20</Paragraphs>
  <TotalTime>2</TotalTime>
  <ScaleCrop>false</ScaleCrop>
  <LinksUpToDate>false</LinksUpToDate>
  <CharactersWithSpaces>4241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2023-03-05T17:38:00Z</dcterms:created>
  <dc:creator>[资产-收发秘书]李泳</dc:creator>
  <cp:lastModifiedBy>L</cp:lastModifiedBy>
  <dcterms:modified xsi:type="dcterms:W3CDTF">2026-08-30T12:12:26Z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4DD54B6ED89A4BDDB1682F4B21BC3EA1_13</vt:lpwstr>
  </property>
  <property fmtid="{D5CDD505-2E9C-101B-9397-08002B2CF9AE}" pid="4" name="KSOTemplateDocerSaveRecord">
    <vt:lpwstr>eyJoZGlkIjoiYWZhMGFjYTZiNTBjMmQ2Zjc1ODM3ZjI1NjYyYjlhMGUiLCJ1c2VySWQiOiIxNjI5NTEzNjkwIn0=</vt:lpwstr>
  </property>
</Properties>
</file>