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39BAB8">
      <w:pPr>
        <w:spacing w:line="360" w:lineRule="auto"/>
        <w:jc w:val="center"/>
        <w:rPr>
          <w:rFonts w:hint="eastAsia" w:asciiTheme="minorEastAsia" w:hAnsiTheme="minorEastAsia"/>
          <w:color w:val="000000" w:themeColor="text1"/>
          <w:sz w:val="36"/>
          <w:szCs w:val="36"/>
          <w14:textFill>
            <w14:solidFill>
              <w14:schemeClr w14:val="tx1"/>
            </w14:solidFill>
          </w14:textFill>
        </w:rPr>
      </w:pPr>
    </w:p>
    <w:p w14:paraId="3D12306B">
      <w:pPr>
        <w:spacing w:line="360" w:lineRule="auto"/>
        <w:jc w:val="center"/>
        <w:rPr>
          <w:rFonts w:hint="eastAsia" w:asciiTheme="minorEastAsia" w:hAnsiTheme="minorEastAsia"/>
          <w:color w:val="000000" w:themeColor="text1"/>
          <w:sz w:val="36"/>
          <w:szCs w:val="36"/>
          <w14:textFill>
            <w14:solidFill>
              <w14:schemeClr w14:val="tx1"/>
            </w14:solidFill>
          </w14:textFill>
        </w:rPr>
      </w:pPr>
      <w:bookmarkStart w:id="0" w:name="OLE_LINK3"/>
      <w:r>
        <w:rPr>
          <w:rFonts w:hint="eastAsia" w:asciiTheme="minorEastAsia" w:hAnsiTheme="minorEastAsia"/>
          <w:color w:val="000000" w:themeColor="text1"/>
          <w:sz w:val="36"/>
          <w:szCs w:val="36"/>
          <w14:textFill>
            <w14:solidFill>
              <w14:schemeClr w14:val="tx1"/>
            </w14:solidFill>
          </w14:textFill>
        </w:rPr>
        <w:t>广西自然资源职业技术学院人工智能基础实训室建设（一期）项目（实训室终端）需求</w:t>
      </w:r>
    </w:p>
    <w:bookmarkEnd w:id="0"/>
    <w:p w14:paraId="28CEBEAF">
      <w:pPr>
        <w:pStyle w:val="6"/>
        <w:rPr>
          <w:rFonts w:hint="eastAsia"/>
        </w:rPr>
      </w:pPr>
    </w:p>
    <w:p w14:paraId="0266073A">
      <w:pPr>
        <w:pStyle w:val="6"/>
        <w:spacing w:line="480" w:lineRule="auto"/>
        <w:rPr>
          <w:rFonts w:hint="eastAsia"/>
          <w:b/>
          <w:bCs/>
          <w:sz w:val="24"/>
          <w:szCs w:val="24"/>
        </w:rPr>
      </w:pPr>
      <w:r>
        <w:rPr>
          <w:rFonts w:hint="eastAsia"/>
          <w:b/>
          <w:bCs/>
          <w:sz w:val="24"/>
          <w:szCs w:val="24"/>
        </w:rPr>
        <w:t>说明：</w:t>
      </w:r>
    </w:p>
    <w:p w14:paraId="5ECD4698">
      <w:pPr>
        <w:pStyle w:val="6"/>
        <w:spacing w:line="480" w:lineRule="auto"/>
        <w:rPr>
          <w:rFonts w:hint="eastAsia"/>
          <w:sz w:val="24"/>
          <w:szCs w:val="24"/>
        </w:rPr>
      </w:pPr>
      <w:r>
        <w:rPr>
          <w:rFonts w:hint="eastAsia"/>
          <w:sz w:val="24"/>
          <w:szCs w:val="24"/>
        </w:rPr>
        <w:t>1、本采购需求成交注▲号的内容为实质性要求和条件，竞价人须满足或响应，若无法完全满足，视为无效竞价。</w:t>
      </w:r>
    </w:p>
    <w:p w14:paraId="7A013F39">
      <w:pPr>
        <w:pStyle w:val="6"/>
        <w:spacing w:line="480" w:lineRule="auto"/>
        <w:rPr>
          <w:rFonts w:hint="eastAsia"/>
          <w:sz w:val="24"/>
          <w:szCs w:val="24"/>
        </w:rPr>
      </w:pPr>
      <w:r>
        <w:rPr>
          <w:rFonts w:hint="eastAsia"/>
          <w:sz w:val="24"/>
          <w:szCs w:val="24"/>
        </w:rPr>
        <w:t>▲2、竞价时必须上传响应文件，响应文件内容包含报价清单（注明所投品牌型号）、</w:t>
      </w:r>
      <w:r>
        <w:rPr>
          <w:rFonts w:hint="eastAsia"/>
          <w:sz w:val="24"/>
          <w:szCs w:val="24"/>
          <w:lang w:eastAsia="zh-CN"/>
        </w:rPr>
        <w:t>货物</w:t>
      </w:r>
      <w:r>
        <w:rPr>
          <w:rFonts w:hint="eastAsia"/>
          <w:sz w:val="24"/>
          <w:szCs w:val="24"/>
        </w:rPr>
        <w:t>技术参数配置清单</w:t>
      </w:r>
      <w:r>
        <w:rPr>
          <w:rFonts w:hint="eastAsia"/>
          <w:sz w:val="24"/>
          <w:szCs w:val="24"/>
          <w:lang w:eastAsia="zh-CN"/>
        </w:rPr>
        <w:t>、</w:t>
      </w:r>
      <w:r>
        <w:rPr>
          <w:rFonts w:hint="eastAsia"/>
          <w:sz w:val="24"/>
          <w:szCs w:val="24"/>
        </w:rPr>
        <w:t>商务条款偏离表（注明“正偏离”、“负偏离”或“无偏离”）、技术需求偏离表（注明“正偏离”、“负偏离”或“无偏离”）和“采购需求”中的“技术参数要求”要求提供的相关检测报告、承诺函复印件</w:t>
      </w:r>
      <w:bookmarkStart w:id="5" w:name="_GoBack"/>
      <w:bookmarkEnd w:id="5"/>
      <w:r>
        <w:rPr>
          <w:rFonts w:hint="eastAsia"/>
          <w:sz w:val="24"/>
          <w:szCs w:val="24"/>
        </w:rPr>
        <w:t>等，如所提供的响应文件内容不全或者不符的，视为无效竞价。</w:t>
      </w:r>
    </w:p>
    <w:p w14:paraId="05ADB05D">
      <w:pPr>
        <w:pStyle w:val="6"/>
        <w:spacing w:line="480" w:lineRule="auto"/>
        <w:rPr>
          <w:rFonts w:hint="eastAsia"/>
          <w:sz w:val="24"/>
          <w:szCs w:val="24"/>
        </w:rPr>
      </w:pPr>
      <w:r>
        <w:rPr>
          <w:rFonts w:hint="eastAsia"/>
          <w:sz w:val="24"/>
          <w:szCs w:val="24"/>
        </w:rPr>
        <w:t>3、竞价人必须认真审核采购文件所有要求，若发现竞价人存在未实质性响应采购文件行为，将视为无效竞价处理；如明知不满足竞价文件对于品牌、型号、单位资质等要求而进行恶意竞争的，或因竞价人虚假竞价导致竞价无效造成的工期延误及损失，将根据《政采云平台电子卖场权益维护及纠纷处理规则》的规定报有关部门处理，并在税务采购网平台列为失信供应商记录备案。</w:t>
      </w:r>
    </w:p>
    <w:p w14:paraId="130D3ACF">
      <w:pPr>
        <w:pStyle w:val="6"/>
        <w:spacing w:line="480" w:lineRule="auto"/>
        <w:rPr>
          <w:rFonts w:hint="eastAsia"/>
          <w:sz w:val="24"/>
          <w:szCs w:val="24"/>
        </w:rPr>
      </w:pPr>
      <w:r>
        <w:rPr>
          <w:rFonts w:hint="eastAsia"/>
          <w:sz w:val="24"/>
          <w:szCs w:val="24"/>
        </w:rPr>
        <w:t>4、竞价人竞价时提供的证明材料应真实，如出现虚假应标情况，竞价人除了应接受有关部门的处罚外，还应依据《中华人民共和国民法典》的相关条款来确定赔偿金额。</w:t>
      </w:r>
    </w:p>
    <w:p w14:paraId="579E0C08">
      <w:pPr>
        <w:pStyle w:val="6"/>
        <w:spacing w:line="480" w:lineRule="auto"/>
        <w:rPr>
          <w:rFonts w:hint="eastAsia"/>
          <w:sz w:val="24"/>
          <w:szCs w:val="24"/>
        </w:rPr>
      </w:pPr>
      <w:r>
        <w:rPr>
          <w:rFonts w:hint="eastAsia"/>
          <w:sz w:val="24"/>
          <w:szCs w:val="24"/>
        </w:rPr>
        <w:t>5、本次货物采购最高限价为人民币</w:t>
      </w:r>
      <w:r>
        <w:rPr>
          <w:rFonts w:hint="eastAsia"/>
          <w:sz w:val="24"/>
          <w:szCs w:val="24"/>
          <w:lang w:val="en-US" w:eastAsia="zh-CN"/>
        </w:rPr>
        <w:t>285600</w:t>
      </w:r>
      <w:r>
        <w:rPr>
          <w:rFonts w:hint="eastAsia"/>
          <w:sz w:val="24"/>
          <w:szCs w:val="24"/>
        </w:rPr>
        <w:t>元。货物分项最高限价详见表格。</w:t>
      </w:r>
    </w:p>
    <w:p w14:paraId="097561C9">
      <w:pPr>
        <w:spacing w:line="480" w:lineRule="auto"/>
        <w:rPr>
          <w:rFonts w:hint="eastAsia"/>
        </w:rPr>
      </w:pPr>
      <w:r>
        <w:rPr>
          <w:rFonts w:hint="eastAsia"/>
        </w:rPr>
        <w:br w:type="page"/>
      </w:r>
    </w:p>
    <w:p w14:paraId="0D2868BF">
      <w:pPr>
        <w:pStyle w:val="6"/>
      </w:pPr>
      <w:r>
        <w:rPr>
          <w:rFonts w:hint="eastAsia" w:asciiTheme="minorEastAsia" w:hAnsiTheme="minorEastAsia" w:cstheme="minorEastAsia"/>
          <w:b/>
          <w:bCs/>
          <w:color w:val="000000" w:themeColor="text1"/>
          <w:kern w:val="0"/>
          <w:szCs w:val="21"/>
          <w:lang w:bidi="ar"/>
          <w14:textFill>
            <w14:solidFill>
              <w14:schemeClr w14:val="tx1"/>
            </w14:solidFill>
          </w14:textFill>
        </w:rPr>
        <w:t>一、技术参数配置要求</w:t>
      </w:r>
    </w:p>
    <w:tbl>
      <w:tblPr>
        <w:tblStyle w:val="11"/>
        <w:tblW w:w="14933" w:type="dxa"/>
        <w:tblInd w:w="-287" w:type="dxa"/>
        <w:tblLayout w:type="fixed"/>
        <w:tblCellMar>
          <w:top w:w="0" w:type="dxa"/>
          <w:left w:w="108" w:type="dxa"/>
          <w:bottom w:w="0" w:type="dxa"/>
          <w:right w:w="108" w:type="dxa"/>
        </w:tblCellMar>
      </w:tblPr>
      <w:tblGrid>
        <w:gridCol w:w="516"/>
        <w:gridCol w:w="1300"/>
        <w:gridCol w:w="1316"/>
        <w:gridCol w:w="8453"/>
        <w:gridCol w:w="600"/>
        <w:gridCol w:w="558"/>
        <w:gridCol w:w="1017"/>
        <w:gridCol w:w="1173"/>
      </w:tblGrid>
      <w:tr w14:paraId="23E937C4">
        <w:tblPrEx>
          <w:tblCellMar>
            <w:top w:w="0" w:type="dxa"/>
            <w:left w:w="108" w:type="dxa"/>
            <w:bottom w:w="0" w:type="dxa"/>
            <w:right w:w="108" w:type="dxa"/>
          </w:tblCellMar>
        </w:tblPrEx>
        <w:trPr>
          <w:trHeight w:val="272" w:hRule="atLeast"/>
          <w:tblHead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E83E3">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asciiTheme="minorEastAsia" w:hAnsiTheme="minorEastAsia" w:cstheme="minorEastAsia"/>
                <w:b/>
                <w:bCs/>
                <w:color w:val="auto"/>
                <w:kern w:val="0"/>
                <w:szCs w:val="21"/>
                <w:lang w:bidi="ar"/>
              </w:rPr>
            </w:pPr>
            <w:r>
              <w:rPr>
                <w:rFonts w:hint="eastAsia" w:asciiTheme="minorEastAsia" w:hAnsiTheme="minorEastAsia" w:cstheme="minorEastAsia"/>
                <w:b/>
                <w:bCs/>
                <w:color w:val="auto"/>
                <w:kern w:val="0"/>
                <w:szCs w:val="21"/>
                <w:lang w:bidi="ar"/>
              </w:rPr>
              <w:t>序号</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B93C3">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asciiTheme="minorEastAsia" w:hAnsiTheme="minorEastAsia" w:cstheme="minorEastAsia"/>
                <w:b/>
                <w:bCs/>
                <w:color w:val="auto"/>
                <w:kern w:val="0"/>
                <w:szCs w:val="21"/>
                <w:lang w:bidi="ar"/>
              </w:rPr>
            </w:pPr>
            <w:r>
              <w:rPr>
                <w:rFonts w:hint="eastAsia" w:asciiTheme="minorEastAsia" w:hAnsiTheme="minorEastAsia" w:cstheme="minorEastAsia"/>
                <w:b/>
                <w:bCs/>
                <w:color w:val="auto"/>
                <w:kern w:val="0"/>
                <w:szCs w:val="21"/>
                <w:lang w:bidi="ar"/>
              </w:rPr>
              <w:t>产品名称</w:t>
            </w:r>
          </w:p>
        </w:tc>
        <w:tc>
          <w:tcPr>
            <w:tcW w:w="1316" w:type="dxa"/>
            <w:tcBorders>
              <w:top w:val="single" w:color="000000" w:sz="4" w:space="0"/>
              <w:left w:val="single" w:color="000000" w:sz="4" w:space="0"/>
              <w:bottom w:val="single" w:color="000000" w:sz="4" w:space="0"/>
              <w:right w:val="single" w:color="000000" w:sz="4" w:space="0"/>
            </w:tcBorders>
            <w:vAlign w:val="center"/>
          </w:tcPr>
          <w:p w14:paraId="3230BDB2">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asciiTheme="minorEastAsia" w:hAnsiTheme="minorEastAsia" w:cstheme="minorEastAsia"/>
                <w:b/>
                <w:bCs/>
                <w:color w:val="auto"/>
                <w:kern w:val="0"/>
                <w:szCs w:val="21"/>
                <w:lang w:bidi="ar"/>
              </w:rPr>
            </w:pPr>
            <w:r>
              <w:rPr>
                <w:rFonts w:hint="eastAsia" w:asciiTheme="minorEastAsia" w:hAnsiTheme="minorEastAsia" w:cstheme="minorEastAsia"/>
                <w:b/>
                <w:bCs/>
                <w:color w:val="auto"/>
                <w:kern w:val="0"/>
                <w:szCs w:val="21"/>
                <w:lang w:val="en-US" w:eastAsia="zh-CN" w:bidi="ar"/>
              </w:rPr>
              <w:t>参考品牌/型号</w:t>
            </w:r>
          </w:p>
        </w:tc>
        <w:tc>
          <w:tcPr>
            <w:tcW w:w="8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288C5">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asciiTheme="minorEastAsia" w:hAnsiTheme="minorEastAsia" w:cstheme="minorEastAsia"/>
                <w:b/>
                <w:bCs/>
                <w:color w:val="auto"/>
                <w:kern w:val="0"/>
                <w:szCs w:val="21"/>
                <w:lang w:bidi="ar"/>
              </w:rPr>
            </w:pPr>
            <w:r>
              <w:rPr>
                <w:rFonts w:hint="eastAsia" w:asciiTheme="minorEastAsia" w:hAnsiTheme="minorEastAsia" w:cstheme="minorEastAsia"/>
                <w:b/>
                <w:bCs/>
                <w:color w:val="auto"/>
                <w:kern w:val="0"/>
                <w:szCs w:val="21"/>
                <w:lang w:bidi="ar"/>
              </w:rPr>
              <w:t>规格及性能参数</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79A50">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asciiTheme="minorEastAsia" w:hAnsiTheme="minorEastAsia" w:cstheme="minorEastAsia"/>
                <w:b/>
                <w:bCs/>
                <w:color w:val="auto"/>
                <w:kern w:val="0"/>
                <w:szCs w:val="21"/>
                <w:lang w:bidi="ar"/>
              </w:rPr>
            </w:pPr>
            <w:r>
              <w:rPr>
                <w:rFonts w:hint="eastAsia" w:asciiTheme="minorEastAsia" w:hAnsiTheme="minorEastAsia" w:cstheme="minorEastAsia"/>
                <w:b/>
                <w:bCs/>
                <w:color w:val="auto"/>
                <w:kern w:val="0"/>
                <w:szCs w:val="21"/>
                <w:lang w:bidi="ar"/>
              </w:rPr>
              <w:t>数量</w:t>
            </w:r>
          </w:p>
        </w:tc>
        <w:tc>
          <w:tcPr>
            <w:tcW w:w="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7C73C">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asciiTheme="minorEastAsia" w:hAnsiTheme="minorEastAsia" w:cstheme="minorEastAsia"/>
                <w:b/>
                <w:bCs/>
                <w:color w:val="auto"/>
                <w:kern w:val="0"/>
                <w:szCs w:val="21"/>
                <w:lang w:bidi="ar"/>
              </w:rPr>
            </w:pPr>
            <w:r>
              <w:rPr>
                <w:rFonts w:hint="eastAsia" w:asciiTheme="minorEastAsia" w:hAnsiTheme="minorEastAsia" w:cstheme="minorEastAsia"/>
                <w:b/>
                <w:bCs/>
                <w:color w:val="auto"/>
                <w:kern w:val="0"/>
                <w:szCs w:val="21"/>
                <w:lang w:bidi="ar"/>
              </w:rPr>
              <w:t>单位</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CDB80">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asciiTheme="minorEastAsia" w:hAnsiTheme="minorEastAsia" w:cstheme="minorEastAsia"/>
                <w:b/>
                <w:bCs/>
                <w:color w:val="auto"/>
                <w:kern w:val="0"/>
                <w:szCs w:val="21"/>
                <w:lang w:bidi="ar"/>
              </w:rPr>
            </w:pPr>
            <w:r>
              <w:rPr>
                <w:rFonts w:hint="eastAsia" w:asciiTheme="minorEastAsia" w:hAnsiTheme="minorEastAsia" w:cstheme="minorEastAsia"/>
                <w:b/>
                <w:bCs/>
                <w:color w:val="auto"/>
                <w:kern w:val="0"/>
                <w:szCs w:val="21"/>
                <w:lang w:bidi="ar"/>
              </w:rPr>
              <w:t>单价（元）</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06D17">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asciiTheme="minorEastAsia" w:hAnsiTheme="minorEastAsia" w:cstheme="minorEastAsia"/>
                <w:b/>
                <w:bCs/>
                <w:color w:val="auto"/>
                <w:kern w:val="0"/>
                <w:szCs w:val="21"/>
                <w:lang w:bidi="ar"/>
              </w:rPr>
            </w:pPr>
            <w:r>
              <w:rPr>
                <w:rFonts w:hint="eastAsia" w:asciiTheme="minorEastAsia" w:hAnsiTheme="minorEastAsia" w:cstheme="minorEastAsia"/>
                <w:b/>
                <w:bCs/>
                <w:color w:val="auto"/>
                <w:kern w:val="0"/>
                <w:szCs w:val="21"/>
                <w:lang w:bidi="ar"/>
              </w:rPr>
              <w:t>合价</w:t>
            </w:r>
          </w:p>
          <w:p w14:paraId="352931A9">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asciiTheme="minorEastAsia" w:hAnsiTheme="minorEastAsia" w:cstheme="minorEastAsia"/>
                <w:b/>
                <w:bCs/>
                <w:color w:val="auto"/>
                <w:kern w:val="0"/>
                <w:szCs w:val="21"/>
                <w:lang w:bidi="ar"/>
              </w:rPr>
            </w:pPr>
            <w:r>
              <w:rPr>
                <w:rFonts w:hint="eastAsia" w:asciiTheme="minorEastAsia" w:hAnsiTheme="minorEastAsia" w:cstheme="minorEastAsia"/>
                <w:b/>
                <w:bCs/>
                <w:color w:val="auto"/>
                <w:kern w:val="0"/>
                <w:szCs w:val="21"/>
                <w:lang w:bidi="ar"/>
              </w:rPr>
              <w:t>（元）</w:t>
            </w:r>
          </w:p>
        </w:tc>
      </w:tr>
      <w:tr w14:paraId="02C3ADBE">
        <w:tblPrEx>
          <w:tblCellMar>
            <w:top w:w="0" w:type="dxa"/>
            <w:left w:w="108" w:type="dxa"/>
            <w:bottom w:w="0" w:type="dxa"/>
            <w:right w:w="108" w:type="dxa"/>
          </w:tblCellMar>
        </w:tblPrEx>
        <w:trPr>
          <w:trHeight w:val="749"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555F5">
            <w:pPr>
              <w:pStyle w:val="13"/>
              <w:keepNext w:val="0"/>
              <w:keepLines w:val="0"/>
              <w:pageBreakBefore w:val="0"/>
              <w:widowControl/>
              <w:kinsoku/>
              <w:wordWrap/>
              <w:overflowPunct/>
              <w:topLinePunct w:val="0"/>
              <w:autoSpaceDE/>
              <w:autoSpaceDN/>
              <w:bidi w:val="0"/>
              <w:adjustRightInd/>
              <w:snapToGrid/>
              <w:spacing w:line="260" w:lineRule="exact"/>
              <w:ind w:firstLine="0" w:firstLineChars="0"/>
              <w:jc w:val="center"/>
              <w:textAlignment w:val="center"/>
              <w:rPr>
                <w:rFonts w:hint="eastAsia" w:asciiTheme="minorEastAsia" w:hAnsiTheme="minorEastAsia" w:eastAsiaTheme="minorEastAsia" w:cstheme="minorEastAsia"/>
                <w:color w:val="auto"/>
                <w:kern w:val="0"/>
                <w:szCs w:val="21"/>
                <w:lang w:val="en-US" w:eastAsia="zh-CN" w:bidi="ar"/>
              </w:rPr>
            </w:pPr>
            <w:bookmarkStart w:id="1" w:name="OLE_LINK1" w:colFirst="2" w:colLast="2"/>
            <w:r>
              <w:rPr>
                <w:rFonts w:hint="eastAsia" w:asciiTheme="minorEastAsia" w:hAnsiTheme="minorEastAsia" w:cstheme="minorEastAsia"/>
                <w:color w:val="auto"/>
                <w:kern w:val="0"/>
                <w:szCs w:val="21"/>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F484D">
            <w:pPr>
              <w:keepNext w:val="0"/>
              <w:keepLines w:val="0"/>
              <w:pageBreakBefore w:val="0"/>
              <w:kinsoku/>
              <w:wordWrap/>
              <w:overflowPunct/>
              <w:topLinePunct w:val="0"/>
              <w:autoSpaceDE/>
              <w:autoSpaceDN/>
              <w:bidi w:val="0"/>
              <w:adjustRightInd/>
              <w:snapToGrid/>
              <w:spacing w:line="260" w:lineRule="exact"/>
              <w:jc w:val="center"/>
              <w:rPr>
                <w:rFonts w:hint="eastAsia" w:asciiTheme="minorEastAsia" w:hAnsiTheme="minorEastAsia"/>
                <w:color w:val="auto"/>
              </w:rPr>
            </w:pPr>
            <w:r>
              <w:rPr>
                <w:rFonts w:hint="eastAsia" w:asciiTheme="minorEastAsia" w:hAnsiTheme="minorEastAsia"/>
                <w:color w:val="auto"/>
              </w:rPr>
              <w:t>实训室终端</w:t>
            </w:r>
          </w:p>
        </w:tc>
        <w:tc>
          <w:tcPr>
            <w:tcW w:w="1316" w:type="dxa"/>
            <w:tcBorders>
              <w:top w:val="single" w:color="000000" w:sz="4" w:space="0"/>
              <w:left w:val="single" w:color="000000" w:sz="4" w:space="0"/>
              <w:bottom w:val="single" w:color="000000" w:sz="4" w:space="0"/>
              <w:right w:val="single" w:color="000000" w:sz="4" w:space="0"/>
            </w:tcBorders>
            <w:vAlign w:val="center"/>
          </w:tcPr>
          <w:p w14:paraId="2C59058F">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asciiTheme="minorEastAsia" w:hAnsiTheme="minorEastAsia" w:cstheme="minorEastAsia"/>
                <w:color w:val="auto"/>
                <w:kern w:val="0"/>
                <w:szCs w:val="21"/>
                <w:lang w:bidi="ar"/>
              </w:rPr>
            </w:pPr>
            <w:r>
              <w:rPr>
                <w:rFonts w:hint="eastAsia" w:asciiTheme="minorEastAsia" w:hAnsiTheme="minorEastAsia" w:cstheme="minorEastAsia"/>
                <w:color w:val="auto"/>
                <w:kern w:val="0"/>
                <w:szCs w:val="21"/>
                <w:lang w:val="en-US" w:eastAsia="zh-CN" w:bidi="ar"/>
              </w:rPr>
              <w:t>浪潮、联想、中科可控或同档次的其他品牌型号</w:t>
            </w:r>
          </w:p>
        </w:tc>
        <w:tc>
          <w:tcPr>
            <w:tcW w:w="8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5E7B5">
            <w:pPr>
              <w:keepNext w:val="0"/>
              <w:keepLines w:val="0"/>
              <w:pageBreakBefore w:val="0"/>
              <w:kinsoku/>
              <w:wordWrap/>
              <w:overflowPunct/>
              <w:topLinePunct w:val="0"/>
              <w:autoSpaceDE/>
              <w:autoSpaceDN/>
              <w:bidi w:val="0"/>
              <w:adjustRightInd/>
              <w:snapToGrid/>
              <w:spacing w:line="260" w:lineRule="exact"/>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一、硬件要求：</w:t>
            </w:r>
          </w:p>
          <w:p w14:paraId="1F422256">
            <w:pPr>
              <w:keepNext w:val="0"/>
              <w:keepLines w:val="0"/>
              <w:pageBreakBefore w:val="0"/>
              <w:kinsoku/>
              <w:wordWrap/>
              <w:overflowPunct/>
              <w:topLinePunct w:val="0"/>
              <w:autoSpaceDE/>
              <w:autoSpaceDN/>
              <w:bidi w:val="0"/>
              <w:adjustRightInd/>
              <w:snapToGrid/>
              <w:spacing w:line="260" w:lineRule="exact"/>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1、处理器：国产海光C86-3G（3350）芯片（主频≥3.0GHz、≥8核处理器16线程，三级缓存≥16MB）；</w:t>
            </w:r>
          </w:p>
          <w:p w14:paraId="4EAFE831">
            <w:pPr>
              <w:keepNext w:val="0"/>
              <w:keepLines w:val="0"/>
              <w:pageBreakBefore w:val="0"/>
              <w:kinsoku/>
              <w:wordWrap/>
              <w:overflowPunct/>
              <w:topLinePunct w:val="0"/>
              <w:autoSpaceDE/>
              <w:autoSpaceDN/>
              <w:bidi w:val="0"/>
              <w:adjustRightInd/>
              <w:snapToGrid/>
              <w:spacing w:line="260" w:lineRule="exact"/>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主板：国产自主可控芯片主板,主板具有原厂商统一品牌标志，支持中文BIOS，支持智能USB端口管理：BIOS层USB智能屏蔽技术，仅识别USB键盘、鼠标，无法识别USB读取设备，有效防止数据泄露（提供包括但不仅限于彩页或官网、功能截图或独立第三方证明材料），主板自带蜂鸣器，借助蜂鸣器长短声音的组合，实现故障报警检测功能；</w:t>
            </w:r>
          </w:p>
          <w:p w14:paraId="3DB5740B">
            <w:pPr>
              <w:keepNext w:val="0"/>
              <w:keepLines w:val="0"/>
              <w:pageBreakBefore w:val="0"/>
              <w:kinsoku/>
              <w:wordWrap/>
              <w:overflowPunct/>
              <w:topLinePunct w:val="0"/>
              <w:autoSpaceDE/>
              <w:autoSpaceDN/>
              <w:bidi w:val="0"/>
              <w:adjustRightInd/>
              <w:snapToGrid/>
              <w:spacing w:line="260" w:lineRule="exact"/>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3、内存：≥2*16GBDDR43200MHz或以上内存，内存插槽≥4个，最高支持128GB拓展；</w:t>
            </w:r>
          </w:p>
          <w:p w14:paraId="49957A87">
            <w:pPr>
              <w:keepNext w:val="0"/>
              <w:keepLines w:val="0"/>
              <w:pageBreakBefore w:val="0"/>
              <w:kinsoku/>
              <w:wordWrap/>
              <w:overflowPunct/>
              <w:topLinePunct w:val="0"/>
              <w:autoSpaceDE/>
              <w:autoSpaceDN/>
              <w:bidi w:val="0"/>
              <w:adjustRightInd/>
              <w:snapToGrid/>
              <w:spacing w:line="260" w:lineRule="exact"/>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▲4、硬盘：≥512GM.2SSD固态硬盘，具备硬盘减震专利（供货时需提供证明材料）；</w:t>
            </w:r>
          </w:p>
          <w:p w14:paraId="69B65460">
            <w:pPr>
              <w:keepNext w:val="0"/>
              <w:keepLines w:val="0"/>
              <w:pageBreakBefore w:val="0"/>
              <w:kinsoku/>
              <w:wordWrap/>
              <w:overflowPunct/>
              <w:topLinePunct w:val="0"/>
              <w:autoSpaceDE/>
              <w:autoSpaceDN/>
              <w:bidi w:val="0"/>
              <w:adjustRightInd/>
              <w:snapToGrid/>
              <w:spacing w:line="260" w:lineRule="exact"/>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▲5、显卡:≥4G国产独立显卡，位宽128bits，算力≥2.6TFLOPS；</w:t>
            </w:r>
          </w:p>
          <w:p w14:paraId="0DCA2CAC">
            <w:pPr>
              <w:keepNext w:val="0"/>
              <w:keepLines w:val="0"/>
              <w:pageBreakBefore w:val="0"/>
              <w:kinsoku/>
              <w:wordWrap/>
              <w:overflowPunct/>
              <w:topLinePunct w:val="0"/>
              <w:autoSpaceDE/>
              <w:autoSpaceDN/>
              <w:bidi w:val="0"/>
              <w:adjustRightInd/>
              <w:snapToGrid/>
              <w:spacing w:line="260" w:lineRule="exact"/>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6、声卡：集成高清声卡；</w:t>
            </w:r>
          </w:p>
          <w:p w14:paraId="01E9C26D">
            <w:pPr>
              <w:keepNext w:val="0"/>
              <w:keepLines w:val="0"/>
              <w:pageBreakBefore w:val="0"/>
              <w:kinsoku/>
              <w:wordWrap/>
              <w:overflowPunct/>
              <w:topLinePunct w:val="0"/>
              <w:autoSpaceDE/>
              <w:autoSpaceDN/>
              <w:bidi w:val="0"/>
              <w:adjustRightInd/>
              <w:snapToGrid/>
              <w:spacing w:line="260" w:lineRule="exact"/>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7、网卡：10/100/1000M千兆自适应有线网卡；</w:t>
            </w:r>
          </w:p>
          <w:p w14:paraId="47D45477">
            <w:pPr>
              <w:keepNext w:val="0"/>
              <w:keepLines w:val="0"/>
              <w:pageBreakBefore w:val="0"/>
              <w:kinsoku/>
              <w:wordWrap/>
              <w:overflowPunct/>
              <w:topLinePunct w:val="0"/>
              <w:autoSpaceDE/>
              <w:autoSpaceDN/>
              <w:bidi w:val="0"/>
              <w:adjustRightInd/>
              <w:snapToGrid/>
              <w:spacing w:line="260" w:lineRule="exact"/>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8、扩展槽：1*PCIe4.0x16+1*PCIex16+1*PCIex8+1*PCIex1；</w:t>
            </w:r>
          </w:p>
          <w:p w14:paraId="4DC4B160">
            <w:pPr>
              <w:keepNext w:val="0"/>
              <w:keepLines w:val="0"/>
              <w:pageBreakBefore w:val="0"/>
              <w:kinsoku/>
              <w:wordWrap/>
              <w:overflowPunct/>
              <w:topLinePunct w:val="0"/>
              <w:autoSpaceDE/>
              <w:autoSpaceDN/>
              <w:bidi w:val="0"/>
              <w:adjustRightInd/>
              <w:snapToGrid/>
              <w:spacing w:line="260" w:lineRule="exact"/>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▲9、接口：USB接口≥11个，其中前置≥2个USB3.2Gen1+2个USB2.0，后置≥6个USB3.2Gen1，USB3.2接口数据传输速率≥5Gbps。前置1个音频输入+1个音频输出，后置音频接口3个；</w:t>
            </w:r>
          </w:p>
          <w:p w14:paraId="63EAB590">
            <w:pPr>
              <w:keepNext w:val="0"/>
              <w:keepLines w:val="0"/>
              <w:pageBreakBefore w:val="0"/>
              <w:kinsoku/>
              <w:wordWrap/>
              <w:overflowPunct/>
              <w:topLinePunct w:val="0"/>
              <w:autoSpaceDE/>
              <w:autoSpaceDN/>
              <w:bidi w:val="0"/>
              <w:adjustRightInd/>
              <w:snapToGrid/>
              <w:spacing w:line="260" w:lineRule="exact"/>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10、视频接口：≥2个数字视频输出端口；</w:t>
            </w:r>
          </w:p>
          <w:p w14:paraId="7B6265CD">
            <w:pPr>
              <w:keepNext w:val="0"/>
              <w:keepLines w:val="0"/>
              <w:pageBreakBefore w:val="0"/>
              <w:kinsoku/>
              <w:wordWrap/>
              <w:overflowPunct/>
              <w:topLinePunct w:val="0"/>
              <w:autoSpaceDE/>
              <w:autoSpaceDN/>
              <w:bidi w:val="0"/>
              <w:adjustRightInd/>
              <w:snapToGrid/>
              <w:spacing w:line="260" w:lineRule="exact"/>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11、键盘鼠标：标准抗菌鼠标+防泼溅抗菌商务键盘；</w:t>
            </w:r>
          </w:p>
          <w:p w14:paraId="431CAD5A">
            <w:pPr>
              <w:keepNext w:val="0"/>
              <w:keepLines w:val="0"/>
              <w:pageBreakBefore w:val="0"/>
              <w:kinsoku/>
              <w:wordWrap/>
              <w:overflowPunct/>
              <w:topLinePunct w:val="0"/>
              <w:autoSpaceDE/>
              <w:autoSpaceDN/>
              <w:bidi w:val="0"/>
              <w:adjustRightInd/>
              <w:snapToGrid/>
              <w:spacing w:line="260" w:lineRule="exact"/>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12、电源：≥200W功率节能电源，产品整体通过GB28380-2012标准，供货时提供试验报告；</w:t>
            </w:r>
          </w:p>
          <w:p w14:paraId="4C8D8EB8">
            <w:pPr>
              <w:keepNext w:val="0"/>
              <w:keepLines w:val="0"/>
              <w:pageBreakBefore w:val="0"/>
              <w:kinsoku/>
              <w:wordWrap/>
              <w:overflowPunct/>
              <w:topLinePunct w:val="0"/>
              <w:autoSpaceDE/>
              <w:autoSpaceDN/>
              <w:bidi w:val="0"/>
              <w:adjustRightInd/>
              <w:snapToGrid/>
              <w:spacing w:line="260" w:lineRule="exact"/>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▲13、机箱：免工具维护机箱，前置可拆卸防尘网,支持Kensington锁具，机器运行状态下噪声声压级≤6.0dBA，通过GB/T17626.5-2019认证（供货时需提供证明材料）；</w:t>
            </w:r>
          </w:p>
          <w:p w14:paraId="7D782655">
            <w:pPr>
              <w:keepNext w:val="0"/>
              <w:keepLines w:val="0"/>
              <w:pageBreakBefore w:val="0"/>
              <w:kinsoku/>
              <w:wordWrap/>
              <w:overflowPunct/>
              <w:topLinePunct w:val="0"/>
              <w:autoSpaceDE/>
              <w:autoSpaceDN/>
              <w:bidi w:val="0"/>
              <w:adjustRightInd/>
              <w:snapToGrid/>
              <w:spacing w:line="260" w:lineRule="exact"/>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14、操作系统：预装正版国产桌面操作系统，支持Windows专业版操作系统；</w:t>
            </w:r>
          </w:p>
          <w:p w14:paraId="4522BFC1">
            <w:pPr>
              <w:keepNext w:val="0"/>
              <w:keepLines w:val="0"/>
              <w:pageBreakBefore w:val="0"/>
              <w:kinsoku/>
              <w:wordWrap/>
              <w:overflowPunct/>
              <w:topLinePunct w:val="0"/>
              <w:autoSpaceDE/>
              <w:autoSpaceDN/>
              <w:bidi w:val="0"/>
              <w:adjustRightInd/>
              <w:snapToGrid/>
              <w:spacing w:line="260" w:lineRule="exact"/>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▲15、</w:t>
            </w:r>
            <w:r>
              <w:rPr>
                <w:rFonts w:hint="eastAsia" w:asciiTheme="minorEastAsia" w:hAnsiTheme="minorEastAsia" w:eastAsiaTheme="minorEastAsia" w:cstheme="minorEastAsia"/>
                <w:color w:val="auto"/>
                <w:lang w:val="en-US" w:eastAsia="zh-CN"/>
              </w:rPr>
              <w:t>显示器：≥27英寸商用液晶显示器，分辨率≥1920x1080、刷新率≥100Hz、亮度≥300nits、对比度≥3000:1，VGA+HDMI视频输入接口带原厂数字信号线缆、VESA标准安装孔</w:t>
            </w:r>
            <w:r>
              <w:rPr>
                <w:rFonts w:hint="eastAsia" w:asciiTheme="minorEastAsia" w:hAnsiTheme="minorEastAsia" w:eastAsiaTheme="minorEastAsia" w:cstheme="minorEastAsia"/>
                <w:color w:val="auto"/>
              </w:rPr>
              <w:t>；</w:t>
            </w:r>
          </w:p>
          <w:p w14:paraId="618F4F35">
            <w:pPr>
              <w:keepNext w:val="0"/>
              <w:keepLines w:val="0"/>
              <w:pageBreakBefore w:val="0"/>
              <w:kinsoku/>
              <w:wordWrap/>
              <w:overflowPunct/>
              <w:topLinePunct w:val="0"/>
              <w:autoSpaceDE/>
              <w:autoSpaceDN/>
              <w:bidi w:val="0"/>
              <w:adjustRightInd/>
              <w:snapToGrid/>
              <w:spacing w:line="260" w:lineRule="exact"/>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二、软件部分：</w:t>
            </w:r>
          </w:p>
          <w:p w14:paraId="487B29E9">
            <w:pPr>
              <w:keepNext w:val="0"/>
              <w:keepLines w:val="0"/>
              <w:pageBreakBefore w:val="0"/>
              <w:kinsoku/>
              <w:wordWrap/>
              <w:overflowPunct/>
              <w:topLinePunct w:val="0"/>
              <w:autoSpaceDE/>
              <w:autoSpaceDN/>
              <w:bidi w:val="0"/>
              <w:adjustRightInd/>
              <w:snapToGrid/>
              <w:spacing w:line="260" w:lineRule="exact"/>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（一）配套可视化安全平台入口：</w:t>
            </w:r>
          </w:p>
          <w:p w14:paraId="307B4F42">
            <w:pPr>
              <w:keepNext w:val="0"/>
              <w:keepLines w:val="0"/>
              <w:pageBreakBefore w:val="0"/>
              <w:kinsoku/>
              <w:wordWrap/>
              <w:overflowPunct/>
              <w:topLinePunct w:val="0"/>
              <w:autoSpaceDE/>
              <w:autoSpaceDN/>
              <w:bidi w:val="0"/>
              <w:adjustRightInd/>
              <w:snapToGrid/>
              <w:spacing w:line="260" w:lineRule="exact"/>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基础功能：支持浏览器通用功能，包括浏览器地址栏、标签栏、插件栏、状态栏、收藏夹管理、下载管理、数据清理、快捷键、鼠标手势、开发者工具等功能；浏览器内核支持（Windows）：Windows平台支持IE和Chromium双内核，支持IE多版本渲染模式，支持双内核智能切换，兼容策略从管控后台下发并实时生效；浏览器内核支持（信创/Linux）：浏览器内核基于Chromium内核技术路线；浏览器内核支持（macOS）：浏览器内核基于Chromium内核技术路线；</w:t>
            </w:r>
          </w:p>
          <w:p w14:paraId="27C3A582">
            <w:pPr>
              <w:keepNext w:val="0"/>
              <w:keepLines w:val="0"/>
              <w:pageBreakBefore w:val="0"/>
              <w:kinsoku/>
              <w:wordWrap/>
              <w:overflowPunct/>
              <w:topLinePunct w:val="0"/>
              <w:autoSpaceDE/>
              <w:autoSpaceDN/>
              <w:bidi w:val="0"/>
              <w:adjustRightInd/>
              <w:snapToGrid/>
              <w:spacing w:line="260" w:lineRule="exact"/>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2）CA/BrowserForum组织成员：要求厂商为CA/BrowserForum组织管理成员之一；</w:t>
            </w:r>
          </w:p>
          <w:p w14:paraId="499A3C1D">
            <w:pPr>
              <w:keepNext w:val="0"/>
              <w:keepLines w:val="0"/>
              <w:pageBreakBefore w:val="0"/>
              <w:kinsoku/>
              <w:wordWrap/>
              <w:overflowPunct/>
              <w:topLinePunct w:val="0"/>
              <w:autoSpaceDE/>
              <w:autoSpaceDN/>
              <w:bidi w:val="0"/>
              <w:adjustRightInd/>
              <w:snapToGrid/>
              <w:spacing w:line="260" w:lineRule="exact"/>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3）商用密码产品认证：产品具备国家密码管理局颁发的商用密码产品型号证书或商用密码产品认证证书；(供货时需提供相关证明截图)</w:t>
            </w:r>
          </w:p>
          <w:p w14:paraId="0E1F9C54">
            <w:pPr>
              <w:keepNext w:val="0"/>
              <w:keepLines w:val="0"/>
              <w:pageBreakBefore w:val="0"/>
              <w:kinsoku/>
              <w:wordWrap/>
              <w:overflowPunct/>
              <w:topLinePunct w:val="0"/>
              <w:autoSpaceDE/>
              <w:autoSpaceDN/>
              <w:bidi w:val="0"/>
              <w:adjustRightInd/>
              <w:snapToGrid/>
              <w:spacing w:line="260" w:lineRule="exact"/>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▲4）根证书库：要求厂商拥有自有根证书库，同时支持RSA和SM2证书的入库；（投标时需提供官网根证书入库截图）</w:t>
            </w:r>
          </w:p>
          <w:p w14:paraId="4163FFE1">
            <w:pPr>
              <w:keepNext w:val="0"/>
              <w:keepLines w:val="0"/>
              <w:pageBreakBefore w:val="0"/>
              <w:kinsoku/>
              <w:wordWrap/>
              <w:overflowPunct/>
              <w:topLinePunct w:val="0"/>
              <w:autoSpaceDE/>
              <w:autoSpaceDN/>
              <w:bidi w:val="0"/>
              <w:adjustRightInd/>
              <w:snapToGrid/>
              <w:spacing w:line="260" w:lineRule="exact"/>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▲5）软件通过省级以上质检部门或者其认可的第三方检测机构出具的检测报告；（投标时需提供测试报告电子扫描件）</w:t>
            </w:r>
          </w:p>
          <w:p w14:paraId="2C034B53">
            <w:pPr>
              <w:keepNext w:val="0"/>
              <w:keepLines w:val="0"/>
              <w:pageBreakBefore w:val="0"/>
              <w:kinsoku/>
              <w:wordWrap/>
              <w:overflowPunct/>
              <w:topLinePunct w:val="0"/>
              <w:autoSpaceDE/>
              <w:autoSpaceDN/>
              <w:bidi w:val="0"/>
              <w:adjustRightInd/>
              <w:snapToGrid/>
              <w:spacing w:line="260" w:lineRule="exact"/>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6）密码模块：浏览器双内核同时支持SM2/SM3/SM4国密算法和RSA等通过国际算法，以及SSL单双向安全协议，与Web服务器之间建立安全通道，保证Web网页访问的安全性;支持基于国密https站点和国际算法https站点的智能探测，自动切换通信协议；</w:t>
            </w:r>
          </w:p>
          <w:p w14:paraId="6FA37250">
            <w:pPr>
              <w:keepNext w:val="0"/>
              <w:keepLines w:val="0"/>
              <w:pageBreakBefore w:val="0"/>
              <w:kinsoku/>
              <w:wordWrap/>
              <w:overflowPunct/>
              <w:topLinePunct w:val="0"/>
              <w:autoSpaceDE/>
              <w:autoSpaceDN/>
              <w:bidi w:val="0"/>
              <w:adjustRightInd/>
              <w:snapToGrid/>
              <w:spacing w:line="260" w:lineRule="exact"/>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▲7）下载器：IE核优先使用内建下载管理例外情况，针对部分IE业务系统，支持使用内置下载器下载，支持针对业务系统设置对应下载器；（投标时需提供产品界面截图或证明材料）</w:t>
            </w:r>
          </w:p>
          <w:p w14:paraId="5DEEC4F7">
            <w:pPr>
              <w:keepNext w:val="0"/>
              <w:keepLines w:val="0"/>
              <w:pageBreakBefore w:val="0"/>
              <w:kinsoku/>
              <w:wordWrap/>
              <w:overflowPunct/>
              <w:topLinePunct w:val="0"/>
              <w:autoSpaceDE/>
              <w:autoSpaceDN/>
              <w:bidi w:val="0"/>
              <w:adjustRightInd/>
              <w:snapToGrid/>
              <w:spacing w:line="260" w:lineRule="exact"/>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8）性能加速器：支持加速浏览器运行，包括：内存优化、清理缓存、加速打开、加速启动等；多窗口/多标签模式切换：支持切换浏览器显示模式为多窗口模式、多标签模式；翻译引擎管理：支持使用内置的英译中翻译引擎。支持切换其他翻译引擎；（投标时需提供产品界面截图或证明材料）</w:t>
            </w:r>
          </w:p>
          <w:p w14:paraId="1C536892">
            <w:pPr>
              <w:keepNext w:val="0"/>
              <w:keepLines w:val="0"/>
              <w:pageBreakBefore w:val="0"/>
              <w:kinsoku/>
              <w:wordWrap/>
              <w:overflowPunct/>
              <w:topLinePunct w:val="0"/>
              <w:autoSpaceDE/>
              <w:autoSpaceDN/>
              <w:bidi w:val="0"/>
              <w:adjustRightInd/>
              <w:snapToGrid/>
              <w:spacing w:line="260" w:lineRule="exact"/>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9）兼容性检测和修复工具：内置浏览器兼容性问题检测和修复工具，可通过工具化、自动化的手段针对目标web页面基于Chrome内核的兼容性指标进行多维度全量检测、自动评估与报告输出，包括问题的原因解析、修复处理等方面。</w:t>
            </w:r>
          </w:p>
          <w:p w14:paraId="4BC059D7">
            <w:pPr>
              <w:keepNext w:val="0"/>
              <w:keepLines w:val="0"/>
              <w:pageBreakBefore w:val="0"/>
              <w:kinsoku/>
              <w:wordWrap/>
              <w:overflowPunct/>
              <w:topLinePunct w:val="0"/>
              <w:autoSpaceDE/>
              <w:autoSpaceDN/>
              <w:bidi w:val="0"/>
              <w:adjustRightInd/>
              <w:snapToGrid/>
              <w:spacing w:line="260" w:lineRule="exact"/>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▲三、服务要求：</w:t>
            </w:r>
          </w:p>
          <w:p w14:paraId="60E9D5C5">
            <w:pPr>
              <w:keepNext w:val="0"/>
              <w:keepLines w:val="0"/>
              <w:pageBreakBefore w:val="0"/>
              <w:kinsoku/>
              <w:wordWrap/>
              <w:overflowPunct/>
              <w:topLinePunct w:val="0"/>
              <w:autoSpaceDE/>
              <w:autoSpaceDN/>
              <w:bidi w:val="0"/>
              <w:adjustRightInd/>
              <w:snapToGrid/>
              <w:spacing w:line="260" w:lineRule="exact"/>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1.质量保证：产品认证通过3C认证、节能认证，响应文件提供证书复印件并加盖投标人公章。</w:t>
            </w:r>
          </w:p>
          <w:p w14:paraId="1EC947FF">
            <w:pPr>
              <w:keepNext w:val="0"/>
              <w:keepLines w:val="0"/>
              <w:pageBreakBefore w:val="0"/>
              <w:kinsoku/>
              <w:wordWrap/>
              <w:overflowPunct/>
              <w:topLinePunct w:val="0"/>
              <w:autoSpaceDE/>
              <w:autoSpaceDN/>
              <w:bidi w:val="0"/>
              <w:adjustRightInd/>
              <w:snapToGrid/>
              <w:spacing w:line="260" w:lineRule="exact"/>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2.供货时提供80W小时MTBF证书，测试认证机构通过CMA或CNAS认证。</w:t>
            </w:r>
          </w:p>
          <w:p w14:paraId="73B0E7A9">
            <w:pPr>
              <w:keepNext w:val="0"/>
              <w:keepLines w:val="0"/>
              <w:pageBreakBefore w:val="0"/>
              <w:kinsoku/>
              <w:wordWrap/>
              <w:overflowPunct/>
              <w:topLinePunct w:val="0"/>
              <w:autoSpaceDE/>
              <w:autoSpaceDN/>
              <w:bidi w:val="0"/>
              <w:adjustRightInd/>
              <w:snapToGrid/>
              <w:spacing w:line="260" w:lineRule="exact"/>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3.保修服务：提供原厂三年硬件故障免费保修服务。</w:t>
            </w:r>
          </w:p>
          <w:p w14:paraId="29EF204F">
            <w:pPr>
              <w:pStyle w:val="6"/>
              <w:keepNext w:val="0"/>
              <w:keepLines w:val="0"/>
              <w:pageBreakBefore w:val="0"/>
              <w:kinsoku/>
              <w:wordWrap/>
              <w:overflowPunct/>
              <w:topLinePunct w:val="0"/>
              <w:autoSpaceDE/>
              <w:autoSpaceDN/>
              <w:bidi w:val="0"/>
              <w:adjustRightInd/>
              <w:snapToGrid/>
              <w:spacing w:line="260" w:lineRule="exact"/>
              <w:ind w:left="0" w:leftChars="0" w:firstLine="0" w:firstLineChars="0"/>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四、其他</w:t>
            </w:r>
          </w:p>
          <w:p w14:paraId="7B05AF7B">
            <w:pPr>
              <w:pStyle w:val="6"/>
              <w:keepNext w:val="0"/>
              <w:keepLines w:val="0"/>
              <w:pageBreakBefore w:val="0"/>
              <w:kinsoku/>
              <w:wordWrap/>
              <w:overflowPunct/>
              <w:topLinePunct w:val="0"/>
              <w:autoSpaceDE/>
              <w:autoSpaceDN/>
              <w:bidi w:val="0"/>
              <w:adjustRightInd/>
              <w:snapToGrid/>
              <w:spacing w:line="260" w:lineRule="exact"/>
              <w:ind w:left="0" w:leftChars="0" w:firstLine="0" w:firstLineChars="0"/>
              <w:rPr>
                <w:rFonts w:hint="eastAsia"/>
                <w:color w:val="auto"/>
              </w:rPr>
            </w:pPr>
            <w:r>
              <w:rPr>
                <w:rFonts w:hint="eastAsia" w:asciiTheme="minorEastAsia" w:hAnsiTheme="minorEastAsia" w:eastAsiaTheme="minorEastAsia" w:cstheme="minorEastAsia"/>
                <w:color w:val="auto"/>
                <w:lang w:val="en-US" w:eastAsia="zh-CN"/>
              </w:rPr>
              <w:t>▲1.本项目实训终端设备必须与学校现有桌面云系统相兼容，实现与新旧终端统一布署管理。</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33AAB">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default" w:asciiTheme="minorEastAsia" w:hAnsiTheme="minorEastAsia" w:eastAsiaTheme="minorEastAsia" w:cstheme="minorEastAsia"/>
                <w:color w:val="auto"/>
                <w:kern w:val="0"/>
                <w:szCs w:val="21"/>
                <w:lang w:val="en-US" w:eastAsia="zh-CN" w:bidi="ar"/>
              </w:rPr>
            </w:pPr>
            <w:r>
              <w:rPr>
                <w:rFonts w:hint="eastAsia" w:asciiTheme="minorEastAsia" w:hAnsiTheme="minorEastAsia" w:cstheme="minorEastAsia"/>
                <w:color w:val="auto"/>
                <w:kern w:val="0"/>
                <w:szCs w:val="21"/>
                <w:lang w:val="en-US" w:eastAsia="zh-CN" w:bidi="ar"/>
              </w:rPr>
              <w:t>51</w:t>
            </w:r>
          </w:p>
        </w:tc>
        <w:tc>
          <w:tcPr>
            <w:tcW w:w="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39B75">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Theme="minorEastAsia" w:hAnsiTheme="minorEastAsia" w:eastAsiaTheme="minorEastAsia" w:cstheme="minorEastAsia"/>
                <w:color w:val="auto"/>
                <w:kern w:val="0"/>
                <w:szCs w:val="21"/>
                <w:lang w:val="en-US" w:eastAsia="zh-CN" w:bidi="ar"/>
              </w:rPr>
            </w:pPr>
            <w:r>
              <w:rPr>
                <w:rFonts w:hint="eastAsia" w:asciiTheme="minorEastAsia" w:hAnsiTheme="minorEastAsia" w:cstheme="minorEastAsia"/>
                <w:color w:val="auto"/>
                <w:kern w:val="0"/>
                <w:szCs w:val="21"/>
                <w:lang w:val="en-US" w:eastAsia="zh-CN" w:bidi="ar"/>
              </w:rPr>
              <w:t>套</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7D488">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default" w:asciiTheme="minorEastAsia" w:hAnsiTheme="minorEastAsia" w:eastAsiaTheme="minorEastAsia" w:cstheme="minorEastAsia"/>
                <w:color w:val="auto"/>
                <w:kern w:val="0"/>
                <w:szCs w:val="21"/>
                <w:lang w:val="en-US" w:eastAsia="zh-CN" w:bidi="ar"/>
              </w:rPr>
            </w:pPr>
            <w:r>
              <w:rPr>
                <w:rFonts w:hint="eastAsia" w:asciiTheme="minorEastAsia" w:hAnsiTheme="minorEastAsia" w:cstheme="minorEastAsia"/>
                <w:color w:val="auto"/>
                <w:kern w:val="0"/>
                <w:szCs w:val="21"/>
                <w:lang w:val="en-US" w:eastAsia="zh-CN" w:bidi="ar"/>
              </w:rPr>
              <w:t>5600</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547E7">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default" w:asciiTheme="minorEastAsia" w:hAnsiTheme="minorEastAsia" w:eastAsiaTheme="minorEastAsia" w:cstheme="minorEastAsia"/>
                <w:color w:val="auto"/>
                <w:kern w:val="0"/>
                <w:szCs w:val="21"/>
                <w:lang w:val="en-US" w:eastAsia="zh-CN" w:bidi="ar"/>
              </w:rPr>
            </w:pPr>
            <w:r>
              <w:rPr>
                <w:rFonts w:hint="eastAsia" w:asciiTheme="minorEastAsia" w:hAnsiTheme="minorEastAsia" w:cstheme="minorEastAsia"/>
                <w:color w:val="auto"/>
                <w:kern w:val="0"/>
                <w:szCs w:val="21"/>
                <w:lang w:val="en-US" w:eastAsia="zh-CN" w:bidi="ar"/>
              </w:rPr>
              <w:t>285600</w:t>
            </w:r>
          </w:p>
        </w:tc>
      </w:tr>
      <w:bookmarkEnd w:id="1"/>
      <w:tr w14:paraId="0D2B247D">
        <w:tblPrEx>
          <w:tblCellMar>
            <w:top w:w="0" w:type="dxa"/>
            <w:left w:w="108" w:type="dxa"/>
            <w:bottom w:w="0" w:type="dxa"/>
            <w:right w:w="108" w:type="dxa"/>
          </w:tblCellMar>
        </w:tblPrEx>
        <w:trPr>
          <w:trHeight w:val="624" w:hRule="atLeast"/>
        </w:trPr>
        <w:tc>
          <w:tcPr>
            <w:tcW w:w="1376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0C34D82">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asciiTheme="minorEastAsia" w:hAnsiTheme="minorEastAsia" w:cstheme="minorEastAsia"/>
                <w:b/>
                <w:bCs/>
                <w:color w:val="auto"/>
                <w:kern w:val="0"/>
                <w:szCs w:val="21"/>
                <w:lang w:bidi="ar"/>
              </w:rPr>
            </w:pPr>
            <w:r>
              <w:rPr>
                <w:rFonts w:hint="eastAsia" w:asciiTheme="minorEastAsia" w:hAnsiTheme="minorEastAsia" w:cstheme="minorEastAsia"/>
                <w:b/>
                <w:bCs/>
                <w:color w:val="auto"/>
                <w:kern w:val="0"/>
                <w:szCs w:val="21"/>
                <w:lang w:bidi="ar"/>
              </w:rPr>
              <w:t>合计（元）</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1ED64">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default" w:cs="宋体" w:asciiTheme="minorEastAsia" w:hAnsiTheme="minorEastAsia"/>
                <w:b/>
                <w:bCs/>
                <w:color w:val="auto"/>
                <w:kern w:val="0"/>
                <w:szCs w:val="21"/>
                <w:lang w:val="en-US" w:bidi="ar"/>
              </w:rPr>
            </w:pPr>
            <w:r>
              <w:rPr>
                <w:rFonts w:hint="eastAsia" w:cs="宋体" w:asciiTheme="minorEastAsia" w:hAnsiTheme="minorEastAsia"/>
                <w:b/>
                <w:bCs/>
                <w:color w:val="auto"/>
                <w:kern w:val="0"/>
                <w:szCs w:val="21"/>
                <w:lang w:val="en-US" w:eastAsia="zh-CN" w:bidi="ar"/>
              </w:rPr>
              <w:t>285600</w:t>
            </w:r>
          </w:p>
        </w:tc>
      </w:tr>
    </w:tbl>
    <w:p w14:paraId="6128A6FE">
      <w:pPr>
        <w:rPr>
          <w:rFonts w:asciiTheme="minorEastAsia" w:hAnsiTheme="minorEastAsia"/>
          <w:color w:val="000000" w:themeColor="text1"/>
          <w14:textFill>
            <w14:solidFill>
              <w14:schemeClr w14:val="tx1"/>
            </w14:solidFill>
          </w14:textFill>
        </w:rPr>
      </w:pPr>
      <w:r>
        <w:rPr>
          <w:rFonts w:asciiTheme="minorEastAsia" w:hAnsiTheme="minorEastAsia"/>
          <w:color w:val="000000" w:themeColor="text1"/>
          <w14:textFill>
            <w14:solidFill>
              <w14:schemeClr w14:val="tx1"/>
            </w14:solidFill>
          </w14:textFill>
        </w:rPr>
        <w:br w:type="page"/>
      </w:r>
    </w:p>
    <w:p w14:paraId="4200BC58">
      <w:pPr>
        <w:pStyle w:val="6"/>
        <w:ind w:left="0" w:leftChars="0" w:firstLine="422" w:firstLineChars="200"/>
      </w:pPr>
      <w:r>
        <w:rPr>
          <w:rFonts w:hint="eastAsia" w:ascii="宋体" w:hAnsi="宋体" w:eastAsia="宋体" w:cs="宋体"/>
          <w:b/>
          <w:bCs/>
          <w:kern w:val="0"/>
          <w:sz w:val="21"/>
          <w:szCs w:val="21"/>
          <w:lang w:bidi="ar"/>
        </w:rPr>
        <w:t>二、商务服务要求表</w:t>
      </w:r>
    </w:p>
    <w:tbl>
      <w:tblPr>
        <w:tblStyle w:val="11"/>
        <w:tblpPr w:leftFromText="180" w:rightFromText="180" w:vertAnchor="text" w:horzAnchor="page" w:tblpX="1128" w:tblpY="288"/>
        <w:tblOverlap w:val="never"/>
        <w:tblW w:w="14821" w:type="dxa"/>
        <w:tblInd w:w="0" w:type="dxa"/>
        <w:tblLayout w:type="fixed"/>
        <w:tblCellMar>
          <w:top w:w="0" w:type="dxa"/>
          <w:left w:w="108" w:type="dxa"/>
          <w:bottom w:w="0" w:type="dxa"/>
          <w:right w:w="108" w:type="dxa"/>
        </w:tblCellMar>
      </w:tblPr>
      <w:tblGrid>
        <w:gridCol w:w="1783"/>
        <w:gridCol w:w="13038"/>
      </w:tblGrid>
      <w:tr w14:paraId="2346E895">
        <w:tblPrEx>
          <w:tblCellMar>
            <w:top w:w="0" w:type="dxa"/>
            <w:left w:w="108" w:type="dxa"/>
            <w:bottom w:w="0" w:type="dxa"/>
            <w:right w:w="108" w:type="dxa"/>
          </w:tblCellMar>
        </w:tblPrEx>
        <w:trPr>
          <w:trHeight w:val="567" w:hRule="atLeast"/>
        </w:trPr>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CA6AE">
            <w:pPr>
              <w:keepNext w:val="0"/>
              <w:keepLines w:val="0"/>
              <w:pageBreakBefore w:val="0"/>
              <w:widowControl/>
              <w:kinsoku/>
              <w:wordWrap/>
              <w:overflowPunct/>
              <w:topLinePunct w:val="0"/>
              <w:bidi w:val="0"/>
              <w:snapToGrid w:val="0"/>
              <w:spacing w:line="360" w:lineRule="auto"/>
              <w:jc w:val="center"/>
              <w:textAlignment w:val="center"/>
              <w:rPr>
                <w:rFonts w:ascii="宋体" w:hAnsi="宋体" w:eastAsia="宋体" w:cs="宋体"/>
                <w:color w:val="auto"/>
                <w:sz w:val="21"/>
                <w:szCs w:val="21"/>
              </w:rPr>
            </w:pPr>
            <w:r>
              <w:rPr>
                <w:rFonts w:hint="eastAsia" w:ascii="宋体" w:hAnsi="宋体" w:eastAsia="宋体" w:cs="宋体"/>
                <w:color w:val="auto"/>
                <w:kern w:val="0"/>
                <w:sz w:val="21"/>
                <w:szCs w:val="21"/>
                <w:lang w:bidi="ar"/>
              </w:rPr>
              <w:t>合同签订期</w:t>
            </w:r>
          </w:p>
        </w:tc>
        <w:tc>
          <w:tcPr>
            <w:tcW w:w="13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3AEDC">
            <w:pPr>
              <w:keepNext w:val="0"/>
              <w:keepLines w:val="0"/>
              <w:pageBreakBefore w:val="0"/>
              <w:widowControl/>
              <w:kinsoku/>
              <w:wordWrap/>
              <w:overflowPunct/>
              <w:topLinePunct w:val="0"/>
              <w:bidi w:val="0"/>
              <w:snapToGrid w:val="0"/>
              <w:spacing w:line="360" w:lineRule="auto"/>
              <w:jc w:val="left"/>
              <w:textAlignment w:val="center"/>
              <w:rPr>
                <w:rFonts w:ascii="宋体" w:hAnsi="宋体" w:eastAsia="宋体" w:cs="宋体"/>
                <w:color w:val="auto"/>
                <w:sz w:val="21"/>
                <w:szCs w:val="21"/>
              </w:rPr>
            </w:pPr>
            <w:r>
              <w:rPr>
                <w:rFonts w:hint="eastAsia" w:ascii="宋体" w:hAnsi="宋体" w:eastAsia="宋体" w:cs="宋体"/>
                <w:color w:val="auto"/>
                <w:kern w:val="0"/>
                <w:sz w:val="21"/>
                <w:szCs w:val="21"/>
                <w:lang w:bidi="ar"/>
              </w:rPr>
              <w:t>自成交公告发出之日起</w:t>
            </w:r>
            <w:r>
              <w:rPr>
                <w:rStyle w:val="15"/>
                <w:color w:val="auto"/>
                <w:sz w:val="21"/>
                <w:szCs w:val="21"/>
                <w:lang w:bidi="ar"/>
              </w:rPr>
              <w:t xml:space="preserve"> </w:t>
            </w:r>
            <w:r>
              <w:rPr>
                <w:rStyle w:val="15"/>
                <w:rFonts w:hint="eastAsia" w:eastAsia="宋体"/>
                <w:color w:val="auto"/>
                <w:sz w:val="21"/>
                <w:szCs w:val="21"/>
                <w:lang w:val="en-US" w:eastAsia="zh-CN" w:bidi="ar"/>
              </w:rPr>
              <w:t>10</w:t>
            </w:r>
            <w:r>
              <w:rPr>
                <w:rStyle w:val="15"/>
                <w:color w:val="auto"/>
                <w:sz w:val="21"/>
                <w:szCs w:val="21"/>
                <w:lang w:bidi="ar"/>
              </w:rPr>
              <w:t xml:space="preserve"> </w:t>
            </w:r>
            <w:r>
              <w:rPr>
                <w:rFonts w:hint="eastAsia" w:ascii="宋体" w:hAnsi="宋体" w:eastAsia="宋体" w:cs="宋体"/>
                <w:color w:val="auto"/>
                <w:kern w:val="0"/>
                <w:sz w:val="21"/>
                <w:szCs w:val="21"/>
                <w:lang w:bidi="ar"/>
              </w:rPr>
              <w:t>个日历日内。</w:t>
            </w:r>
          </w:p>
        </w:tc>
      </w:tr>
      <w:tr w14:paraId="53EA32A1">
        <w:tblPrEx>
          <w:tblCellMar>
            <w:top w:w="0" w:type="dxa"/>
            <w:left w:w="108" w:type="dxa"/>
            <w:bottom w:w="0" w:type="dxa"/>
            <w:right w:w="108" w:type="dxa"/>
          </w:tblCellMar>
        </w:tblPrEx>
        <w:trPr>
          <w:trHeight w:val="760" w:hRule="atLeast"/>
        </w:trPr>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E7992">
            <w:pPr>
              <w:keepNext w:val="0"/>
              <w:keepLines w:val="0"/>
              <w:pageBreakBefore w:val="0"/>
              <w:widowControl/>
              <w:kinsoku/>
              <w:wordWrap/>
              <w:overflowPunct/>
              <w:topLinePunct w:val="0"/>
              <w:bidi w:val="0"/>
              <w:snapToGrid w:val="0"/>
              <w:spacing w:line="360" w:lineRule="auto"/>
              <w:jc w:val="center"/>
              <w:textAlignment w:val="center"/>
              <w:rPr>
                <w:rFonts w:ascii="宋体" w:hAnsi="宋体" w:eastAsia="宋体" w:cs="宋体"/>
                <w:color w:val="auto"/>
                <w:sz w:val="21"/>
                <w:szCs w:val="21"/>
              </w:rPr>
            </w:pPr>
            <w:r>
              <w:rPr>
                <w:rStyle w:val="17"/>
                <w:color w:val="auto"/>
                <w:sz w:val="21"/>
                <w:szCs w:val="21"/>
                <w:lang w:bidi="ar"/>
              </w:rPr>
              <w:t>交货时间及地点</w:t>
            </w:r>
          </w:p>
        </w:tc>
        <w:tc>
          <w:tcPr>
            <w:tcW w:w="13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BA963">
            <w:pPr>
              <w:pStyle w:val="9"/>
              <w:keepNext w:val="0"/>
              <w:keepLines w:val="0"/>
              <w:pageBreakBefore w:val="0"/>
              <w:kinsoku/>
              <w:wordWrap/>
              <w:overflowPunct/>
              <w:topLinePunct w:val="0"/>
              <w:bidi w:val="0"/>
              <w:spacing w:line="360" w:lineRule="auto"/>
              <w:ind w:firstLine="0" w:firstLineChars="0"/>
              <w:rPr>
                <w:rFonts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1</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交货期：合同签订后</w:t>
            </w:r>
            <w:r>
              <w:rPr>
                <w:rFonts w:hint="eastAsia" w:ascii="宋体" w:hAnsi="宋体" w:eastAsia="宋体" w:cs="宋体"/>
                <w:color w:val="auto"/>
                <w:sz w:val="21"/>
                <w:szCs w:val="21"/>
              </w:rPr>
              <w:t>接到采购人通知之日起1</w:t>
            </w:r>
            <w:r>
              <w:rPr>
                <w:rFonts w:hint="eastAsia" w:ascii="宋体" w:hAnsi="宋体" w:eastAsia="宋体" w:cs="宋体"/>
                <w:color w:val="auto"/>
                <w:sz w:val="21"/>
                <w:szCs w:val="21"/>
                <w:lang w:val="en-US" w:eastAsia="zh-CN"/>
              </w:rPr>
              <w:t>0</w:t>
            </w:r>
            <w:r>
              <w:rPr>
                <w:rFonts w:hint="eastAsia" w:ascii="宋体" w:hAnsi="宋体" w:eastAsia="宋体" w:cs="宋体"/>
                <w:color w:val="auto"/>
                <w:sz w:val="21"/>
                <w:szCs w:val="21"/>
              </w:rPr>
              <w:t>个</w:t>
            </w:r>
            <w:r>
              <w:rPr>
                <w:rFonts w:hint="eastAsia" w:ascii="宋体" w:hAnsi="宋体" w:eastAsia="宋体" w:cs="宋体"/>
                <w:color w:val="auto"/>
                <w:sz w:val="21"/>
                <w:szCs w:val="21"/>
                <w:lang w:eastAsia="zh-CN"/>
              </w:rPr>
              <w:t>工作</w:t>
            </w:r>
            <w:r>
              <w:rPr>
                <w:rFonts w:hint="eastAsia" w:ascii="宋体" w:hAnsi="宋体" w:eastAsia="宋体" w:cs="宋体"/>
                <w:color w:val="auto"/>
                <w:sz w:val="21"/>
                <w:szCs w:val="21"/>
              </w:rPr>
              <w:t>日内到货并安装</w:t>
            </w:r>
            <w:r>
              <w:rPr>
                <w:rFonts w:hint="eastAsia" w:ascii="宋体" w:hAnsi="宋体" w:eastAsia="宋体" w:cs="宋体"/>
                <w:color w:val="auto"/>
                <w:sz w:val="21"/>
                <w:szCs w:val="21"/>
                <w:lang w:eastAsia="zh-CN"/>
              </w:rPr>
              <w:t>调试</w:t>
            </w:r>
            <w:r>
              <w:rPr>
                <w:rFonts w:hint="eastAsia" w:ascii="宋体" w:hAnsi="宋体" w:eastAsia="宋体" w:cs="宋体"/>
                <w:color w:val="auto"/>
                <w:sz w:val="21"/>
                <w:szCs w:val="21"/>
              </w:rPr>
              <w:t>完毕交付使用。</w:t>
            </w:r>
          </w:p>
          <w:p w14:paraId="2E810054">
            <w:pPr>
              <w:keepNext w:val="0"/>
              <w:keepLines w:val="0"/>
              <w:pageBreakBefore w:val="0"/>
              <w:widowControl/>
              <w:kinsoku/>
              <w:wordWrap/>
              <w:overflowPunct/>
              <w:topLinePunct w:val="0"/>
              <w:bidi w:val="0"/>
              <w:snapToGrid w:val="0"/>
              <w:spacing w:line="360" w:lineRule="auto"/>
              <w:jc w:val="left"/>
              <w:textAlignment w:val="center"/>
              <w:rPr>
                <w:rFonts w:ascii="宋体" w:hAnsi="宋体" w:eastAsia="宋体" w:cs="宋体"/>
                <w:color w:val="auto"/>
                <w:sz w:val="21"/>
                <w:szCs w:val="21"/>
              </w:rPr>
            </w:pPr>
            <w:r>
              <w:rPr>
                <w:rStyle w:val="17"/>
                <w:color w:val="auto"/>
                <w:sz w:val="21"/>
                <w:szCs w:val="21"/>
                <w:lang w:bidi="ar"/>
              </w:rPr>
              <w:t>2</w:t>
            </w:r>
            <w:r>
              <w:rPr>
                <w:rStyle w:val="17"/>
                <w:rFonts w:eastAsia="宋体"/>
                <w:color w:val="auto"/>
                <w:sz w:val="21"/>
                <w:szCs w:val="21"/>
                <w:lang w:eastAsia="zh-CN" w:bidi="ar"/>
              </w:rPr>
              <w:t>、</w:t>
            </w:r>
            <w:r>
              <w:rPr>
                <w:rStyle w:val="17"/>
                <w:color w:val="auto"/>
                <w:sz w:val="21"/>
                <w:szCs w:val="21"/>
                <w:lang w:bidi="ar"/>
              </w:rPr>
              <w:t>交货地点：</w:t>
            </w:r>
            <w:r>
              <w:rPr>
                <w:rFonts w:hint="eastAsia" w:ascii="宋体" w:hAnsi="宋体" w:eastAsia="宋体" w:cs="宋体"/>
                <w:color w:val="auto"/>
                <w:sz w:val="21"/>
                <w:szCs w:val="21"/>
              </w:rPr>
              <w:t>广西</w:t>
            </w:r>
            <w:r>
              <w:rPr>
                <w:rFonts w:hint="eastAsia" w:ascii="宋体" w:hAnsi="宋体" w:eastAsia="宋体" w:cs="宋体"/>
                <w:color w:val="auto"/>
                <w:sz w:val="21"/>
                <w:szCs w:val="21"/>
                <w:lang w:val="en-US" w:eastAsia="zh-CN"/>
              </w:rPr>
              <w:t>崇左</w:t>
            </w:r>
            <w:r>
              <w:rPr>
                <w:rFonts w:hint="eastAsia" w:ascii="宋体" w:hAnsi="宋体" w:eastAsia="宋体" w:cs="宋体"/>
                <w:color w:val="auto"/>
                <w:sz w:val="21"/>
                <w:szCs w:val="21"/>
              </w:rPr>
              <w:t>市采购人指定地点（广西</w:t>
            </w:r>
            <w:r>
              <w:rPr>
                <w:rFonts w:hint="eastAsia" w:ascii="宋体" w:hAnsi="宋体" w:eastAsia="宋体" w:cs="宋体"/>
                <w:color w:val="auto"/>
                <w:sz w:val="21"/>
                <w:szCs w:val="21"/>
                <w:lang w:val="en-US" w:eastAsia="zh-CN"/>
              </w:rPr>
              <w:t>自然资源</w:t>
            </w:r>
            <w:r>
              <w:rPr>
                <w:rFonts w:hint="eastAsia" w:ascii="宋体" w:hAnsi="宋体" w:eastAsia="宋体" w:cs="宋体"/>
                <w:color w:val="auto"/>
                <w:sz w:val="21"/>
                <w:szCs w:val="21"/>
              </w:rPr>
              <w:t>职业技术学院）</w:t>
            </w:r>
            <w:r>
              <w:rPr>
                <w:rStyle w:val="17"/>
                <w:color w:val="auto"/>
                <w:sz w:val="21"/>
                <w:szCs w:val="21"/>
                <w:lang w:bidi="ar"/>
              </w:rPr>
              <w:t>。</w:t>
            </w:r>
          </w:p>
        </w:tc>
      </w:tr>
      <w:tr w14:paraId="3DD0B353">
        <w:tblPrEx>
          <w:tblCellMar>
            <w:top w:w="0" w:type="dxa"/>
            <w:left w:w="108" w:type="dxa"/>
            <w:bottom w:w="0" w:type="dxa"/>
            <w:right w:w="108" w:type="dxa"/>
          </w:tblCellMar>
        </w:tblPrEx>
        <w:trPr>
          <w:trHeight w:val="760" w:hRule="atLeast"/>
        </w:trPr>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0AA19">
            <w:pPr>
              <w:keepNext w:val="0"/>
              <w:keepLines w:val="0"/>
              <w:pageBreakBefore w:val="0"/>
              <w:widowControl/>
              <w:kinsoku/>
              <w:wordWrap/>
              <w:overflowPunct/>
              <w:topLinePunct w:val="0"/>
              <w:bidi w:val="0"/>
              <w:snapToGrid w:val="0"/>
              <w:spacing w:line="360" w:lineRule="auto"/>
              <w:jc w:val="center"/>
              <w:textAlignment w:val="center"/>
              <w:rPr>
                <w:rFonts w:ascii="宋体" w:hAnsi="宋体" w:eastAsia="宋体" w:cs="宋体"/>
                <w:color w:val="auto"/>
                <w:sz w:val="21"/>
                <w:szCs w:val="21"/>
              </w:rPr>
            </w:pPr>
            <w:r>
              <w:rPr>
                <w:rStyle w:val="17"/>
                <w:color w:val="auto"/>
                <w:sz w:val="21"/>
                <w:szCs w:val="21"/>
                <w:lang w:bidi="ar"/>
              </w:rPr>
              <w:t>质保期</w:t>
            </w:r>
          </w:p>
        </w:tc>
        <w:tc>
          <w:tcPr>
            <w:tcW w:w="13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EB4BB">
            <w:pPr>
              <w:keepNext w:val="0"/>
              <w:keepLines w:val="0"/>
              <w:pageBreakBefore w:val="0"/>
              <w:widowControl/>
              <w:kinsoku/>
              <w:wordWrap/>
              <w:overflowPunct/>
              <w:topLinePunct w:val="0"/>
              <w:bidi w:val="0"/>
              <w:snapToGrid w:val="0"/>
              <w:spacing w:line="360" w:lineRule="auto"/>
              <w:jc w:val="left"/>
              <w:textAlignment w:val="center"/>
              <w:rPr>
                <w:rFonts w:ascii="宋体" w:hAnsi="宋体" w:eastAsia="宋体" w:cs="宋体"/>
                <w:color w:val="auto"/>
                <w:sz w:val="21"/>
                <w:szCs w:val="21"/>
              </w:rPr>
            </w:pPr>
            <w:r>
              <w:rPr>
                <w:rStyle w:val="17"/>
                <w:color w:val="auto"/>
                <w:sz w:val="21"/>
                <w:szCs w:val="21"/>
                <w:lang w:bidi="ar"/>
              </w:rPr>
              <w:t>按国家有关规定或厂家承诺实行“三包”，</w:t>
            </w:r>
            <w:r>
              <w:rPr>
                <w:rFonts w:hint="eastAsia" w:ascii="宋体" w:hAnsi="宋体" w:eastAsia="宋体" w:cs="宋体"/>
                <w:color w:val="auto"/>
                <w:kern w:val="0"/>
                <w:sz w:val="21"/>
                <w:szCs w:val="21"/>
                <w:lang w:bidi="ar"/>
              </w:rPr>
              <w:t>质保期从验收合格之日起整机不少于3年（技术参数中有特别指明质保期的按参数要求，厂家质保期高于采购要求的按厂家质保）</w:t>
            </w:r>
            <w:r>
              <w:rPr>
                <w:rStyle w:val="17"/>
                <w:color w:val="auto"/>
                <w:sz w:val="21"/>
                <w:szCs w:val="21"/>
                <w:lang w:bidi="ar"/>
              </w:rPr>
              <w:t>，质保期内全免费上门维修、免费更换零部件，质保期过后提供终身技术支持和维护。</w:t>
            </w:r>
          </w:p>
        </w:tc>
      </w:tr>
      <w:tr w14:paraId="1FAA8EC1">
        <w:tblPrEx>
          <w:tblCellMar>
            <w:top w:w="0" w:type="dxa"/>
            <w:left w:w="108" w:type="dxa"/>
            <w:bottom w:w="0" w:type="dxa"/>
            <w:right w:w="108" w:type="dxa"/>
          </w:tblCellMar>
        </w:tblPrEx>
        <w:trPr>
          <w:trHeight w:val="290" w:hRule="atLeast"/>
        </w:trPr>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79493">
            <w:pPr>
              <w:keepNext w:val="0"/>
              <w:keepLines w:val="0"/>
              <w:pageBreakBefore w:val="0"/>
              <w:widowControl/>
              <w:kinsoku/>
              <w:wordWrap/>
              <w:overflowPunct/>
              <w:topLinePunct w:val="0"/>
              <w:bidi w:val="0"/>
              <w:snapToGrid w:val="0"/>
              <w:spacing w:line="360" w:lineRule="auto"/>
              <w:jc w:val="center"/>
              <w:textAlignment w:val="center"/>
              <w:rPr>
                <w:rFonts w:ascii="宋体" w:hAnsi="宋体" w:eastAsia="宋体" w:cs="宋体"/>
                <w:color w:val="auto"/>
                <w:sz w:val="21"/>
                <w:szCs w:val="21"/>
              </w:rPr>
            </w:pPr>
            <w:r>
              <w:rPr>
                <w:rFonts w:hint="eastAsia" w:ascii="宋体" w:hAnsi="宋体" w:eastAsia="宋体" w:cs="宋体"/>
                <w:color w:val="auto"/>
                <w:kern w:val="0"/>
                <w:sz w:val="21"/>
                <w:szCs w:val="21"/>
                <w:lang w:bidi="ar"/>
              </w:rPr>
              <w:t>产品质量与售后服务要求</w:t>
            </w:r>
          </w:p>
        </w:tc>
        <w:tc>
          <w:tcPr>
            <w:tcW w:w="13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EAD22">
            <w:pPr>
              <w:keepNext w:val="0"/>
              <w:keepLines w:val="0"/>
              <w:pageBreakBefore w:val="0"/>
              <w:widowControl/>
              <w:kinsoku/>
              <w:wordWrap/>
              <w:overflowPunct/>
              <w:topLinePunct w:val="0"/>
              <w:bidi w:val="0"/>
              <w:snapToGrid w:val="0"/>
              <w:spacing w:line="360" w:lineRule="auto"/>
              <w:rPr>
                <w:rStyle w:val="17"/>
                <w:rFonts w:hint="eastAsia"/>
                <w:color w:val="auto"/>
                <w:sz w:val="21"/>
                <w:szCs w:val="21"/>
                <w:lang w:bidi="ar"/>
              </w:rPr>
            </w:pPr>
            <w:r>
              <w:rPr>
                <w:rStyle w:val="17"/>
                <w:rFonts w:hint="eastAsia"/>
                <w:color w:val="auto"/>
                <w:sz w:val="21"/>
                <w:szCs w:val="21"/>
                <w:lang w:bidi="ar"/>
              </w:rPr>
              <w:t>▲1</w:t>
            </w:r>
            <w:r>
              <w:rPr>
                <w:rStyle w:val="17"/>
                <w:rFonts w:hint="eastAsia" w:eastAsia="宋体"/>
                <w:color w:val="auto"/>
                <w:sz w:val="21"/>
                <w:szCs w:val="21"/>
                <w:lang w:val="en-US" w:eastAsia="zh-CN" w:bidi="ar"/>
              </w:rPr>
              <w:t>.</w:t>
            </w:r>
            <w:r>
              <w:rPr>
                <w:rStyle w:val="17"/>
                <w:rFonts w:hint="eastAsia"/>
                <w:color w:val="auto"/>
                <w:sz w:val="21"/>
                <w:szCs w:val="21"/>
                <w:lang w:bidi="ar"/>
              </w:rPr>
              <w:t>竞价时必须上传响应文件，响应文件内容包含报价清单（注明所投品牌型号）、商务条款偏离表（注明“正偏离”、“负偏离”或“无偏离”）、技术需求偏离表（注明“正偏离”、“负偏离”或“无偏离”）和“采购需求”中的“技术参数要求”要求提供的相关材料复印件等，如所提供的响应文件内容不全或者不符的，视为无效竞价；本项目仅接受意向品牌的产品参与报价，意向品牌以外的产品报价无效。</w:t>
            </w:r>
          </w:p>
          <w:p w14:paraId="1DA7DAD5">
            <w:pPr>
              <w:keepNext w:val="0"/>
              <w:keepLines w:val="0"/>
              <w:pageBreakBefore w:val="0"/>
              <w:widowControl/>
              <w:kinsoku/>
              <w:wordWrap/>
              <w:overflowPunct/>
              <w:topLinePunct w:val="0"/>
              <w:bidi w:val="0"/>
              <w:snapToGrid w:val="0"/>
              <w:spacing w:line="360" w:lineRule="auto"/>
              <w:rPr>
                <w:rStyle w:val="17"/>
                <w:rFonts w:hint="eastAsia"/>
                <w:color w:val="auto"/>
                <w:sz w:val="21"/>
                <w:szCs w:val="21"/>
                <w:lang w:bidi="ar"/>
              </w:rPr>
            </w:pPr>
            <w:bookmarkStart w:id="2" w:name="OLE_LINK2"/>
            <w:r>
              <w:rPr>
                <w:rStyle w:val="17"/>
                <w:rFonts w:hint="eastAsia"/>
                <w:color w:val="auto"/>
                <w:sz w:val="21"/>
                <w:szCs w:val="21"/>
                <w:lang w:bidi="ar"/>
              </w:rPr>
              <w:t>▲</w:t>
            </w:r>
            <w:bookmarkEnd w:id="2"/>
            <w:r>
              <w:rPr>
                <w:rStyle w:val="17"/>
                <w:rFonts w:hint="eastAsia"/>
                <w:color w:val="auto"/>
                <w:sz w:val="21"/>
                <w:szCs w:val="21"/>
                <w:lang w:bidi="ar"/>
              </w:rPr>
              <w:t>2</w:t>
            </w:r>
            <w:r>
              <w:rPr>
                <w:rStyle w:val="17"/>
                <w:rFonts w:hint="eastAsia" w:eastAsia="宋体"/>
                <w:color w:val="auto"/>
                <w:sz w:val="21"/>
                <w:szCs w:val="21"/>
                <w:lang w:val="en-US" w:eastAsia="zh-CN" w:bidi="ar"/>
              </w:rPr>
              <w:t>.</w:t>
            </w:r>
            <w:r>
              <w:rPr>
                <w:rStyle w:val="17"/>
                <w:rFonts w:hint="eastAsia"/>
                <w:color w:val="auto"/>
                <w:sz w:val="21"/>
                <w:szCs w:val="21"/>
                <w:lang w:bidi="ar"/>
              </w:rPr>
              <w:t>为保障产品性能符合竞价文件要求，防止虚假应标，竞标时必须提供与标“▲”技术参数要求及功能符合的“检测报告或功能截图”作为合同确认的标准依据，如出现所提供产品不符技术参数要求或无法提供所有“检测报告或功能截图”，均视为虚假应标处理，采购人有权拒签合同，并取消其成交资格；如出现以上虚假应标行为，采购人有权依法追求法律责任，并将依法向政采云平台举报，上报政府采购监管部门，予以禁止报价、扣除诚信分等处罚，政采云全平台各区划联动生效。</w:t>
            </w:r>
          </w:p>
          <w:p w14:paraId="61E372E8">
            <w:pPr>
              <w:keepNext w:val="0"/>
              <w:keepLines w:val="0"/>
              <w:pageBreakBefore w:val="0"/>
              <w:widowControl/>
              <w:kinsoku/>
              <w:wordWrap/>
              <w:overflowPunct/>
              <w:topLinePunct w:val="0"/>
              <w:bidi w:val="0"/>
              <w:snapToGrid w:val="0"/>
              <w:spacing w:line="360" w:lineRule="auto"/>
              <w:rPr>
                <w:rStyle w:val="17"/>
                <w:rFonts w:hint="eastAsia"/>
                <w:color w:val="auto"/>
                <w:sz w:val="21"/>
                <w:szCs w:val="21"/>
                <w:lang w:bidi="ar"/>
              </w:rPr>
            </w:pPr>
            <w:r>
              <w:rPr>
                <w:rStyle w:val="17"/>
                <w:rFonts w:hint="eastAsia" w:eastAsia="宋体"/>
                <w:color w:val="auto"/>
                <w:sz w:val="21"/>
                <w:szCs w:val="21"/>
                <w:lang w:val="en-US" w:eastAsia="zh-CN" w:bidi="ar"/>
              </w:rPr>
              <w:t>▲3</w:t>
            </w:r>
            <w:r>
              <w:rPr>
                <w:rStyle w:val="17"/>
                <w:rFonts w:hint="eastAsia"/>
                <w:color w:val="auto"/>
                <w:sz w:val="21"/>
                <w:szCs w:val="21"/>
                <w:lang w:bidi="ar"/>
              </w:rPr>
              <w:t>、本项目成交供应商必须按</w:t>
            </w:r>
            <w:r>
              <w:rPr>
                <w:rStyle w:val="17"/>
                <w:rFonts w:hint="eastAsia" w:eastAsia="宋体"/>
                <w:color w:val="auto"/>
                <w:sz w:val="21"/>
                <w:szCs w:val="21"/>
                <w:lang w:val="en-US" w:eastAsia="zh-CN" w:bidi="ar"/>
              </w:rPr>
              <w:t>响应文件承诺的</w:t>
            </w:r>
            <w:r>
              <w:rPr>
                <w:rStyle w:val="17"/>
                <w:rFonts w:hint="eastAsia"/>
                <w:color w:val="auto"/>
                <w:sz w:val="21"/>
                <w:szCs w:val="21"/>
                <w:lang w:bidi="ar"/>
              </w:rPr>
              <w:t xml:space="preserve">品牌进行供货，供应商不得以任何理由更改设备的品牌、型号、配置，配置必须是原厂出厂配置，不接受出厂后加装。 </w:t>
            </w:r>
          </w:p>
          <w:p w14:paraId="0DB1596C">
            <w:pPr>
              <w:keepNext w:val="0"/>
              <w:keepLines w:val="0"/>
              <w:pageBreakBefore w:val="0"/>
              <w:widowControl/>
              <w:kinsoku/>
              <w:wordWrap/>
              <w:overflowPunct/>
              <w:topLinePunct w:val="0"/>
              <w:bidi w:val="0"/>
              <w:snapToGrid w:val="0"/>
              <w:spacing w:line="360" w:lineRule="auto"/>
              <w:jc w:val="left"/>
              <w:textAlignment w:val="center"/>
              <w:rPr>
                <w:rFonts w:hint="eastAsia" w:ascii="宋体" w:hAnsi="宋体" w:eastAsia="宋体" w:cs="宋体"/>
                <w:color w:val="auto"/>
                <w:sz w:val="21"/>
                <w:szCs w:val="21"/>
              </w:rPr>
            </w:pPr>
            <w:r>
              <w:rPr>
                <w:rStyle w:val="17"/>
                <w:rFonts w:hint="eastAsia" w:eastAsia="宋体"/>
                <w:color w:val="auto"/>
                <w:sz w:val="21"/>
                <w:szCs w:val="21"/>
                <w:lang w:val="en-US" w:eastAsia="zh-CN" w:bidi="ar"/>
              </w:rPr>
              <w:t>4</w:t>
            </w:r>
            <w:r>
              <w:rPr>
                <w:rStyle w:val="17"/>
                <w:color w:val="auto"/>
                <w:sz w:val="21"/>
                <w:szCs w:val="21"/>
                <w:lang w:bidi="ar"/>
              </w:rPr>
              <w:t>、故障响应时间：</w:t>
            </w:r>
            <w:r>
              <w:rPr>
                <w:rFonts w:hint="eastAsia" w:ascii="宋体" w:hAnsi="宋体" w:eastAsia="宋体" w:cs="宋体"/>
                <w:color w:val="auto"/>
                <w:kern w:val="0"/>
                <w:sz w:val="21"/>
                <w:szCs w:val="21"/>
                <w:lang w:bidi="ar"/>
              </w:rPr>
              <w:t>成交供应商收到采购人的故障维修通知后30分钟内</w:t>
            </w:r>
            <w:r>
              <w:rPr>
                <w:rFonts w:hint="eastAsia" w:ascii="宋体" w:hAnsi="宋体" w:eastAsia="宋体" w:cs="宋体"/>
                <w:color w:val="auto"/>
                <w:sz w:val="21"/>
                <w:szCs w:val="21"/>
              </w:rPr>
              <w:t>电话服务应答</w:t>
            </w:r>
            <w:r>
              <w:rPr>
                <w:rFonts w:hint="eastAsia" w:ascii="宋体" w:hAnsi="宋体" w:eastAsia="宋体" w:cs="宋体"/>
                <w:color w:val="auto"/>
                <w:kern w:val="0"/>
                <w:sz w:val="21"/>
                <w:szCs w:val="21"/>
                <w:lang w:bidi="ar"/>
              </w:rPr>
              <w:t>，2小时内到达现场进行维修，4小时内排除故障，</w:t>
            </w:r>
            <w:r>
              <w:rPr>
                <w:rFonts w:hint="eastAsia" w:ascii="宋体" w:hAnsi="宋体" w:eastAsia="宋体" w:cs="宋体"/>
                <w:color w:val="auto"/>
                <w:sz w:val="21"/>
                <w:szCs w:val="21"/>
              </w:rPr>
              <w:t>如24小时内无法修复的，质保期内</w:t>
            </w:r>
            <w:r>
              <w:rPr>
                <w:rFonts w:hint="eastAsia" w:ascii="宋体" w:hAnsi="宋体" w:eastAsia="宋体" w:cs="宋体"/>
                <w:color w:val="auto"/>
                <w:sz w:val="21"/>
                <w:szCs w:val="21"/>
                <w:lang w:val="en"/>
              </w:rPr>
              <w:t>成交</w:t>
            </w:r>
            <w:r>
              <w:rPr>
                <w:rFonts w:hint="eastAsia" w:ascii="宋体" w:hAnsi="宋体" w:eastAsia="宋体" w:cs="宋体"/>
                <w:color w:val="auto"/>
                <w:sz w:val="21"/>
                <w:szCs w:val="21"/>
              </w:rPr>
              <w:t>供应商应无条件更换新设备或提供代用设备，或采取使设备可正常运转的措施(必须响应)。</w:t>
            </w:r>
          </w:p>
          <w:p w14:paraId="69C619D7">
            <w:pPr>
              <w:keepNext w:val="0"/>
              <w:keepLines w:val="0"/>
              <w:pageBreakBefore w:val="0"/>
              <w:widowControl/>
              <w:kinsoku/>
              <w:wordWrap/>
              <w:overflowPunct/>
              <w:topLinePunct w:val="0"/>
              <w:bidi w:val="0"/>
              <w:snapToGrid w:val="0"/>
              <w:spacing w:line="360" w:lineRule="auto"/>
              <w:jc w:val="left"/>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▲5、本项目供货、现场安装调试全过程派驻实施人员须为供应商自有在职员工，需具备国家CISP注册信息安全专业人员并在项目实施前提供该人员连续 3个月及以上社保缴纳证明，严禁外聘、挂靠人员进场实施。</w:t>
            </w:r>
          </w:p>
        </w:tc>
      </w:tr>
      <w:tr w14:paraId="1D582386">
        <w:tblPrEx>
          <w:tblCellMar>
            <w:top w:w="0" w:type="dxa"/>
            <w:left w:w="108" w:type="dxa"/>
            <w:bottom w:w="0" w:type="dxa"/>
            <w:right w:w="108" w:type="dxa"/>
          </w:tblCellMar>
        </w:tblPrEx>
        <w:trPr>
          <w:trHeight w:val="4364" w:hRule="atLeast"/>
        </w:trPr>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C0B73">
            <w:pPr>
              <w:keepNext w:val="0"/>
              <w:keepLines w:val="0"/>
              <w:pageBreakBefore w:val="0"/>
              <w:kinsoku/>
              <w:wordWrap/>
              <w:overflowPunct/>
              <w:topLinePunct w:val="0"/>
              <w:bidi w:val="0"/>
              <w:spacing w:line="360" w:lineRule="auto"/>
              <w:jc w:val="center"/>
              <w:rPr>
                <w:rFonts w:hint="default" w:ascii="宋体" w:hAnsi="宋体" w:eastAsia="宋体" w:cs="宋体"/>
                <w:color w:val="auto"/>
                <w:sz w:val="21"/>
                <w:szCs w:val="21"/>
                <w:lang w:val="en-US" w:eastAsia="zh-CN"/>
              </w:rPr>
            </w:pPr>
            <w:bookmarkStart w:id="3" w:name="OLE_LINK4"/>
            <w:r>
              <w:rPr>
                <w:rFonts w:hint="eastAsia" w:ascii="宋体" w:hAnsi="宋体" w:eastAsia="宋体" w:cs="宋体"/>
                <w:color w:val="auto"/>
                <w:sz w:val="21"/>
                <w:szCs w:val="21"/>
                <w:lang w:val="en-US" w:eastAsia="zh-CN"/>
              </w:rPr>
              <w:t>履约责任</w:t>
            </w:r>
            <w:bookmarkEnd w:id="3"/>
          </w:p>
        </w:tc>
        <w:tc>
          <w:tcPr>
            <w:tcW w:w="13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3BBD6">
            <w:pPr>
              <w:keepNext w:val="0"/>
              <w:keepLines w:val="0"/>
              <w:pageBreakBefore w:val="0"/>
              <w:kinsoku/>
              <w:wordWrap/>
              <w:overflowPunct/>
              <w:topLinePunct w:val="0"/>
              <w:bidi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不按本商务要求规定缴纳履约保证金的，取消成交单位中标（竞得）资格。</w:t>
            </w:r>
          </w:p>
          <w:p w14:paraId="65281298">
            <w:pPr>
              <w:keepNext w:val="0"/>
              <w:keepLines w:val="0"/>
              <w:pageBreakBefore w:val="0"/>
              <w:kinsoku/>
              <w:wordWrap/>
              <w:overflowPunct/>
              <w:topLinePunct w:val="0"/>
              <w:bidi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2</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不按本商务要求规定签订合同的，取消成交单位中标（竞得）资格。</w:t>
            </w:r>
          </w:p>
          <w:p w14:paraId="4473ECF7">
            <w:pPr>
              <w:keepNext w:val="0"/>
              <w:keepLines w:val="0"/>
              <w:pageBreakBefore w:val="0"/>
              <w:kinsoku/>
              <w:wordWrap/>
              <w:overflowPunct/>
              <w:topLinePunct w:val="0"/>
              <w:bidi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3</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因成交单位原因提前终止或解决合同的，除具有法定或约定免责理由外，采购单位没收成交单位履约保证金，同时按成交价款的20%赔偿采购单位损失（另行向采购单位缴纳）。</w:t>
            </w:r>
          </w:p>
          <w:p w14:paraId="6D0DC959">
            <w:pPr>
              <w:keepNext w:val="0"/>
              <w:keepLines w:val="0"/>
              <w:pageBreakBefore w:val="0"/>
              <w:kinsoku/>
              <w:wordWrap/>
              <w:overflowPunct/>
              <w:topLinePunct w:val="0"/>
              <w:bidi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4</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发生以下情形之一的，成交单位每次向采购单位缴纳500元作为违约金。</w:t>
            </w:r>
          </w:p>
          <w:p w14:paraId="49A840B5">
            <w:pPr>
              <w:keepNext w:val="0"/>
              <w:keepLines w:val="0"/>
              <w:pageBreakBefore w:val="0"/>
              <w:kinsoku/>
              <w:wordWrap/>
              <w:overflowPunct/>
              <w:topLinePunct w:val="0"/>
              <w:bidi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4.1成交单位达不到本需求文件约定的；</w:t>
            </w:r>
          </w:p>
          <w:p w14:paraId="22B54A52">
            <w:pPr>
              <w:keepNext w:val="0"/>
              <w:keepLines w:val="0"/>
              <w:pageBreakBefore w:val="0"/>
              <w:kinsoku/>
              <w:wordWrap/>
              <w:overflowPunct/>
              <w:topLinePunct w:val="0"/>
              <w:bidi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4.2成交单位未达到或违反本商务文件约定的。</w:t>
            </w:r>
          </w:p>
          <w:p w14:paraId="45952E82">
            <w:pPr>
              <w:keepNext w:val="0"/>
              <w:keepLines w:val="0"/>
              <w:pageBreakBefore w:val="0"/>
              <w:kinsoku/>
              <w:wordWrap/>
              <w:overflowPunct/>
              <w:topLinePunct w:val="0"/>
              <w:bidi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4.3成交单位须按本需求文件约定安排技术人员进场调试安装实施。技术人员须连续开展作业，直至完成项目。未经采购单位同意不得停止。停止施工一天（半天按一天计），成交单位向采购单位缴纳1000元作为违约金。</w:t>
            </w:r>
          </w:p>
          <w:p w14:paraId="74A8CC42">
            <w:pPr>
              <w:keepNext w:val="0"/>
              <w:keepLines w:val="0"/>
              <w:pageBreakBefore w:val="0"/>
              <w:kinsoku/>
              <w:wordWrap/>
              <w:overflowPunct/>
              <w:topLinePunct w:val="0"/>
              <w:bidi w:val="0"/>
              <w:spacing w:line="360" w:lineRule="auto"/>
              <w:rPr>
                <w:rFonts w:ascii="宋体" w:hAnsi="宋体" w:eastAsia="宋体" w:cs="宋体"/>
                <w:color w:val="auto"/>
                <w:kern w:val="0"/>
                <w:sz w:val="21"/>
                <w:szCs w:val="21"/>
                <w:lang w:val="zh-CN"/>
              </w:rPr>
            </w:pPr>
            <w:r>
              <w:rPr>
                <w:rFonts w:hint="eastAsia" w:ascii="宋体" w:hAnsi="宋体" w:eastAsia="宋体" w:cs="宋体"/>
                <w:color w:val="auto"/>
                <w:sz w:val="21"/>
                <w:szCs w:val="21"/>
              </w:rPr>
              <w:t>4.4成交单位须按本需求文件要求和合同约定时间完成工作。每逾期一天，成交单位向采购单位缴纳1000元作为违约金。逾期天数达到10天（含10天）的，采购单位有权单方解除本合同，并有权拒绝支付合同款项。</w:t>
            </w:r>
          </w:p>
        </w:tc>
      </w:tr>
      <w:tr w14:paraId="5DE5450A">
        <w:tblPrEx>
          <w:tblCellMar>
            <w:top w:w="0" w:type="dxa"/>
            <w:left w:w="108" w:type="dxa"/>
            <w:bottom w:w="0" w:type="dxa"/>
            <w:right w:w="108" w:type="dxa"/>
          </w:tblCellMar>
        </w:tblPrEx>
        <w:trPr>
          <w:trHeight w:val="692" w:hRule="atLeast"/>
        </w:trPr>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0DB4F">
            <w:pPr>
              <w:keepNext w:val="0"/>
              <w:keepLines w:val="0"/>
              <w:pageBreakBefore w:val="0"/>
              <w:widowControl/>
              <w:kinsoku/>
              <w:wordWrap/>
              <w:overflowPunct/>
              <w:topLinePunct w:val="0"/>
              <w:bidi w:val="0"/>
              <w:snapToGrid w:val="0"/>
              <w:spacing w:line="360" w:lineRule="auto"/>
              <w:jc w:val="center"/>
              <w:textAlignment w:val="center"/>
              <w:rPr>
                <w:rFonts w:ascii="宋体" w:hAnsi="宋体" w:eastAsia="宋体" w:cs="宋体"/>
                <w:sz w:val="21"/>
                <w:szCs w:val="21"/>
              </w:rPr>
            </w:pPr>
            <w:r>
              <w:rPr>
                <w:rStyle w:val="17"/>
                <w:color w:val="auto"/>
                <w:sz w:val="21"/>
                <w:szCs w:val="21"/>
                <w:lang w:bidi="ar"/>
              </w:rPr>
              <w:t>付款方式</w:t>
            </w:r>
          </w:p>
        </w:tc>
        <w:tc>
          <w:tcPr>
            <w:tcW w:w="13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48153">
            <w:pPr>
              <w:keepNext w:val="0"/>
              <w:keepLines w:val="0"/>
              <w:pageBreakBefore w:val="0"/>
              <w:widowControl/>
              <w:kinsoku/>
              <w:wordWrap/>
              <w:overflowPunct/>
              <w:topLinePunct w:val="0"/>
              <w:bidi w:val="0"/>
              <w:snapToGrid w:val="0"/>
              <w:spacing w:line="360" w:lineRule="auto"/>
              <w:jc w:val="left"/>
              <w:textAlignment w:val="center"/>
              <w:rPr>
                <w:rFonts w:ascii="宋体" w:hAnsi="宋体" w:eastAsia="宋体" w:cs="宋体"/>
                <w:sz w:val="21"/>
                <w:szCs w:val="21"/>
              </w:rPr>
            </w:pPr>
            <w:r>
              <w:rPr>
                <w:rFonts w:hint="eastAsia" w:ascii="宋体" w:hAnsi="宋体" w:eastAsia="宋体" w:cs="宋体"/>
                <w:kern w:val="0"/>
                <w:sz w:val="21"/>
                <w:szCs w:val="21"/>
                <w:lang w:bidi="ar"/>
              </w:rPr>
              <w:t>项目全部内容实施完成并安装调试至正常运行，经采购人最终验收合格后，中标人开具</w:t>
            </w:r>
            <w:r>
              <w:rPr>
                <w:rFonts w:hint="eastAsia" w:ascii="宋体" w:hAnsi="宋体" w:eastAsia="宋体" w:cs="宋体"/>
                <w:sz w:val="21"/>
                <w:szCs w:val="21"/>
              </w:rPr>
              <w:t>等额完税</w:t>
            </w:r>
            <w:r>
              <w:rPr>
                <w:rFonts w:hint="eastAsia" w:ascii="宋体" w:hAnsi="宋体" w:eastAsia="宋体" w:cs="宋体"/>
                <w:kern w:val="0"/>
                <w:sz w:val="21"/>
                <w:szCs w:val="21"/>
                <w:lang w:bidi="ar"/>
              </w:rPr>
              <w:t>增值税</w:t>
            </w:r>
            <w:r>
              <w:rPr>
                <w:rFonts w:hint="eastAsia" w:ascii="宋体" w:hAnsi="宋体" w:eastAsia="宋体" w:cs="宋体"/>
                <w:kern w:val="0"/>
                <w:sz w:val="21"/>
                <w:szCs w:val="21"/>
                <w:lang w:val="en-US" w:eastAsia="zh-CN" w:bidi="ar"/>
              </w:rPr>
              <w:t>专用</w:t>
            </w:r>
            <w:r>
              <w:rPr>
                <w:rFonts w:hint="eastAsia" w:ascii="宋体" w:hAnsi="宋体" w:eastAsia="宋体" w:cs="宋体"/>
                <w:kern w:val="0"/>
                <w:sz w:val="21"/>
                <w:szCs w:val="21"/>
                <w:lang w:bidi="ar"/>
              </w:rPr>
              <w:t>发票给采购人，采购人在收到发票后</w:t>
            </w:r>
            <w:r>
              <w:rPr>
                <w:rFonts w:hint="eastAsia" w:ascii="宋体" w:hAnsi="宋体" w:eastAsia="宋体" w:cs="宋体"/>
                <w:kern w:val="0"/>
                <w:sz w:val="21"/>
                <w:szCs w:val="21"/>
                <w:lang w:val="en-US" w:eastAsia="zh-CN" w:bidi="ar"/>
              </w:rPr>
              <w:t>20</w:t>
            </w:r>
            <w:r>
              <w:rPr>
                <w:rFonts w:hint="eastAsia" w:ascii="宋体" w:hAnsi="宋体" w:eastAsia="宋体" w:cs="宋体"/>
                <w:kern w:val="0"/>
                <w:sz w:val="21"/>
                <w:szCs w:val="21"/>
                <w:lang w:bidi="ar"/>
              </w:rPr>
              <w:t>个工作日内一次性支付合同总价100%的货款。</w:t>
            </w:r>
          </w:p>
        </w:tc>
      </w:tr>
      <w:tr w14:paraId="123BD7A9">
        <w:tblPrEx>
          <w:tblCellMar>
            <w:top w:w="0" w:type="dxa"/>
            <w:left w:w="108" w:type="dxa"/>
            <w:bottom w:w="0" w:type="dxa"/>
            <w:right w:w="108" w:type="dxa"/>
          </w:tblCellMar>
        </w:tblPrEx>
        <w:trPr>
          <w:trHeight w:val="990" w:hRule="atLeast"/>
        </w:trPr>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6B999">
            <w:pPr>
              <w:keepNext w:val="0"/>
              <w:keepLines w:val="0"/>
              <w:pageBreakBefore w:val="0"/>
              <w:widowControl/>
              <w:kinsoku/>
              <w:wordWrap/>
              <w:overflowPunct/>
              <w:topLinePunct w:val="0"/>
              <w:bidi w:val="0"/>
              <w:snapToGrid w:val="0"/>
              <w:spacing w:line="360" w:lineRule="auto"/>
              <w:jc w:val="center"/>
              <w:textAlignment w:val="center"/>
              <w:rPr>
                <w:rFonts w:ascii="宋体" w:hAnsi="宋体" w:eastAsia="宋体" w:cs="宋体"/>
                <w:color w:val="auto"/>
                <w:sz w:val="21"/>
                <w:szCs w:val="21"/>
              </w:rPr>
            </w:pPr>
            <w:r>
              <w:rPr>
                <w:rStyle w:val="17"/>
                <w:color w:val="auto"/>
                <w:sz w:val="21"/>
                <w:szCs w:val="21"/>
                <w:lang w:bidi="ar"/>
              </w:rPr>
              <w:t>验收要求</w:t>
            </w:r>
          </w:p>
        </w:tc>
        <w:tc>
          <w:tcPr>
            <w:tcW w:w="13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D4E0B">
            <w:pPr>
              <w:keepNext w:val="0"/>
              <w:keepLines w:val="0"/>
              <w:pageBreakBefore w:val="0"/>
              <w:widowControl/>
              <w:kinsoku/>
              <w:wordWrap/>
              <w:overflowPunct/>
              <w:topLinePunct w:val="0"/>
              <w:bidi w:val="0"/>
              <w:snapToGrid w:val="0"/>
              <w:spacing w:line="360" w:lineRule="auto"/>
              <w:jc w:val="left"/>
              <w:textAlignment w:val="center"/>
              <w:rPr>
                <w:rFonts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1</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中标人所提供的货物应免费送货到采购人指定地点，并按采购人指定的安装地点完成设备的安装与调试。</w:t>
            </w:r>
          </w:p>
          <w:p w14:paraId="391B2EEE">
            <w:pPr>
              <w:keepNext w:val="0"/>
              <w:keepLines w:val="0"/>
              <w:pageBreakBefore w:val="0"/>
              <w:widowControl/>
              <w:kinsoku/>
              <w:wordWrap/>
              <w:overflowPunct/>
              <w:topLinePunct w:val="0"/>
              <w:bidi w:val="0"/>
              <w:snapToGrid w:val="0"/>
              <w:spacing w:line="360" w:lineRule="auto"/>
              <w:jc w:val="left"/>
              <w:textAlignment w:val="center"/>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val="en-US" w:eastAsia="zh-CN" w:bidi="ar"/>
              </w:rPr>
              <w:t>▲2、中标人签订合同后，供货时须配合采购人进行检测测试，提供本次采购完整产品一套进行预安装，采购人对响应文件和所提供产品参数的真实性和实际效果进行逐条检验和功能验证，通过检测后方可进行验收。在检测测试过程中如发现有不符合参数或功能要求的，采购人将拒绝接收货物并退货，采购人有权按照违约进行处罚，中标人负责赔偿采购人一切损失。</w:t>
            </w:r>
          </w:p>
          <w:p w14:paraId="2117BEC7">
            <w:pPr>
              <w:keepNext w:val="0"/>
              <w:keepLines w:val="0"/>
              <w:pageBreakBefore w:val="0"/>
              <w:widowControl/>
              <w:kinsoku/>
              <w:wordWrap/>
              <w:overflowPunct/>
              <w:topLinePunct w:val="0"/>
              <w:bidi w:val="0"/>
              <w:snapToGrid w:val="0"/>
              <w:spacing w:line="360" w:lineRule="auto"/>
              <w:jc w:val="left"/>
              <w:textAlignment w:val="center"/>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val="en-US" w:eastAsia="zh-CN" w:bidi="ar"/>
              </w:rPr>
              <w:t>3</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中标人完成设备安装与调试后，供应商需对拟交付的合同成果及其组件进行自检并提出书面验收申请，经采购人同意后共同组织验收，签写相应验收意见并签名确认。如对验收存在异议的，可聘请第三方按合同约定组织验收。</w:t>
            </w:r>
          </w:p>
          <w:p w14:paraId="47573CA9">
            <w:pPr>
              <w:keepNext w:val="0"/>
              <w:keepLines w:val="0"/>
              <w:pageBreakBefore w:val="0"/>
              <w:widowControl/>
              <w:kinsoku/>
              <w:wordWrap/>
              <w:overflowPunct/>
              <w:topLinePunct w:val="0"/>
              <w:bidi w:val="0"/>
              <w:snapToGrid w:val="0"/>
              <w:spacing w:line="360" w:lineRule="auto"/>
              <w:jc w:val="left"/>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4、验收：按照《项目要求及技术需求》的各项指标和国家有关质量标准进行最终验收。由采购人、成交供应商对中标货物，严格按照采购文件上的品牌、型号、技术参数等要求进行逐条验收，以确认供应商提供的货物是否达到响应文件中所承诺的技术功能，如违反相关要求，追究相关责任。如发生所供货物不相符，采购人有权退货或要求成交供应商进行更换、补齐，因此造成逾期交货的，所造成的损失由成交供应商承担。</w:t>
            </w:r>
          </w:p>
          <w:p w14:paraId="6527EEAD">
            <w:pPr>
              <w:keepNext w:val="0"/>
              <w:keepLines w:val="0"/>
              <w:pageBreakBefore w:val="0"/>
              <w:widowControl/>
              <w:kinsoku/>
              <w:wordWrap/>
              <w:overflowPunct/>
              <w:topLinePunct w:val="0"/>
              <w:bidi w:val="0"/>
              <w:snapToGrid w:val="0"/>
              <w:spacing w:line="360" w:lineRule="auto"/>
              <w:jc w:val="left"/>
              <w:textAlignment w:val="center"/>
              <w:rPr>
                <w:rFonts w:ascii="宋体" w:hAnsi="宋体" w:eastAsia="宋体" w:cs="宋体"/>
                <w:color w:val="auto"/>
                <w:kern w:val="0"/>
                <w:sz w:val="21"/>
                <w:szCs w:val="21"/>
                <w:lang w:bidi="ar"/>
              </w:rPr>
            </w:pPr>
            <w:r>
              <w:rPr>
                <w:rFonts w:hint="eastAsia" w:ascii="宋体" w:hAnsi="宋体" w:eastAsia="宋体" w:cs="宋体"/>
                <w:color w:val="auto"/>
                <w:kern w:val="0"/>
                <w:sz w:val="21"/>
                <w:szCs w:val="21"/>
                <w:lang w:val="en-US" w:eastAsia="zh-CN" w:bidi="ar"/>
              </w:rPr>
              <w:t>5</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货物（设备）验收合格，项目约定产品或服务方可正式交接，双方对相关货物清单、随机附件及验收结论意见书等书面材料进行清点签字后，作为项目的最终验收。</w:t>
            </w:r>
          </w:p>
          <w:p w14:paraId="31590DFB">
            <w:pPr>
              <w:keepNext w:val="0"/>
              <w:keepLines w:val="0"/>
              <w:pageBreakBefore w:val="0"/>
              <w:widowControl/>
              <w:kinsoku/>
              <w:wordWrap/>
              <w:overflowPunct/>
              <w:topLinePunct w:val="0"/>
              <w:bidi w:val="0"/>
              <w:snapToGrid w:val="0"/>
              <w:spacing w:line="360" w:lineRule="auto"/>
              <w:jc w:val="left"/>
              <w:textAlignment w:val="center"/>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val="en-US" w:eastAsia="zh-CN" w:bidi="ar"/>
              </w:rPr>
              <w:t>6</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验收费用：验收所产生的劳务费、检验费及相关发生的全部费用均由成交人承担。</w:t>
            </w:r>
          </w:p>
          <w:p w14:paraId="1BDC8FF7">
            <w:pPr>
              <w:pStyle w:val="6"/>
              <w:spacing w:line="360" w:lineRule="auto"/>
              <w:ind w:left="0" w:leftChars="0" w:firstLine="0" w:firstLineChars="0"/>
              <w:rPr>
                <w:color w:val="auto"/>
              </w:rPr>
            </w:pPr>
            <w:r>
              <w:rPr>
                <w:rStyle w:val="17"/>
                <w:rFonts w:hint="eastAsia"/>
                <w:color w:val="auto"/>
                <w:sz w:val="21"/>
                <w:szCs w:val="21"/>
                <w:lang w:bidi="ar"/>
              </w:rPr>
              <w:t>▲</w:t>
            </w:r>
            <w:r>
              <w:rPr>
                <w:rFonts w:hint="eastAsia" w:eastAsia="宋体" w:cs="宋体" w:asciiTheme="minorEastAsia" w:hAnsiTheme="minorEastAsia"/>
                <w:color w:val="auto"/>
                <w:kern w:val="0"/>
                <w:szCs w:val="21"/>
                <w:lang w:val="en-US" w:eastAsia="zh-CN" w:bidi="ar"/>
              </w:rPr>
              <w:t>7</w:t>
            </w:r>
            <w:r>
              <w:rPr>
                <w:rFonts w:hint="eastAsia" w:cs="宋体" w:asciiTheme="minorEastAsia" w:hAnsiTheme="minorEastAsia"/>
                <w:color w:val="auto"/>
                <w:kern w:val="0"/>
                <w:szCs w:val="21"/>
                <w:lang w:eastAsia="zh-CN" w:bidi="ar"/>
              </w:rPr>
              <w:t>、</w:t>
            </w:r>
            <w:r>
              <w:rPr>
                <w:rFonts w:hint="eastAsia" w:cs="宋体" w:asciiTheme="minorEastAsia" w:hAnsiTheme="minorEastAsia"/>
                <w:color w:val="auto"/>
                <w:kern w:val="0"/>
                <w:szCs w:val="21"/>
                <w:lang w:bidi="ar"/>
              </w:rPr>
              <w:t>为保证原厂正品，供货时必须提供原厂针对本项目授权、供货证明及售后服务承诺函原件，否则采购单位有权拒绝验收并终止合同。</w:t>
            </w:r>
          </w:p>
        </w:tc>
      </w:tr>
      <w:tr w14:paraId="33974CE9">
        <w:tblPrEx>
          <w:tblCellMar>
            <w:top w:w="0" w:type="dxa"/>
            <w:left w:w="108" w:type="dxa"/>
            <w:bottom w:w="0" w:type="dxa"/>
            <w:right w:w="108" w:type="dxa"/>
          </w:tblCellMar>
        </w:tblPrEx>
        <w:trPr>
          <w:trHeight w:val="985" w:hRule="atLeast"/>
        </w:trPr>
        <w:tc>
          <w:tcPr>
            <w:tcW w:w="1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740E8">
            <w:pPr>
              <w:keepNext w:val="0"/>
              <w:keepLines w:val="0"/>
              <w:pageBreakBefore w:val="0"/>
              <w:widowControl/>
              <w:kinsoku/>
              <w:wordWrap/>
              <w:overflowPunct/>
              <w:topLinePunct w:val="0"/>
              <w:bidi w:val="0"/>
              <w:snapToGrid w:val="0"/>
              <w:spacing w:line="360" w:lineRule="auto"/>
              <w:jc w:val="center"/>
              <w:textAlignment w:val="center"/>
              <w:rPr>
                <w:rFonts w:ascii="宋体" w:hAnsi="宋体" w:eastAsia="宋体" w:cs="宋体"/>
                <w:color w:val="auto"/>
                <w:sz w:val="21"/>
                <w:szCs w:val="21"/>
              </w:rPr>
            </w:pPr>
            <w:r>
              <w:rPr>
                <w:rFonts w:hint="eastAsia" w:ascii="宋体" w:hAnsi="宋体" w:eastAsia="宋体" w:cs="宋体"/>
                <w:color w:val="auto"/>
                <w:kern w:val="0"/>
                <w:sz w:val="21"/>
                <w:szCs w:val="21"/>
                <w:lang w:bidi="ar"/>
              </w:rPr>
              <w:t>其他要求</w:t>
            </w:r>
          </w:p>
        </w:tc>
        <w:tc>
          <w:tcPr>
            <w:tcW w:w="13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1085F">
            <w:pPr>
              <w:keepNext w:val="0"/>
              <w:keepLines w:val="0"/>
              <w:pageBreakBefore w:val="0"/>
              <w:widowControl/>
              <w:kinsoku/>
              <w:wordWrap/>
              <w:overflowPunct/>
              <w:topLinePunct w:val="0"/>
              <w:bidi w:val="0"/>
              <w:snapToGrid w:val="0"/>
              <w:spacing w:line="360" w:lineRule="auto"/>
              <w:jc w:val="left"/>
              <w:textAlignment w:val="center"/>
              <w:rPr>
                <w:rFonts w:hint="eastAsia" w:ascii="宋体" w:hAnsi="宋体" w:eastAsia="宋体" w:cs="宋体"/>
                <w:color w:val="auto"/>
                <w:kern w:val="0"/>
                <w:sz w:val="21"/>
                <w:szCs w:val="21"/>
                <w:highlight w:val="none"/>
                <w:lang w:bidi="ar"/>
              </w:rPr>
            </w:pPr>
            <w:bookmarkStart w:id="4" w:name="OLE_LINK5"/>
            <w:r>
              <w:rPr>
                <w:rFonts w:hint="eastAsia" w:ascii="宋体" w:hAnsi="宋体" w:eastAsia="宋体" w:cs="宋体"/>
                <w:color w:val="auto"/>
                <w:kern w:val="0"/>
                <w:sz w:val="21"/>
                <w:szCs w:val="21"/>
                <w:highlight w:val="none"/>
                <w:lang w:bidi="ar"/>
              </w:rPr>
              <w:t>1</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t>报价为采购人指定地点的现场交货价，包括： （1）货物的价格； （2）货物的标准附件、备品备件、专用工具的价格； （3）采购、利润、运输、装卸、安装、调试、培训、技术支持、售后服务等费用； （4）必要的保险费用和各项税费。</w:t>
            </w:r>
          </w:p>
          <w:p w14:paraId="732393BE">
            <w:pPr>
              <w:keepNext w:val="0"/>
              <w:keepLines w:val="0"/>
              <w:pageBreakBefore w:val="0"/>
              <w:widowControl/>
              <w:kinsoku/>
              <w:wordWrap/>
              <w:overflowPunct/>
              <w:topLinePunct w:val="0"/>
              <w:bidi w:val="0"/>
              <w:snapToGrid w:val="0"/>
              <w:spacing w:line="360" w:lineRule="auto"/>
              <w:jc w:val="left"/>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bidi="ar"/>
              </w:rPr>
              <w:t>、本项目成交供应商应遵守国家有关安全文明措施的有关规定。如果由于本项目成交供应商未能对安全文明生产采取必要的措施而导致发生与此有关的人身伤亡、罚款、索赔、损失补偿、诉讼及其他责任,本单位不承担任何责任。</w:t>
            </w:r>
          </w:p>
          <w:p w14:paraId="49568951">
            <w:pPr>
              <w:keepNext w:val="0"/>
              <w:keepLines w:val="0"/>
              <w:pageBreakBefore w:val="0"/>
              <w:widowControl/>
              <w:kinsoku/>
              <w:wordWrap/>
              <w:overflowPunct/>
              <w:topLinePunct w:val="0"/>
              <w:bidi w:val="0"/>
              <w:snapToGrid w:val="0"/>
              <w:spacing w:line="360" w:lineRule="auto"/>
              <w:jc w:val="left"/>
              <w:textAlignment w:val="center"/>
              <w:rPr>
                <w:rFonts w:ascii="宋体" w:hAnsi="宋体" w:eastAsia="宋体" w:cs="宋体"/>
                <w:color w:val="auto"/>
                <w:kern w:val="0"/>
                <w:sz w:val="21"/>
                <w:szCs w:val="21"/>
                <w:lang w:bidi="ar"/>
              </w:rPr>
            </w:pPr>
            <w:r>
              <w:rPr>
                <w:rFonts w:hint="eastAsia" w:ascii="宋体" w:hAnsi="宋体" w:eastAsia="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bidi="ar"/>
              </w:rPr>
              <w:t>、供应商在参与竞标报价前需仔细阅读项目采购的技术及商务要求，评估自身履约能力，谢绝恶意低价、不按要求报价、中标后无故放弃、不按合同履行等违约行为。</w:t>
            </w:r>
            <w:r>
              <w:rPr>
                <w:rFonts w:hint="eastAsia" w:ascii="宋体" w:hAnsi="宋体" w:eastAsia="宋体" w:cs="宋体"/>
                <w:color w:val="auto"/>
                <w:sz w:val="21"/>
                <w:szCs w:val="21"/>
                <w:highlight w:val="none"/>
              </w:rPr>
              <w:t>对出现此类行为的预中标供应商，将根据在线竞价违约处理规则，依法依规提请政采云平台进行处罚，处罚内容包括停止推送报价信息、禁止报价等，并记入政府采购诚信档案。采购单位有权将在线询价单中的商务要求列入合同条款，否则有权拒签合同。</w:t>
            </w:r>
            <w:bookmarkEnd w:id="4"/>
          </w:p>
        </w:tc>
      </w:tr>
    </w:tbl>
    <w:p w14:paraId="0AD6480A">
      <w:pPr>
        <w:rPr>
          <w:rFonts w:hint="eastAsia"/>
          <w:lang w:eastAsia="zh-CN"/>
        </w:rPr>
      </w:pPr>
    </w:p>
    <w:p w14:paraId="7ED0AB11">
      <w:pPr>
        <w:rPr>
          <w:rFonts w:hint="eastAsia"/>
          <w:lang w:eastAsia="zh-CN"/>
        </w:rPr>
      </w:pPr>
    </w:p>
    <w:p w14:paraId="62836AE6">
      <w:pPr>
        <w:rPr>
          <w:rFonts w:hint="eastAsia"/>
          <w:lang w:eastAsia="zh-CN"/>
        </w:rPr>
      </w:pPr>
    </w:p>
    <w:p w14:paraId="642687B8">
      <w:pPr>
        <w:rPr>
          <w:rFonts w:hint="eastAsia"/>
          <w:lang w:eastAsia="zh-CN"/>
        </w:rPr>
      </w:pPr>
    </w:p>
    <w:p w14:paraId="42239F21">
      <w:pPr>
        <w:rPr>
          <w:rFonts w:hint="eastAsia"/>
          <w:lang w:eastAsia="zh-CN"/>
        </w:rPr>
      </w:pPr>
      <w:r>
        <w:rPr>
          <w:rFonts w:hint="eastAsia"/>
          <w:lang w:eastAsia="zh-CN"/>
        </w:rPr>
        <w:br w:type="page"/>
      </w:r>
    </w:p>
    <w:p w14:paraId="633C9C2B">
      <w:pPr>
        <w:rPr>
          <w:rFonts w:hint="eastAsia"/>
          <w:lang w:val="en-US" w:eastAsia="zh-CN"/>
        </w:rPr>
      </w:pPr>
      <w:r>
        <w:rPr>
          <w:rFonts w:hint="eastAsia"/>
          <w:lang w:eastAsia="zh-CN"/>
        </w:rPr>
        <w:t>附件</w:t>
      </w:r>
    </w:p>
    <w:p w14:paraId="2A2D52AF">
      <w:pPr>
        <w:keepNext w:val="0"/>
        <w:keepLines w:val="0"/>
        <w:pageBreakBefore w:val="0"/>
        <w:widowControl w:val="0"/>
        <w:tabs>
          <w:tab w:val="left" w:pos="3479"/>
        </w:tabs>
        <w:kinsoku/>
        <w:wordWrap/>
        <w:overflowPunct/>
        <w:topLinePunct w:val="0"/>
        <w:autoSpaceDE/>
        <w:autoSpaceDN/>
        <w:bidi w:val="0"/>
        <w:adjustRightInd/>
        <w:spacing w:line="520" w:lineRule="exact"/>
        <w:jc w:val="center"/>
        <w:textAlignment w:val="auto"/>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44"/>
          <w:szCs w:val="44"/>
        </w:rPr>
        <w:t>竞  标  报  价  表</w:t>
      </w:r>
    </w:p>
    <w:p w14:paraId="29395AF0">
      <w:pPr>
        <w:keepNext w:val="0"/>
        <w:keepLines w:val="0"/>
        <w:pageBreakBefore w:val="0"/>
        <w:widowControl w:val="0"/>
        <w:kinsoku/>
        <w:wordWrap/>
        <w:overflowPunct/>
        <w:topLinePunct w:val="0"/>
        <w:autoSpaceDE/>
        <w:autoSpaceDN/>
        <w:bidi w:val="0"/>
        <w:adjustRightInd/>
        <w:spacing w:line="520" w:lineRule="exact"/>
        <w:jc w:val="center"/>
        <w:textAlignment w:val="auto"/>
        <w:rPr>
          <w:rFonts w:hint="eastAsia" w:ascii="方正小标宋简体" w:hAnsi="方正小标宋简体" w:eastAsia="方正小标宋简体" w:cs="方正小标宋简体"/>
          <w:bCs/>
          <w:sz w:val="32"/>
          <w:szCs w:val="32"/>
        </w:rPr>
      </w:pPr>
    </w:p>
    <w:p w14:paraId="37688345">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cs="仿宋_GB2312"/>
          <w:sz w:val="24"/>
          <w:u w:val="single"/>
        </w:rPr>
      </w:pPr>
      <w:r>
        <w:rPr>
          <w:rFonts w:hint="eastAsia" w:ascii="宋体" w:hAnsi="宋体" w:cs="仿宋_GB2312"/>
          <w:sz w:val="24"/>
        </w:rPr>
        <w:t>项目名称：</w:t>
      </w:r>
      <w:r>
        <w:rPr>
          <w:rFonts w:hint="eastAsia" w:ascii="宋体" w:hAnsi="宋体" w:cs="仿宋_GB2312"/>
          <w:sz w:val="24"/>
          <w:u w:val="single"/>
        </w:rPr>
        <w:t xml:space="preserve">                </w:t>
      </w:r>
      <w:r>
        <w:rPr>
          <w:rFonts w:hint="eastAsia" w:ascii="宋体" w:hAnsi="宋体" w:cs="仿宋_GB2312"/>
          <w:sz w:val="24"/>
        </w:rPr>
        <w:t>项目编号：</w:t>
      </w:r>
      <w:r>
        <w:rPr>
          <w:rFonts w:hint="eastAsia" w:ascii="宋体" w:hAnsi="宋体" w:cs="仿宋_GB2312"/>
          <w:sz w:val="24"/>
          <w:u w:val="single"/>
        </w:rPr>
        <w:t xml:space="preserve">               </w:t>
      </w:r>
    </w:p>
    <w:p w14:paraId="71E966D8">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cs="仿宋_GB2312"/>
          <w:sz w:val="24"/>
        </w:rPr>
      </w:pPr>
      <w:r>
        <w:rPr>
          <w:rFonts w:hint="eastAsia" w:ascii="宋体" w:hAnsi="宋体" w:cs="仿宋_GB2312"/>
          <w:sz w:val="24"/>
        </w:rPr>
        <w:t>供应商名称：</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rPr>
        <w:t xml:space="preserve">                     </w:t>
      </w:r>
      <w:r>
        <w:rPr>
          <w:rFonts w:hint="eastAsia" w:ascii="宋体" w:hAnsi="宋体" w:cs="仿宋_GB2312"/>
          <w:sz w:val="24"/>
          <w:lang w:val="en-US" w:eastAsia="zh-CN"/>
        </w:rPr>
        <w:t xml:space="preserve">                                   </w:t>
      </w:r>
      <w:r>
        <w:rPr>
          <w:rFonts w:hint="eastAsia" w:ascii="宋体" w:hAnsi="宋体" w:cs="仿宋_GB2312"/>
          <w:sz w:val="24"/>
        </w:rPr>
        <w:t xml:space="preserve"> 单位：元</w:t>
      </w:r>
    </w:p>
    <w:tbl>
      <w:tblPr>
        <w:tblStyle w:val="11"/>
        <w:tblW w:w="14514"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38"/>
        <w:gridCol w:w="1471"/>
        <w:gridCol w:w="1388"/>
        <w:gridCol w:w="1202"/>
        <w:gridCol w:w="1471"/>
        <w:gridCol w:w="1658"/>
        <w:gridCol w:w="1513"/>
        <w:gridCol w:w="1513"/>
        <w:gridCol w:w="1077"/>
        <w:gridCol w:w="2383"/>
      </w:tblGrid>
      <w:tr w14:paraId="003E27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3" w:hRule="atLeast"/>
        </w:trPr>
        <w:tc>
          <w:tcPr>
            <w:tcW w:w="838" w:type="dxa"/>
            <w:tcBorders>
              <w:top w:val="single" w:color="auto" w:sz="4" w:space="0"/>
              <w:left w:val="single" w:color="auto" w:sz="4" w:space="0"/>
              <w:bottom w:val="single" w:color="auto" w:sz="4" w:space="0"/>
              <w:right w:val="single" w:color="auto" w:sz="4" w:space="0"/>
            </w:tcBorders>
            <w:noWrap w:val="0"/>
            <w:vAlign w:val="center"/>
          </w:tcPr>
          <w:p w14:paraId="50CBCD98">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cs="仿宋_GB2312"/>
                <w:b/>
                <w:bCs/>
                <w:sz w:val="24"/>
              </w:rPr>
            </w:pPr>
            <w:r>
              <w:rPr>
                <w:rFonts w:hint="eastAsia" w:ascii="宋体" w:hAnsi="宋体" w:cs="仿宋_GB2312"/>
                <w:b/>
                <w:bCs/>
                <w:sz w:val="24"/>
              </w:rPr>
              <w:t>项号</w:t>
            </w:r>
          </w:p>
        </w:tc>
        <w:tc>
          <w:tcPr>
            <w:tcW w:w="1471" w:type="dxa"/>
            <w:tcBorders>
              <w:top w:val="single" w:color="auto" w:sz="4" w:space="0"/>
              <w:left w:val="single" w:color="auto" w:sz="4" w:space="0"/>
              <w:bottom w:val="single" w:color="auto" w:sz="4" w:space="0"/>
              <w:right w:val="single" w:color="auto" w:sz="4" w:space="0"/>
            </w:tcBorders>
            <w:noWrap w:val="0"/>
            <w:vAlign w:val="center"/>
          </w:tcPr>
          <w:p w14:paraId="61EC9395">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宋体" w:hAnsi="宋体" w:cs="仿宋_GB2312"/>
                <w:b/>
                <w:bCs/>
                <w:sz w:val="24"/>
              </w:rPr>
            </w:pPr>
            <w:r>
              <w:rPr>
                <w:rFonts w:hint="eastAsia" w:ascii="宋体" w:hAnsi="宋体" w:cs="仿宋_GB2312"/>
                <w:b/>
                <w:bCs/>
                <w:sz w:val="24"/>
              </w:rPr>
              <w:t>标的</w:t>
            </w:r>
            <w:r>
              <w:rPr>
                <w:rFonts w:hint="eastAsia" w:ascii="宋体" w:hAnsi="宋体" w:cs="仿宋_GB2312"/>
                <w:b/>
                <w:bCs/>
                <w:sz w:val="24"/>
                <w:lang w:eastAsia="zh-CN"/>
              </w:rPr>
              <w:t>物</w:t>
            </w:r>
            <w:r>
              <w:rPr>
                <w:rFonts w:hint="eastAsia" w:ascii="宋体" w:hAnsi="宋体" w:cs="仿宋_GB2312"/>
                <w:b/>
                <w:bCs/>
                <w:sz w:val="24"/>
              </w:rPr>
              <w:t>名称</w:t>
            </w:r>
          </w:p>
        </w:tc>
        <w:tc>
          <w:tcPr>
            <w:tcW w:w="1388" w:type="dxa"/>
            <w:tcBorders>
              <w:top w:val="single" w:color="auto" w:sz="4" w:space="0"/>
              <w:left w:val="single" w:color="auto" w:sz="4" w:space="0"/>
              <w:bottom w:val="single" w:color="auto" w:sz="4" w:space="0"/>
              <w:right w:val="single" w:color="auto" w:sz="4" w:space="0"/>
            </w:tcBorders>
            <w:noWrap w:val="0"/>
            <w:vAlign w:val="center"/>
          </w:tcPr>
          <w:p w14:paraId="3C73AD98">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cs="仿宋_GB2312"/>
                <w:b/>
                <w:bCs/>
                <w:sz w:val="24"/>
              </w:rPr>
            </w:pPr>
            <w:r>
              <w:rPr>
                <w:rFonts w:hint="eastAsia" w:ascii="宋体" w:hAnsi="宋体" w:cs="仿宋_GB2312"/>
                <w:b/>
                <w:bCs/>
                <w:sz w:val="24"/>
              </w:rPr>
              <w:t>单位</w:t>
            </w:r>
          </w:p>
        </w:tc>
        <w:tc>
          <w:tcPr>
            <w:tcW w:w="1202" w:type="dxa"/>
            <w:tcBorders>
              <w:top w:val="single" w:color="auto" w:sz="4" w:space="0"/>
              <w:left w:val="single" w:color="auto" w:sz="4" w:space="0"/>
              <w:bottom w:val="single" w:color="auto" w:sz="4" w:space="0"/>
              <w:right w:val="single" w:color="auto" w:sz="4" w:space="0"/>
            </w:tcBorders>
            <w:noWrap w:val="0"/>
            <w:vAlign w:val="center"/>
          </w:tcPr>
          <w:p w14:paraId="5D168534">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cs="仿宋_GB2312"/>
                <w:b/>
                <w:bCs/>
                <w:sz w:val="24"/>
              </w:rPr>
            </w:pPr>
            <w:r>
              <w:rPr>
                <w:rFonts w:hint="eastAsia" w:ascii="宋体" w:hAnsi="宋体" w:cs="仿宋_GB2312"/>
                <w:b/>
                <w:bCs/>
                <w:sz w:val="24"/>
              </w:rPr>
              <w:t>数量</w:t>
            </w:r>
          </w:p>
          <w:p w14:paraId="2C3C530E">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cs="仿宋_GB2312"/>
                <w:b/>
                <w:bCs/>
                <w:sz w:val="24"/>
              </w:rPr>
            </w:pPr>
            <w:r>
              <w:rPr>
                <w:rFonts w:hint="eastAsia" w:ascii="宋体" w:hAnsi="宋体" w:cs="仿宋_GB2312"/>
                <w:b/>
                <w:bCs/>
                <w:sz w:val="24"/>
              </w:rPr>
              <w:t>①</w:t>
            </w:r>
          </w:p>
        </w:tc>
        <w:tc>
          <w:tcPr>
            <w:tcW w:w="1471" w:type="dxa"/>
            <w:tcBorders>
              <w:top w:val="single" w:color="auto" w:sz="4" w:space="0"/>
              <w:left w:val="single" w:color="auto" w:sz="4" w:space="0"/>
              <w:bottom w:val="single" w:color="auto" w:sz="4" w:space="0"/>
              <w:right w:val="single" w:color="auto" w:sz="4" w:space="0"/>
            </w:tcBorders>
            <w:noWrap w:val="0"/>
            <w:vAlign w:val="center"/>
          </w:tcPr>
          <w:p w14:paraId="211779F6">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cs="仿宋_GB2312"/>
                <w:b/>
                <w:bCs/>
                <w:sz w:val="24"/>
              </w:rPr>
            </w:pPr>
            <w:r>
              <w:rPr>
                <w:rFonts w:hint="eastAsia" w:ascii="宋体" w:hAnsi="宋体" w:cs="仿宋_GB2312"/>
                <w:b/>
                <w:bCs/>
                <w:sz w:val="24"/>
              </w:rPr>
              <w:t>品牌</w:t>
            </w:r>
          </w:p>
        </w:tc>
        <w:tc>
          <w:tcPr>
            <w:tcW w:w="1658" w:type="dxa"/>
            <w:tcBorders>
              <w:top w:val="single" w:color="auto" w:sz="4" w:space="0"/>
              <w:left w:val="single" w:color="auto" w:sz="4" w:space="0"/>
              <w:bottom w:val="single" w:color="auto" w:sz="4" w:space="0"/>
              <w:right w:val="single" w:color="auto" w:sz="4" w:space="0"/>
            </w:tcBorders>
            <w:noWrap w:val="0"/>
            <w:vAlign w:val="center"/>
          </w:tcPr>
          <w:p w14:paraId="3A4FCE27">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宋体" w:hAnsi="宋体" w:cs="仿宋_GB2312"/>
                <w:b/>
                <w:bCs/>
                <w:sz w:val="24"/>
              </w:rPr>
            </w:pPr>
            <w:r>
              <w:rPr>
                <w:rFonts w:hint="eastAsia" w:ascii="宋体" w:hAnsi="宋体" w:cs="仿宋_GB2312"/>
                <w:b/>
                <w:bCs/>
                <w:sz w:val="24"/>
              </w:rPr>
              <w:t>规格</w:t>
            </w:r>
          </w:p>
          <w:p w14:paraId="132B4F00">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cs="仿宋_GB2312"/>
                <w:b/>
                <w:bCs/>
                <w:sz w:val="24"/>
              </w:rPr>
            </w:pPr>
            <w:r>
              <w:rPr>
                <w:rFonts w:hint="eastAsia" w:ascii="宋体" w:hAnsi="宋体" w:cs="仿宋_GB2312"/>
                <w:b/>
                <w:bCs/>
                <w:sz w:val="24"/>
              </w:rPr>
              <w:t>型号</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321DAAC2">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cs="仿宋_GB2312"/>
                <w:b/>
                <w:bCs/>
                <w:sz w:val="24"/>
              </w:rPr>
            </w:pPr>
            <w:r>
              <w:rPr>
                <w:rFonts w:hint="eastAsia" w:ascii="宋体" w:hAnsi="宋体" w:cs="仿宋_GB2312"/>
                <w:b/>
                <w:bCs/>
                <w:sz w:val="24"/>
              </w:rPr>
              <w:t>制造商</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56FA9DDD">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cs="仿宋_GB2312"/>
                <w:b/>
                <w:bCs/>
                <w:sz w:val="24"/>
              </w:rPr>
            </w:pPr>
            <w:r>
              <w:rPr>
                <w:rFonts w:hint="eastAsia" w:ascii="宋体" w:hAnsi="宋体" w:cs="仿宋_GB2312"/>
                <w:b/>
                <w:bCs/>
                <w:sz w:val="24"/>
              </w:rPr>
              <w:t>原产地</w:t>
            </w:r>
          </w:p>
        </w:tc>
        <w:tc>
          <w:tcPr>
            <w:tcW w:w="1077" w:type="dxa"/>
            <w:tcBorders>
              <w:top w:val="single" w:color="auto" w:sz="4" w:space="0"/>
              <w:left w:val="single" w:color="auto" w:sz="4" w:space="0"/>
              <w:bottom w:val="single" w:color="auto" w:sz="4" w:space="0"/>
              <w:right w:val="single" w:color="auto" w:sz="4" w:space="0"/>
            </w:tcBorders>
            <w:noWrap w:val="0"/>
            <w:vAlign w:val="center"/>
          </w:tcPr>
          <w:p w14:paraId="0E607629">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cs="仿宋_GB2312"/>
                <w:b/>
                <w:bCs/>
                <w:sz w:val="24"/>
              </w:rPr>
            </w:pPr>
            <w:r>
              <w:rPr>
                <w:rFonts w:hint="eastAsia" w:ascii="宋体" w:hAnsi="宋体" w:cs="仿宋_GB2312"/>
                <w:b/>
                <w:bCs/>
                <w:sz w:val="24"/>
              </w:rPr>
              <w:t>单价</w:t>
            </w:r>
          </w:p>
          <w:p w14:paraId="32A15F07">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cs="仿宋_GB2312"/>
                <w:b/>
                <w:bCs/>
                <w:sz w:val="24"/>
              </w:rPr>
            </w:pPr>
            <w:r>
              <w:rPr>
                <w:rFonts w:hint="eastAsia" w:ascii="宋体" w:hAnsi="宋体" w:cs="仿宋_GB2312"/>
                <w:b/>
                <w:bCs/>
                <w:sz w:val="24"/>
              </w:rPr>
              <w:t>②</w:t>
            </w:r>
          </w:p>
        </w:tc>
        <w:tc>
          <w:tcPr>
            <w:tcW w:w="2383" w:type="dxa"/>
            <w:tcBorders>
              <w:top w:val="single" w:color="auto" w:sz="4" w:space="0"/>
              <w:left w:val="single" w:color="auto" w:sz="4" w:space="0"/>
              <w:bottom w:val="single" w:color="auto" w:sz="4" w:space="0"/>
              <w:right w:val="single" w:color="auto" w:sz="4" w:space="0"/>
            </w:tcBorders>
            <w:noWrap w:val="0"/>
            <w:vAlign w:val="center"/>
          </w:tcPr>
          <w:p w14:paraId="11584D23">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cs="仿宋_GB2312"/>
                <w:b/>
                <w:bCs/>
                <w:sz w:val="24"/>
              </w:rPr>
            </w:pPr>
            <w:r>
              <w:rPr>
                <w:rFonts w:hint="eastAsia" w:ascii="宋体" w:hAnsi="宋体" w:cs="仿宋_GB2312"/>
                <w:b/>
                <w:bCs/>
                <w:sz w:val="24"/>
              </w:rPr>
              <w:t>竞标报价</w:t>
            </w:r>
          </w:p>
          <w:p w14:paraId="08F17544">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cs="仿宋_GB2312"/>
                <w:b/>
                <w:bCs/>
                <w:sz w:val="24"/>
              </w:rPr>
            </w:pPr>
            <w:r>
              <w:rPr>
                <w:rFonts w:hint="eastAsia" w:ascii="宋体" w:hAnsi="宋体" w:cs="仿宋_GB2312"/>
                <w:b/>
                <w:bCs/>
                <w:sz w:val="24"/>
              </w:rPr>
              <w:t>③=①×②</w:t>
            </w:r>
          </w:p>
        </w:tc>
      </w:tr>
      <w:tr w14:paraId="2612B8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3" w:hRule="atLeast"/>
        </w:trPr>
        <w:tc>
          <w:tcPr>
            <w:tcW w:w="838" w:type="dxa"/>
            <w:tcBorders>
              <w:top w:val="single" w:color="auto" w:sz="4" w:space="0"/>
              <w:left w:val="single" w:color="auto" w:sz="4" w:space="0"/>
              <w:bottom w:val="single" w:color="auto" w:sz="4" w:space="0"/>
              <w:right w:val="single" w:color="auto" w:sz="4" w:space="0"/>
            </w:tcBorders>
            <w:noWrap w:val="0"/>
            <w:vAlign w:val="center"/>
          </w:tcPr>
          <w:p w14:paraId="7697E9F8">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r>
              <w:rPr>
                <w:rFonts w:hint="eastAsia" w:ascii="宋体" w:hAnsi="宋体" w:cs="仿宋_GB2312"/>
                <w:sz w:val="24"/>
              </w:rPr>
              <w:t>1</w:t>
            </w:r>
          </w:p>
        </w:tc>
        <w:tc>
          <w:tcPr>
            <w:tcW w:w="1471" w:type="dxa"/>
            <w:tcBorders>
              <w:top w:val="single" w:color="auto" w:sz="4" w:space="0"/>
              <w:left w:val="single" w:color="auto" w:sz="4" w:space="0"/>
              <w:bottom w:val="single" w:color="auto" w:sz="4" w:space="0"/>
              <w:right w:val="single" w:color="auto" w:sz="4" w:space="0"/>
            </w:tcBorders>
            <w:noWrap w:val="0"/>
            <w:vAlign w:val="center"/>
          </w:tcPr>
          <w:p w14:paraId="3B759A51">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388" w:type="dxa"/>
            <w:tcBorders>
              <w:top w:val="single" w:color="auto" w:sz="4" w:space="0"/>
              <w:left w:val="single" w:color="auto" w:sz="4" w:space="0"/>
              <w:bottom w:val="single" w:color="auto" w:sz="4" w:space="0"/>
              <w:right w:val="single" w:color="auto" w:sz="4" w:space="0"/>
            </w:tcBorders>
            <w:noWrap w:val="0"/>
            <w:vAlign w:val="center"/>
          </w:tcPr>
          <w:p w14:paraId="7E12B537">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202" w:type="dxa"/>
            <w:tcBorders>
              <w:top w:val="single" w:color="auto" w:sz="4" w:space="0"/>
              <w:left w:val="single" w:color="auto" w:sz="4" w:space="0"/>
              <w:bottom w:val="single" w:color="auto" w:sz="4" w:space="0"/>
              <w:right w:val="single" w:color="auto" w:sz="4" w:space="0"/>
            </w:tcBorders>
            <w:noWrap w:val="0"/>
            <w:vAlign w:val="center"/>
          </w:tcPr>
          <w:p w14:paraId="51B49CB7">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471" w:type="dxa"/>
            <w:tcBorders>
              <w:top w:val="single" w:color="auto" w:sz="4" w:space="0"/>
              <w:left w:val="single" w:color="auto" w:sz="4" w:space="0"/>
              <w:bottom w:val="single" w:color="auto" w:sz="4" w:space="0"/>
              <w:right w:val="single" w:color="auto" w:sz="4" w:space="0"/>
            </w:tcBorders>
            <w:noWrap w:val="0"/>
            <w:vAlign w:val="center"/>
          </w:tcPr>
          <w:p w14:paraId="55171FCB">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658" w:type="dxa"/>
            <w:tcBorders>
              <w:top w:val="single" w:color="auto" w:sz="4" w:space="0"/>
              <w:left w:val="single" w:color="auto" w:sz="4" w:space="0"/>
              <w:bottom w:val="single" w:color="auto" w:sz="4" w:space="0"/>
              <w:right w:val="single" w:color="auto" w:sz="4" w:space="0"/>
            </w:tcBorders>
            <w:noWrap w:val="0"/>
            <w:vAlign w:val="center"/>
          </w:tcPr>
          <w:p w14:paraId="1F584322">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513" w:type="dxa"/>
            <w:tcBorders>
              <w:top w:val="single" w:color="auto" w:sz="4" w:space="0"/>
              <w:left w:val="single" w:color="auto" w:sz="4" w:space="0"/>
              <w:bottom w:val="single" w:color="auto" w:sz="4" w:space="0"/>
              <w:right w:val="single" w:color="auto" w:sz="4" w:space="0"/>
            </w:tcBorders>
            <w:noWrap w:val="0"/>
            <w:vAlign w:val="top"/>
          </w:tcPr>
          <w:p w14:paraId="1AEC3ED4">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513" w:type="dxa"/>
            <w:tcBorders>
              <w:top w:val="single" w:color="auto" w:sz="4" w:space="0"/>
              <w:left w:val="single" w:color="auto" w:sz="4" w:space="0"/>
              <w:bottom w:val="single" w:color="auto" w:sz="4" w:space="0"/>
              <w:right w:val="single" w:color="auto" w:sz="4" w:space="0"/>
            </w:tcBorders>
            <w:noWrap w:val="0"/>
            <w:vAlign w:val="center"/>
          </w:tcPr>
          <w:p w14:paraId="5B91CE6F">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077" w:type="dxa"/>
            <w:tcBorders>
              <w:top w:val="single" w:color="auto" w:sz="4" w:space="0"/>
              <w:left w:val="single" w:color="auto" w:sz="4" w:space="0"/>
              <w:bottom w:val="single" w:color="auto" w:sz="4" w:space="0"/>
              <w:right w:val="single" w:color="auto" w:sz="4" w:space="0"/>
            </w:tcBorders>
            <w:noWrap w:val="0"/>
            <w:vAlign w:val="center"/>
          </w:tcPr>
          <w:p w14:paraId="5FC885B4">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2383" w:type="dxa"/>
            <w:tcBorders>
              <w:top w:val="single" w:color="auto" w:sz="4" w:space="0"/>
              <w:left w:val="single" w:color="auto" w:sz="4" w:space="0"/>
              <w:bottom w:val="single" w:color="auto" w:sz="4" w:space="0"/>
              <w:right w:val="single" w:color="auto" w:sz="4" w:space="0"/>
            </w:tcBorders>
            <w:noWrap w:val="0"/>
            <w:vAlign w:val="center"/>
          </w:tcPr>
          <w:p w14:paraId="7C5533AB">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r>
      <w:tr w14:paraId="086E95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3" w:hRule="atLeast"/>
        </w:trPr>
        <w:tc>
          <w:tcPr>
            <w:tcW w:w="838" w:type="dxa"/>
            <w:tcBorders>
              <w:top w:val="single" w:color="auto" w:sz="4" w:space="0"/>
              <w:left w:val="single" w:color="auto" w:sz="4" w:space="0"/>
              <w:bottom w:val="single" w:color="auto" w:sz="4" w:space="0"/>
              <w:right w:val="single" w:color="auto" w:sz="4" w:space="0"/>
            </w:tcBorders>
            <w:noWrap w:val="0"/>
            <w:vAlign w:val="center"/>
          </w:tcPr>
          <w:p w14:paraId="29B61555">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r>
              <w:rPr>
                <w:rFonts w:hint="eastAsia" w:ascii="宋体" w:hAnsi="宋体" w:cs="仿宋_GB2312"/>
                <w:sz w:val="24"/>
              </w:rPr>
              <w:t>2</w:t>
            </w:r>
          </w:p>
        </w:tc>
        <w:tc>
          <w:tcPr>
            <w:tcW w:w="1471" w:type="dxa"/>
            <w:tcBorders>
              <w:top w:val="single" w:color="auto" w:sz="4" w:space="0"/>
              <w:left w:val="single" w:color="auto" w:sz="4" w:space="0"/>
              <w:bottom w:val="single" w:color="auto" w:sz="4" w:space="0"/>
              <w:right w:val="single" w:color="auto" w:sz="4" w:space="0"/>
            </w:tcBorders>
            <w:noWrap w:val="0"/>
            <w:vAlign w:val="center"/>
          </w:tcPr>
          <w:p w14:paraId="7D7D5667">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388" w:type="dxa"/>
            <w:tcBorders>
              <w:top w:val="single" w:color="auto" w:sz="4" w:space="0"/>
              <w:left w:val="single" w:color="auto" w:sz="4" w:space="0"/>
              <w:bottom w:val="single" w:color="auto" w:sz="4" w:space="0"/>
              <w:right w:val="single" w:color="auto" w:sz="4" w:space="0"/>
            </w:tcBorders>
            <w:noWrap w:val="0"/>
            <w:vAlign w:val="center"/>
          </w:tcPr>
          <w:p w14:paraId="3C11D8A8">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202" w:type="dxa"/>
            <w:tcBorders>
              <w:top w:val="single" w:color="auto" w:sz="4" w:space="0"/>
              <w:left w:val="single" w:color="auto" w:sz="4" w:space="0"/>
              <w:bottom w:val="single" w:color="auto" w:sz="4" w:space="0"/>
              <w:right w:val="single" w:color="auto" w:sz="4" w:space="0"/>
            </w:tcBorders>
            <w:noWrap w:val="0"/>
            <w:vAlign w:val="center"/>
          </w:tcPr>
          <w:p w14:paraId="0CC44C22">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471" w:type="dxa"/>
            <w:tcBorders>
              <w:top w:val="single" w:color="auto" w:sz="4" w:space="0"/>
              <w:left w:val="single" w:color="auto" w:sz="4" w:space="0"/>
              <w:bottom w:val="single" w:color="auto" w:sz="4" w:space="0"/>
              <w:right w:val="single" w:color="auto" w:sz="4" w:space="0"/>
            </w:tcBorders>
            <w:noWrap w:val="0"/>
            <w:vAlign w:val="center"/>
          </w:tcPr>
          <w:p w14:paraId="2729288A">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658" w:type="dxa"/>
            <w:tcBorders>
              <w:top w:val="single" w:color="auto" w:sz="4" w:space="0"/>
              <w:left w:val="single" w:color="auto" w:sz="4" w:space="0"/>
              <w:bottom w:val="single" w:color="auto" w:sz="4" w:space="0"/>
              <w:right w:val="single" w:color="auto" w:sz="4" w:space="0"/>
            </w:tcBorders>
            <w:noWrap w:val="0"/>
            <w:vAlign w:val="center"/>
          </w:tcPr>
          <w:p w14:paraId="3EDE9E29">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513" w:type="dxa"/>
            <w:tcBorders>
              <w:top w:val="single" w:color="auto" w:sz="4" w:space="0"/>
              <w:left w:val="single" w:color="auto" w:sz="4" w:space="0"/>
              <w:bottom w:val="single" w:color="auto" w:sz="4" w:space="0"/>
              <w:right w:val="single" w:color="auto" w:sz="4" w:space="0"/>
            </w:tcBorders>
            <w:noWrap w:val="0"/>
            <w:vAlign w:val="top"/>
          </w:tcPr>
          <w:p w14:paraId="7212E42D">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513" w:type="dxa"/>
            <w:tcBorders>
              <w:top w:val="single" w:color="auto" w:sz="4" w:space="0"/>
              <w:left w:val="single" w:color="auto" w:sz="4" w:space="0"/>
              <w:bottom w:val="single" w:color="auto" w:sz="4" w:space="0"/>
              <w:right w:val="single" w:color="auto" w:sz="4" w:space="0"/>
            </w:tcBorders>
            <w:noWrap w:val="0"/>
            <w:vAlign w:val="center"/>
          </w:tcPr>
          <w:p w14:paraId="17D49A05">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077" w:type="dxa"/>
            <w:tcBorders>
              <w:top w:val="single" w:color="auto" w:sz="4" w:space="0"/>
              <w:left w:val="single" w:color="auto" w:sz="4" w:space="0"/>
              <w:bottom w:val="single" w:color="auto" w:sz="4" w:space="0"/>
              <w:right w:val="single" w:color="auto" w:sz="4" w:space="0"/>
            </w:tcBorders>
            <w:noWrap w:val="0"/>
            <w:vAlign w:val="center"/>
          </w:tcPr>
          <w:p w14:paraId="5C040725">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2383" w:type="dxa"/>
            <w:tcBorders>
              <w:top w:val="single" w:color="auto" w:sz="4" w:space="0"/>
              <w:left w:val="single" w:color="auto" w:sz="4" w:space="0"/>
              <w:bottom w:val="single" w:color="auto" w:sz="4" w:space="0"/>
              <w:right w:val="single" w:color="auto" w:sz="4" w:space="0"/>
            </w:tcBorders>
            <w:noWrap w:val="0"/>
            <w:vAlign w:val="center"/>
          </w:tcPr>
          <w:p w14:paraId="4314B2D9">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r>
      <w:tr w14:paraId="4E003D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44" w:hRule="atLeast"/>
        </w:trPr>
        <w:tc>
          <w:tcPr>
            <w:tcW w:w="838" w:type="dxa"/>
            <w:tcBorders>
              <w:top w:val="single" w:color="auto" w:sz="4" w:space="0"/>
              <w:left w:val="single" w:color="auto" w:sz="4" w:space="0"/>
              <w:bottom w:val="single" w:color="auto" w:sz="4" w:space="0"/>
              <w:right w:val="single" w:color="auto" w:sz="4" w:space="0"/>
            </w:tcBorders>
            <w:noWrap w:val="0"/>
            <w:vAlign w:val="center"/>
          </w:tcPr>
          <w:p w14:paraId="70247AFB">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r>
              <w:rPr>
                <w:rFonts w:hint="eastAsia" w:ascii="宋体" w:hAnsi="宋体" w:cs="仿宋_GB2312"/>
                <w:sz w:val="24"/>
              </w:rPr>
              <w:t>…</w:t>
            </w:r>
          </w:p>
        </w:tc>
        <w:tc>
          <w:tcPr>
            <w:tcW w:w="1471" w:type="dxa"/>
            <w:tcBorders>
              <w:top w:val="single" w:color="auto" w:sz="4" w:space="0"/>
              <w:left w:val="single" w:color="auto" w:sz="4" w:space="0"/>
              <w:bottom w:val="single" w:color="auto" w:sz="4" w:space="0"/>
              <w:right w:val="single" w:color="auto" w:sz="4" w:space="0"/>
            </w:tcBorders>
            <w:noWrap w:val="0"/>
            <w:vAlign w:val="center"/>
          </w:tcPr>
          <w:p w14:paraId="2A2B1E1E">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r>
              <w:rPr>
                <w:rFonts w:hint="eastAsia" w:ascii="宋体" w:hAnsi="宋体" w:cs="仿宋_GB2312"/>
                <w:sz w:val="24"/>
              </w:rPr>
              <w:t>……</w:t>
            </w:r>
          </w:p>
        </w:tc>
        <w:tc>
          <w:tcPr>
            <w:tcW w:w="1388" w:type="dxa"/>
            <w:tcBorders>
              <w:top w:val="single" w:color="auto" w:sz="4" w:space="0"/>
              <w:left w:val="single" w:color="auto" w:sz="4" w:space="0"/>
              <w:bottom w:val="single" w:color="auto" w:sz="4" w:space="0"/>
              <w:right w:val="single" w:color="auto" w:sz="4" w:space="0"/>
            </w:tcBorders>
            <w:noWrap w:val="0"/>
            <w:vAlign w:val="center"/>
          </w:tcPr>
          <w:p w14:paraId="24BED2AD">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202" w:type="dxa"/>
            <w:tcBorders>
              <w:top w:val="single" w:color="auto" w:sz="4" w:space="0"/>
              <w:left w:val="single" w:color="auto" w:sz="4" w:space="0"/>
              <w:bottom w:val="single" w:color="auto" w:sz="4" w:space="0"/>
              <w:right w:val="single" w:color="auto" w:sz="4" w:space="0"/>
            </w:tcBorders>
            <w:noWrap w:val="0"/>
            <w:vAlign w:val="center"/>
          </w:tcPr>
          <w:p w14:paraId="6F285739">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471" w:type="dxa"/>
            <w:tcBorders>
              <w:top w:val="single" w:color="auto" w:sz="4" w:space="0"/>
              <w:left w:val="single" w:color="auto" w:sz="4" w:space="0"/>
              <w:bottom w:val="single" w:color="auto" w:sz="4" w:space="0"/>
              <w:right w:val="single" w:color="auto" w:sz="4" w:space="0"/>
            </w:tcBorders>
            <w:noWrap w:val="0"/>
            <w:vAlign w:val="center"/>
          </w:tcPr>
          <w:p w14:paraId="101BD25E">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658" w:type="dxa"/>
            <w:tcBorders>
              <w:top w:val="single" w:color="auto" w:sz="4" w:space="0"/>
              <w:left w:val="single" w:color="auto" w:sz="4" w:space="0"/>
              <w:bottom w:val="single" w:color="auto" w:sz="4" w:space="0"/>
              <w:right w:val="single" w:color="auto" w:sz="4" w:space="0"/>
            </w:tcBorders>
            <w:noWrap w:val="0"/>
            <w:vAlign w:val="center"/>
          </w:tcPr>
          <w:p w14:paraId="3DF2CC8F">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513" w:type="dxa"/>
            <w:tcBorders>
              <w:top w:val="single" w:color="auto" w:sz="4" w:space="0"/>
              <w:left w:val="single" w:color="auto" w:sz="4" w:space="0"/>
              <w:bottom w:val="single" w:color="auto" w:sz="4" w:space="0"/>
              <w:right w:val="single" w:color="auto" w:sz="4" w:space="0"/>
            </w:tcBorders>
            <w:noWrap w:val="0"/>
            <w:vAlign w:val="top"/>
          </w:tcPr>
          <w:p w14:paraId="5E7E7F31">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513" w:type="dxa"/>
            <w:tcBorders>
              <w:top w:val="single" w:color="auto" w:sz="4" w:space="0"/>
              <w:left w:val="single" w:color="auto" w:sz="4" w:space="0"/>
              <w:bottom w:val="single" w:color="auto" w:sz="4" w:space="0"/>
              <w:right w:val="single" w:color="auto" w:sz="4" w:space="0"/>
            </w:tcBorders>
            <w:noWrap w:val="0"/>
            <w:vAlign w:val="center"/>
          </w:tcPr>
          <w:p w14:paraId="4C7C3527">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077" w:type="dxa"/>
            <w:tcBorders>
              <w:top w:val="single" w:color="auto" w:sz="4" w:space="0"/>
              <w:left w:val="single" w:color="auto" w:sz="4" w:space="0"/>
              <w:bottom w:val="single" w:color="auto" w:sz="4" w:space="0"/>
              <w:right w:val="single" w:color="auto" w:sz="4" w:space="0"/>
            </w:tcBorders>
            <w:noWrap w:val="0"/>
            <w:vAlign w:val="center"/>
          </w:tcPr>
          <w:p w14:paraId="68F533E6">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2383" w:type="dxa"/>
            <w:tcBorders>
              <w:top w:val="single" w:color="auto" w:sz="4" w:space="0"/>
              <w:left w:val="single" w:color="auto" w:sz="4" w:space="0"/>
              <w:bottom w:val="single" w:color="auto" w:sz="4" w:space="0"/>
              <w:right w:val="single" w:color="auto" w:sz="4" w:space="0"/>
            </w:tcBorders>
            <w:noWrap w:val="0"/>
            <w:vAlign w:val="center"/>
          </w:tcPr>
          <w:p w14:paraId="6A0C7192">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r>
      <w:tr w14:paraId="1BEE0D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81" w:hRule="atLeast"/>
        </w:trPr>
        <w:tc>
          <w:tcPr>
            <w:tcW w:w="14514" w:type="dxa"/>
            <w:gridSpan w:val="10"/>
            <w:tcBorders>
              <w:top w:val="single" w:color="auto" w:sz="4" w:space="0"/>
              <w:left w:val="single" w:color="auto" w:sz="4" w:space="0"/>
              <w:bottom w:val="single" w:color="auto" w:sz="4" w:space="0"/>
              <w:right w:val="single" w:color="auto" w:sz="4" w:space="0"/>
            </w:tcBorders>
            <w:noWrap w:val="0"/>
            <w:vAlign w:val="center"/>
          </w:tcPr>
          <w:p w14:paraId="12030F9F">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宋体" w:hAnsi="宋体" w:cs="仿宋_GB2312"/>
                <w:sz w:val="24"/>
                <w:u w:val="single"/>
              </w:rPr>
            </w:pPr>
            <w:r>
              <w:rPr>
                <w:rFonts w:hint="eastAsia" w:ascii="宋体" w:hAnsi="宋体" w:cs="仿宋_GB2312"/>
                <w:sz w:val="24"/>
              </w:rPr>
              <w:t>合计金额大写：人民币</w:t>
            </w:r>
            <w:r>
              <w:rPr>
                <w:rFonts w:hint="eastAsia" w:ascii="宋体" w:hAnsi="宋体" w:cs="仿宋_GB2312"/>
                <w:sz w:val="24"/>
                <w:u w:val="single"/>
              </w:rPr>
              <w:t xml:space="preserve">           </w:t>
            </w:r>
            <w:r>
              <w:rPr>
                <w:rFonts w:hint="eastAsia" w:ascii="宋体" w:hAnsi="宋体" w:cs="仿宋_GB2312"/>
                <w:sz w:val="24"/>
              </w:rPr>
              <w:t>（￥</w:t>
            </w:r>
            <w:r>
              <w:rPr>
                <w:rFonts w:hint="eastAsia" w:ascii="宋体" w:hAnsi="宋体" w:cs="仿宋_GB2312"/>
                <w:sz w:val="24"/>
                <w:u w:val="single"/>
              </w:rPr>
              <w:t xml:space="preserve">           </w:t>
            </w:r>
            <w:r>
              <w:rPr>
                <w:rFonts w:hint="eastAsia" w:ascii="宋体" w:hAnsi="宋体" w:cs="仿宋_GB2312"/>
                <w:sz w:val="24"/>
              </w:rPr>
              <w:t>）</w:t>
            </w:r>
          </w:p>
        </w:tc>
      </w:tr>
    </w:tbl>
    <w:p w14:paraId="6F35741C">
      <w:pPr>
        <w:keepNext w:val="0"/>
        <w:keepLines w:val="0"/>
        <w:pageBreakBefore w:val="0"/>
        <w:widowControl w:val="0"/>
        <w:kinsoku/>
        <w:wordWrap/>
        <w:overflowPunct/>
        <w:topLinePunct w:val="0"/>
        <w:autoSpaceDE/>
        <w:autoSpaceDN/>
        <w:bidi w:val="0"/>
        <w:adjustRightInd/>
        <w:snapToGrid/>
        <w:spacing w:line="360" w:lineRule="exact"/>
        <w:ind w:firstLine="480" w:firstLineChars="200"/>
        <w:contextualSpacing/>
        <w:jc w:val="left"/>
        <w:textAlignment w:val="auto"/>
        <w:rPr>
          <w:rFonts w:hint="eastAsia" w:ascii="宋体" w:hAnsi="宋体" w:eastAsia="宋体" w:cs="Times New Roman"/>
          <w:sz w:val="24"/>
        </w:rPr>
      </w:pPr>
      <w:r>
        <w:rPr>
          <w:rFonts w:hint="eastAsia" w:ascii="宋体" w:hAnsi="宋体" w:eastAsia="宋体" w:cs="Times New Roman"/>
          <w:sz w:val="24"/>
        </w:rPr>
        <w:t>注: 1.所有价格均用人民币表示，单位为元，精确到个数位。</w:t>
      </w:r>
    </w:p>
    <w:p w14:paraId="788B9D62">
      <w:pPr>
        <w:keepNext w:val="0"/>
        <w:keepLines w:val="0"/>
        <w:pageBreakBefore w:val="0"/>
        <w:widowControl w:val="0"/>
        <w:kinsoku/>
        <w:wordWrap/>
        <w:overflowPunct/>
        <w:topLinePunct w:val="0"/>
        <w:autoSpaceDE/>
        <w:autoSpaceDN/>
        <w:bidi w:val="0"/>
        <w:adjustRightInd/>
        <w:snapToGrid/>
        <w:spacing w:line="360" w:lineRule="exact"/>
        <w:ind w:firstLine="480" w:firstLineChars="200"/>
        <w:contextualSpacing/>
        <w:jc w:val="left"/>
        <w:textAlignment w:val="auto"/>
        <w:rPr>
          <w:rFonts w:hint="eastAsia" w:ascii="宋体" w:hAnsi="宋体" w:eastAsia="宋体" w:cs="Times New Roman"/>
          <w:sz w:val="24"/>
        </w:rPr>
      </w:pPr>
      <w:r>
        <w:rPr>
          <w:rFonts w:hint="eastAsia" w:ascii="宋体" w:hAnsi="宋体" w:eastAsia="宋体" w:cs="Times New Roman"/>
          <w:sz w:val="24"/>
          <w:lang w:val="en-US" w:eastAsia="zh-CN"/>
        </w:rPr>
        <w:t>2、</w:t>
      </w:r>
      <w:r>
        <w:rPr>
          <w:rFonts w:hint="eastAsia" w:ascii="宋体" w:hAnsi="宋体" w:eastAsia="宋体" w:cs="Times New Roman"/>
          <w:sz w:val="24"/>
        </w:rPr>
        <w:t>以上竞标报价表中“货物名称、数量及单位、品牌、规格型号、制造商、原产地、参数性能、指标及配置”必须如实填写完整，品牌、规格型号没有则填无，填写有缺漏的，其响应文件按无效响应处理。</w:t>
      </w:r>
    </w:p>
    <w:p w14:paraId="3CE7113E">
      <w:pPr>
        <w:keepNext w:val="0"/>
        <w:keepLines w:val="0"/>
        <w:pageBreakBefore w:val="0"/>
        <w:widowControl w:val="0"/>
        <w:kinsoku/>
        <w:wordWrap/>
        <w:overflowPunct/>
        <w:topLinePunct w:val="0"/>
        <w:autoSpaceDE/>
        <w:autoSpaceDN/>
        <w:bidi w:val="0"/>
        <w:adjustRightInd/>
        <w:snapToGrid/>
        <w:spacing w:line="360" w:lineRule="exact"/>
        <w:ind w:firstLine="480" w:firstLineChars="200"/>
        <w:contextualSpacing/>
        <w:jc w:val="left"/>
        <w:textAlignment w:val="auto"/>
        <w:rPr>
          <w:rFonts w:hint="eastAsia" w:ascii="宋体" w:hAnsi="宋体" w:eastAsia="宋体" w:cs="Times New Roman"/>
          <w:sz w:val="24"/>
        </w:rPr>
      </w:pPr>
      <w:r>
        <w:rPr>
          <w:rFonts w:hint="eastAsia" w:ascii="宋体" w:hAnsi="宋体" w:eastAsia="宋体" w:cs="Times New Roman"/>
          <w:sz w:val="24"/>
          <w:lang w:val="en-US" w:eastAsia="zh-CN"/>
        </w:rPr>
        <w:t>3、</w:t>
      </w:r>
      <w:r>
        <w:rPr>
          <w:rFonts w:hint="eastAsia" w:ascii="宋体" w:hAnsi="宋体" w:eastAsia="宋体" w:cs="Times New Roman"/>
          <w:sz w:val="24"/>
        </w:rPr>
        <w:t>供应商的报价表必须加盖供应商公章并由法定代表人或者委托代理人签字，否则其响应文件按无效响应处理。</w:t>
      </w:r>
    </w:p>
    <w:p w14:paraId="7C1A7EB4">
      <w:pPr>
        <w:keepNext w:val="0"/>
        <w:keepLines w:val="0"/>
        <w:pageBreakBefore w:val="0"/>
        <w:widowControl w:val="0"/>
        <w:kinsoku/>
        <w:wordWrap/>
        <w:overflowPunct/>
        <w:topLinePunct w:val="0"/>
        <w:autoSpaceDE/>
        <w:autoSpaceDN/>
        <w:bidi w:val="0"/>
        <w:adjustRightInd/>
        <w:snapToGrid/>
        <w:spacing w:line="360" w:lineRule="exact"/>
        <w:ind w:firstLine="480" w:firstLineChars="200"/>
        <w:contextualSpacing/>
        <w:jc w:val="left"/>
        <w:textAlignment w:val="auto"/>
        <w:rPr>
          <w:rFonts w:hint="eastAsia" w:ascii="宋体" w:hAnsi="宋体" w:eastAsia="宋体" w:cs="Times New Roman"/>
          <w:sz w:val="24"/>
        </w:rPr>
      </w:pPr>
      <w:r>
        <w:rPr>
          <w:rFonts w:hint="eastAsia" w:ascii="宋体" w:hAnsi="宋体" w:eastAsia="宋体" w:cs="Times New Roman"/>
          <w:sz w:val="24"/>
          <w:lang w:val="en-US" w:eastAsia="zh-CN"/>
        </w:rPr>
        <w:t>4、</w:t>
      </w:r>
      <w:r>
        <w:rPr>
          <w:rFonts w:hint="eastAsia" w:ascii="宋体" w:hAnsi="宋体" w:eastAsia="宋体" w:cs="Times New Roman"/>
          <w:sz w:val="24"/>
        </w:rPr>
        <w:t>报价一经涂改，应在涂改处加盖供应商公章或者由法定代表人或者授权委托人签字或者盖章，否则其响应文件按无效响应处理。</w:t>
      </w:r>
    </w:p>
    <w:p w14:paraId="6BC8B4CD">
      <w:pPr>
        <w:keepNext w:val="0"/>
        <w:keepLines w:val="0"/>
        <w:pageBreakBefore w:val="0"/>
        <w:widowControl w:val="0"/>
        <w:kinsoku/>
        <w:wordWrap/>
        <w:overflowPunct/>
        <w:topLinePunct w:val="0"/>
        <w:autoSpaceDE/>
        <w:autoSpaceDN/>
        <w:bidi w:val="0"/>
        <w:adjustRightInd/>
        <w:snapToGrid/>
        <w:spacing w:line="360" w:lineRule="exact"/>
        <w:ind w:firstLine="480" w:firstLineChars="200"/>
        <w:contextualSpacing/>
        <w:jc w:val="left"/>
        <w:textAlignment w:val="auto"/>
        <w:rPr>
          <w:rFonts w:hint="eastAsia" w:ascii="宋体" w:hAnsi="宋体" w:cs="仿宋_GB2312"/>
          <w:sz w:val="24"/>
        </w:rPr>
      </w:pPr>
    </w:p>
    <w:p w14:paraId="54CC5D53">
      <w:pPr>
        <w:keepNext w:val="0"/>
        <w:keepLines w:val="0"/>
        <w:pageBreakBefore w:val="0"/>
        <w:widowControl w:val="0"/>
        <w:kinsoku/>
        <w:wordWrap/>
        <w:overflowPunct/>
        <w:topLinePunct w:val="0"/>
        <w:autoSpaceDE/>
        <w:autoSpaceDN/>
        <w:bidi w:val="0"/>
        <w:adjustRightInd/>
        <w:spacing w:line="360" w:lineRule="auto"/>
        <w:ind w:right="-817" w:rightChars="-389" w:firstLine="2640" w:firstLineChars="1100"/>
        <w:contextualSpacing/>
        <w:textAlignment w:val="auto"/>
        <w:rPr>
          <w:rFonts w:hint="eastAsia" w:ascii="宋体" w:hAnsi="宋体" w:cs="仿宋_GB2312"/>
          <w:sz w:val="24"/>
        </w:rPr>
      </w:pPr>
    </w:p>
    <w:p w14:paraId="77683060">
      <w:pPr>
        <w:keepNext w:val="0"/>
        <w:keepLines w:val="0"/>
        <w:pageBreakBefore w:val="0"/>
        <w:widowControl w:val="0"/>
        <w:kinsoku/>
        <w:wordWrap/>
        <w:overflowPunct/>
        <w:topLinePunct w:val="0"/>
        <w:autoSpaceDE/>
        <w:autoSpaceDN/>
        <w:bidi w:val="0"/>
        <w:adjustRightInd/>
        <w:spacing w:line="360" w:lineRule="auto"/>
        <w:ind w:right="-817" w:rightChars="-389" w:firstLine="6240" w:firstLineChars="2600"/>
        <w:contextualSpacing/>
        <w:textAlignment w:val="auto"/>
        <w:rPr>
          <w:rFonts w:hint="eastAsia" w:ascii="宋体" w:hAnsi="宋体" w:cs="仿宋_GB2312"/>
          <w:sz w:val="24"/>
        </w:rPr>
      </w:pPr>
      <w:r>
        <w:rPr>
          <w:rFonts w:hint="eastAsia" w:ascii="宋体" w:hAnsi="宋体" w:cs="仿宋_GB2312"/>
          <w:sz w:val="24"/>
        </w:rPr>
        <w:t xml:space="preserve">法定代表人或者委托代理人（签字）：                    </w:t>
      </w:r>
    </w:p>
    <w:p w14:paraId="0A09DEA2">
      <w:pPr>
        <w:keepNext w:val="0"/>
        <w:keepLines w:val="0"/>
        <w:pageBreakBefore w:val="0"/>
        <w:widowControl w:val="0"/>
        <w:kinsoku/>
        <w:wordWrap/>
        <w:overflowPunct/>
        <w:topLinePunct w:val="0"/>
        <w:autoSpaceDE/>
        <w:autoSpaceDN/>
        <w:bidi w:val="0"/>
        <w:adjustRightInd/>
        <w:spacing w:line="360" w:lineRule="auto"/>
        <w:ind w:right="-817" w:rightChars="-389" w:firstLine="8160" w:firstLineChars="3400"/>
        <w:contextualSpacing/>
        <w:textAlignment w:val="auto"/>
        <w:rPr>
          <w:rFonts w:hint="eastAsia" w:ascii="宋体" w:hAnsi="宋体" w:cs="仿宋_GB2312"/>
          <w:sz w:val="24"/>
        </w:rPr>
      </w:pPr>
      <w:r>
        <w:rPr>
          <w:rFonts w:hint="eastAsia" w:ascii="宋体" w:hAnsi="宋体" w:cs="仿宋_GB2312"/>
          <w:sz w:val="24"/>
        </w:rPr>
        <w:t xml:space="preserve">供应商（盖公章）：      </w:t>
      </w:r>
    </w:p>
    <w:p w14:paraId="68BF4B60">
      <w:pPr>
        <w:keepNext w:val="0"/>
        <w:keepLines w:val="0"/>
        <w:pageBreakBefore w:val="0"/>
        <w:widowControl w:val="0"/>
        <w:kinsoku/>
        <w:wordWrap/>
        <w:overflowPunct/>
        <w:topLinePunct w:val="0"/>
        <w:autoSpaceDE/>
        <w:autoSpaceDN/>
        <w:bidi w:val="0"/>
        <w:adjustRightInd/>
        <w:spacing w:line="360" w:lineRule="auto"/>
        <w:ind w:right="-817" w:rightChars="-389" w:firstLine="9360" w:firstLineChars="3900"/>
        <w:contextualSpacing/>
        <w:textAlignment w:val="auto"/>
        <w:rPr>
          <w:rFonts w:hint="eastAsia" w:ascii="仿宋_GB2312" w:hAnsi="仿宋_GB2312" w:eastAsia="仿宋_GB2312" w:cs="仿宋_GB2312"/>
          <w:b/>
          <w:sz w:val="32"/>
          <w:szCs w:val="32"/>
        </w:rPr>
      </w:pPr>
      <w:r>
        <w:rPr>
          <w:rFonts w:hint="eastAsia" w:ascii="宋体" w:hAnsi="宋体" w:cs="仿宋_GB2312"/>
          <w:sz w:val="24"/>
        </w:rPr>
        <w:t>日</w:t>
      </w:r>
      <w:r>
        <w:rPr>
          <w:rFonts w:hint="eastAsia" w:ascii="宋体" w:hAnsi="宋体" w:cs="仿宋_GB2312"/>
          <w:sz w:val="24"/>
          <w:lang w:val="en-US" w:eastAsia="zh-CN"/>
        </w:rPr>
        <w:t xml:space="preserve"> </w:t>
      </w:r>
      <w:r>
        <w:rPr>
          <w:rFonts w:hint="eastAsia" w:ascii="宋体" w:hAnsi="宋体" w:cs="仿宋_GB2312"/>
          <w:sz w:val="24"/>
        </w:rPr>
        <w:t>期：   年   月   日</w:t>
      </w:r>
    </w:p>
    <w:p w14:paraId="395563D9">
      <w:pPr>
        <w:pStyle w:val="10"/>
        <w:rPr>
          <w:rFonts w:hint="default"/>
          <w:lang w:val="en-US" w:eastAsia="zh-CN"/>
        </w:rPr>
      </w:pPr>
    </w:p>
    <w:p w14:paraId="5CEDCEB4">
      <w:pPr>
        <w:adjustRightInd w:val="0"/>
        <w:snapToGrid w:val="0"/>
        <w:spacing w:line="52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lang w:eastAsia="zh-CN"/>
        </w:rPr>
        <w:t>货物</w:t>
      </w:r>
      <w:r>
        <w:rPr>
          <w:rFonts w:hint="eastAsia" w:ascii="方正小标宋简体" w:hAnsi="方正小标宋简体" w:eastAsia="方正小标宋简体" w:cs="方正小标宋简体"/>
          <w:bCs/>
          <w:sz w:val="44"/>
          <w:szCs w:val="44"/>
        </w:rPr>
        <w:t>技术参数配置清单</w:t>
      </w:r>
    </w:p>
    <w:p w14:paraId="6F23B2A6">
      <w:pPr>
        <w:spacing w:line="300" w:lineRule="auto"/>
        <w:rPr>
          <w:rFonts w:hint="eastAsia" w:ascii="宋体" w:hAnsi="宋体"/>
          <w:szCs w:val="21"/>
        </w:rPr>
      </w:pPr>
    </w:p>
    <w:p w14:paraId="008BB11F">
      <w:pPr>
        <w:spacing w:line="360" w:lineRule="auto"/>
        <w:rPr>
          <w:rFonts w:hint="eastAsia" w:ascii="宋体" w:hAnsi="宋体" w:cs="仿宋_GB2312" w:eastAsiaTheme="minorEastAsia"/>
          <w:sz w:val="24"/>
          <w:lang w:val="en-US" w:eastAsia="zh-CN"/>
        </w:rPr>
      </w:pPr>
      <w:r>
        <w:rPr>
          <w:rFonts w:hint="eastAsia" w:ascii="宋体" w:hAnsi="宋体" w:cs="仿宋_GB2312"/>
          <w:sz w:val="24"/>
        </w:rPr>
        <w:t>项目</w:t>
      </w:r>
      <w:r>
        <w:rPr>
          <w:rFonts w:hint="eastAsia" w:ascii="宋体" w:hAnsi="宋体" w:cs="仿宋_GB2312"/>
          <w:sz w:val="24"/>
          <w:lang w:val="en-US" w:eastAsia="zh-CN"/>
        </w:rPr>
        <w:t>名称</w:t>
      </w:r>
      <w:r>
        <w:rPr>
          <w:rFonts w:hint="eastAsia" w:ascii="宋体" w:hAnsi="宋体" w:cs="仿宋_GB2312"/>
          <w:sz w:val="24"/>
        </w:rPr>
        <w:t>：</w:t>
      </w:r>
      <w:r>
        <w:rPr>
          <w:rFonts w:hint="eastAsia" w:ascii="宋体" w:hAnsi="宋体" w:cs="仿宋_GB2312"/>
          <w:sz w:val="24"/>
          <w:u w:val="single"/>
        </w:rPr>
        <w:t xml:space="preserve">                 </w:t>
      </w:r>
      <w:r>
        <w:rPr>
          <w:rFonts w:hint="eastAsia" w:ascii="宋体" w:hAnsi="宋体" w:cs="仿宋_GB2312"/>
          <w:sz w:val="24"/>
        </w:rPr>
        <w:t xml:space="preserve"> </w:t>
      </w:r>
      <w:r>
        <w:rPr>
          <w:rFonts w:hint="eastAsia" w:ascii="宋体" w:hAnsi="宋体" w:cs="仿宋_GB2312"/>
          <w:sz w:val="24"/>
          <w:lang w:val="en-US" w:eastAsia="zh-CN"/>
        </w:rPr>
        <w:t xml:space="preserve"> </w:t>
      </w:r>
      <w:r>
        <w:rPr>
          <w:rFonts w:hint="eastAsia" w:ascii="宋体" w:hAnsi="宋体" w:cs="仿宋_GB2312"/>
          <w:sz w:val="24"/>
        </w:rPr>
        <w:t>项目</w:t>
      </w:r>
      <w:r>
        <w:rPr>
          <w:rFonts w:hint="eastAsia" w:ascii="宋体" w:hAnsi="宋体" w:cs="仿宋_GB2312"/>
          <w:sz w:val="24"/>
          <w:lang w:val="en-US" w:eastAsia="zh-CN"/>
        </w:rPr>
        <w:t>编号</w:t>
      </w:r>
      <w:r>
        <w:rPr>
          <w:rFonts w:hint="eastAsia" w:ascii="宋体" w:hAnsi="宋体" w:cs="仿宋_GB2312"/>
          <w:sz w:val="24"/>
        </w:rPr>
        <w:t>：</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rPr>
        <w:t xml:space="preserve"> </w:t>
      </w:r>
      <w:r>
        <w:rPr>
          <w:rFonts w:hint="eastAsia" w:ascii="宋体" w:hAnsi="宋体" w:cs="仿宋_GB2312"/>
          <w:sz w:val="24"/>
          <w:lang w:eastAsia="zh-CN"/>
        </w:rPr>
        <w:t>供应商：</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p>
    <w:tbl>
      <w:tblPr>
        <w:tblStyle w:val="11"/>
        <w:tblW w:w="1478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0"/>
        <w:gridCol w:w="2208"/>
        <w:gridCol w:w="1139"/>
        <w:gridCol w:w="1039"/>
        <w:gridCol w:w="1320"/>
        <w:gridCol w:w="1758"/>
        <w:gridCol w:w="1711"/>
        <w:gridCol w:w="1666"/>
        <w:gridCol w:w="3205"/>
      </w:tblGrid>
      <w:tr w14:paraId="153D34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740" w:type="dxa"/>
            <w:tcBorders>
              <w:top w:val="single" w:color="auto" w:sz="4" w:space="0"/>
              <w:left w:val="single" w:color="auto" w:sz="4" w:space="0"/>
              <w:bottom w:val="single" w:color="auto" w:sz="4" w:space="0"/>
              <w:right w:val="single" w:color="auto" w:sz="4" w:space="0"/>
            </w:tcBorders>
            <w:noWrap w:val="0"/>
            <w:vAlign w:val="center"/>
          </w:tcPr>
          <w:p w14:paraId="10B60C91">
            <w:pPr>
              <w:snapToGrid w:val="0"/>
              <w:spacing w:before="50" w:after="50"/>
              <w:jc w:val="center"/>
              <w:rPr>
                <w:rFonts w:hint="eastAsia" w:ascii="宋体" w:hAnsi="宋体"/>
                <w:sz w:val="24"/>
              </w:rPr>
            </w:pPr>
            <w:r>
              <w:rPr>
                <w:rFonts w:hint="eastAsia" w:ascii="宋体" w:hAnsi="宋体"/>
                <w:sz w:val="24"/>
              </w:rPr>
              <w:t>序号</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683A0177">
            <w:pPr>
              <w:snapToGrid w:val="0"/>
              <w:spacing w:before="50" w:after="50"/>
              <w:jc w:val="center"/>
              <w:rPr>
                <w:rFonts w:hint="eastAsia" w:ascii="宋体" w:hAnsi="宋体"/>
                <w:sz w:val="24"/>
              </w:rPr>
            </w:pPr>
            <w:r>
              <w:rPr>
                <w:rFonts w:hint="eastAsia" w:ascii="宋体" w:hAnsi="宋体"/>
                <w:sz w:val="24"/>
              </w:rPr>
              <w:t>货物名称</w:t>
            </w:r>
          </w:p>
        </w:tc>
        <w:tc>
          <w:tcPr>
            <w:tcW w:w="1139" w:type="dxa"/>
            <w:tcBorders>
              <w:top w:val="single" w:color="auto" w:sz="4" w:space="0"/>
              <w:left w:val="single" w:color="auto" w:sz="4" w:space="0"/>
              <w:bottom w:val="single" w:color="auto" w:sz="4" w:space="0"/>
              <w:right w:val="single" w:color="auto" w:sz="4" w:space="0"/>
            </w:tcBorders>
            <w:noWrap w:val="0"/>
            <w:vAlign w:val="center"/>
          </w:tcPr>
          <w:p w14:paraId="3783B380">
            <w:pPr>
              <w:snapToGrid w:val="0"/>
              <w:spacing w:before="50" w:after="50"/>
              <w:jc w:val="center"/>
              <w:rPr>
                <w:rFonts w:hint="eastAsia" w:ascii="宋体" w:hAnsi="宋体"/>
                <w:sz w:val="24"/>
              </w:rPr>
            </w:pPr>
            <w:r>
              <w:rPr>
                <w:rFonts w:hint="eastAsia" w:ascii="宋体" w:hAnsi="宋体"/>
                <w:sz w:val="24"/>
              </w:rPr>
              <w:t>单位</w:t>
            </w:r>
          </w:p>
        </w:tc>
        <w:tc>
          <w:tcPr>
            <w:tcW w:w="1039" w:type="dxa"/>
            <w:tcBorders>
              <w:top w:val="single" w:color="auto" w:sz="4" w:space="0"/>
              <w:left w:val="single" w:color="auto" w:sz="4" w:space="0"/>
              <w:bottom w:val="single" w:color="auto" w:sz="4" w:space="0"/>
              <w:right w:val="single" w:color="auto" w:sz="4" w:space="0"/>
            </w:tcBorders>
            <w:noWrap w:val="0"/>
            <w:vAlign w:val="center"/>
          </w:tcPr>
          <w:p w14:paraId="745CDAFA">
            <w:pPr>
              <w:snapToGrid w:val="0"/>
              <w:spacing w:before="50" w:after="50"/>
              <w:jc w:val="center"/>
              <w:rPr>
                <w:rFonts w:hint="eastAsia" w:ascii="宋体" w:hAnsi="宋体"/>
                <w:sz w:val="24"/>
              </w:rPr>
            </w:pPr>
            <w:r>
              <w:rPr>
                <w:rFonts w:hint="eastAsia" w:ascii="宋体" w:hAnsi="宋体"/>
                <w:sz w:val="24"/>
              </w:rPr>
              <w:t>数量</w:t>
            </w:r>
          </w:p>
        </w:tc>
        <w:tc>
          <w:tcPr>
            <w:tcW w:w="1320" w:type="dxa"/>
            <w:tcBorders>
              <w:top w:val="single" w:color="auto" w:sz="4" w:space="0"/>
              <w:left w:val="single" w:color="auto" w:sz="4" w:space="0"/>
              <w:bottom w:val="single" w:color="auto" w:sz="4" w:space="0"/>
              <w:right w:val="single" w:color="auto" w:sz="4" w:space="0"/>
            </w:tcBorders>
            <w:noWrap w:val="0"/>
            <w:vAlign w:val="center"/>
          </w:tcPr>
          <w:p w14:paraId="2D66ABC3">
            <w:pPr>
              <w:snapToGrid w:val="0"/>
              <w:spacing w:before="50" w:after="50"/>
              <w:jc w:val="center"/>
              <w:rPr>
                <w:rFonts w:hint="eastAsia" w:ascii="宋体" w:hAnsi="宋体"/>
                <w:sz w:val="24"/>
              </w:rPr>
            </w:pPr>
            <w:r>
              <w:rPr>
                <w:rFonts w:hint="eastAsia" w:ascii="宋体" w:hAnsi="宋体"/>
                <w:sz w:val="24"/>
              </w:rPr>
              <w:t>品牌</w:t>
            </w:r>
          </w:p>
        </w:tc>
        <w:tc>
          <w:tcPr>
            <w:tcW w:w="1758" w:type="dxa"/>
            <w:tcBorders>
              <w:top w:val="single" w:color="auto" w:sz="4" w:space="0"/>
              <w:left w:val="single" w:color="auto" w:sz="4" w:space="0"/>
              <w:bottom w:val="single" w:color="auto" w:sz="4" w:space="0"/>
              <w:right w:val="single" w:color="auto" w:sz="4" w:space="0"/>
            </w:tcBorders>
            <w:noWrap w:val="0"/>
            <w:vAlign w:val="top"/>
          </w:tcPr>
          <w:p w14:paraId="50393253">
            <w:pPr>
              <w:snapToGrid w:val="0"/>
              <w:spacing w:before="50" w:after="50"/>
              <w:jc w:val="center"/>
              <w:rPr>
                <w:rFonts w:ascii="宋体" w:hAnsi="宋体"/>
                <w:sz w:val="24"/>
              </w:rPr>
            </w:pPr>
          </w:p>
          <w:p w14:paraId="49F74BAD">
            <w:pPr>
              <w:snapToGrid w:val="0"/>
              <w:spacing w:before="50" w:after="50"/>
              <w:jc w:val="center"/>
              <w:rPr>
                <w:rFonts w:hint="eastAsia" w:ascii="宋体" w:hAnsi="宋体"/>
                <w:sz w:val="24"/>
              </w:rPr>
            </w:pPr>
            <w:r>
              <w:rPr>
                <w:rFonts w:hint="eastAsia" w:ascii="宋体" w:hAnsi="宋体"/>
                <w:sz w:val="24"/>
              </w:rPr>
              <w:t>规格型号</w:t>
            </w:r>
          </w:p>
        </w:tc>
        <w:tc>
          <w:tcPr>
            <w:tcW w:w="1711" w:type="dxa"/>
            <w:tcBorders>
              <w:top w:val="single" w:color="auto" w:sz="4" w:space="0"/>
              <w:left w:val="single" w:color="auto" w:sz="4" w:space="0"/>
              <w:bottom w:val="single" w:color="auto" w:sz="4" w:space="0"/>
              <w:right w:val="single" w:color="auto" w:sz="4" w:space="0"/>
            </w:tcBorders>
            <w:noWrap w:val="0"/>
            <w:vAlign w:val="center"/>
          </w:tcPr>
          <w:p w14:paraId="43BBBA0D">
            <w:pPr>
              <w:snapToGrid w:val="0"/>
              <w:spacing w:before="50" w:after="50"/>
              <w:jc w:val="center"/>
              <w:rPr>
                <w:rFonts w:hint="eastAsia" w:ascii="宋体" w:hAnsi="宋体"/>
                <w:sz w:val="24"/>
              </w:rPr>
            </w:pPr>
            <w:r>
              <w:rPr>
                <w:rFonts w:hint="eastAsia" w:ascii="宋体" w:hAnsi="宋体"/>
                <w:sz w:val="24"/>
              </w:rPr>
              <w:t>制造商</w:t>
            </w:r>
          </w:p>
        </w:tc>
        <w:tc>
          <w:tcPr>
            <w:tcW w:w="1666" w:type="dxa"/>
            <w:tcBorders>
              <w:top w:val="single" w:color="auto" w:sz="4" w:space="0"/>
              <w:left w:val="single" w:color="auto" w:sz="4" w:space="0"/>
              <w:bottom w:val="single" w:color="auto" w:sz="4" w:space="0"/>
              <w:right w:val="single" w:color="auto" w:sz="4" w:space="0"/>
            </w:tcBorders>
            <w:noWrap w:val="0"/>
            <w:vAlign w:val="center"/>
          </w:tcPr>
          <w:p w14:paraId="41185F08">
            <w:pPr>
              <w:snapToGrid w:val="0"/>
              <w:spacing w:before="50" w:after="50"/>
              <w:jc w:val="center"/>
              <w:rPr>
                <w:rFonts w:hint="eastAsia" w:ascii="宋体" w:hAnsi="宋体"/>
                <w:sz w:val="24"/>
              </w:rPr>
            </w:pPr>
            <w:r>
              <w:rPr>
                <w:rFonts w:hint="eastAsia" w:ascii="宋体" w:hAnsi="宋体"/>
                <w:sz w:val="24"/>
              </w:rPr>
              <w:t>原产地</w:t>
            </w:r>
          </w:p>
        </w:tc>
        <w:tc>
          <w:tcPr>
            <w:tcW w:w="3205" w:type="dxa"/>
            <w:tcBorders>
              <w:top w:val="single" w:color="auto" w:sz="4" w:space="0"/>
              <w:left w:val="single" w:color="auto" w:sz="4" w:space="0"/>
              <w:bottom w:val="single" w:color="auto" w:sz="4" w:space="0"/>
              <w:right w:val="single" w:color="auto" w:sz="4" w:space="0"/>
            </w:tcBorders>
            <w:noWrap w:val="0"/>
            <w:vAlign w:val="center"/>
          </w:tcPr>
          <w:p w14:paraId="091F73F3">
            <w:pPr>
              <w:snapToGrid w:val="0"/>
              <w:spacing w:before="50" w:after="50"/>
              <w:jc w:val="center"/>
              <w:rPr>
                <w:rFonts w:hint="eastAsia" w:ascii="宋体" w:hAnsi="宋体"/>
                <w:sz w:val="24"/>
              </w:rPr>
            </w:pPr>
            <w:r>
              <w:rPr>
                <w:rFonts w:hint="eastAsia" w:ascii="宋体" w:hAnsi="宋体"/>
                <w:sz w:val="24"/>
              </w:rPr>
              <w:t>参数性能、指标及配置</w:t>
            </w:r>
          </w:p>
        </w:tc>
      </w:tr>
      <w:tr w14:paraId="2EF3A8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740" w:type="dxa"/>
            <w:tcBorders>
              <w:top w:val="single" w:color="auto" w:sz="4" w:space="0"/>
              <w:left w:val="single" w:color="auto" w:sz="4" w:space="0"/>
              <w:bottom w:val="single" w:color="auto" w:sz="4" w:space="0"/>
              <w:right w:val="single" w:color="auto" w:sz="4" w:space="0"/>
            </w:tcBorders>
            <w:noWrap w:val="0"/>
            <w:vAlign w:val="center"/>
          </w:tcPr>
          <w:p w14:paraId="3DC40F97">
            <w:pPr>
              <w:snapToGrid w:val="0"/>
              <w:spacing w:before="50" w:after="50"/>
              <w:jc w:val="center"/>
              <w:rPr>
                <w:rFonts w:hint="eastAsia" w:ascii="宋体" w:hAnsi="宋体" w:eastAsiaTheme="minorEastAsia"/>
                <w:sz w:val="24"/>
                <w:lang w:val="en-US" w:eastAsia="zh-CN"/>
              </w:rPr>
            </w:pPr>
            <w:r>
              <w:rPr>
                <w:rFonts w:hint="eastAsia" w:ascii="宋体" w:hAnsi="宋体"/>
                <w:sz w:val="24"/>
                <w:lang w:val="en-US" w:eastAsia="zh-CN"/>
              </w:rPr>
              <w:t>1</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512A2ED1">
            <w:pPr>
              <w:snapToGrid w:val="0"/>
              <w:spacing w:before="50" w:after="50"/>
              <w:jc w:val="center"/>
              <w:rPr>
                <w:rFonts w:hint="eastAsia" w:ascii="宋体" w:hAnsi="宋体"/>
                <w:sz w:val="24"/>
              </w:rPr>
            </w:pPr>
          </w:p>
        </w:tc>
        <w:tc>
          <w:tcPr>
            <w:tcW w:w="1139" w:type="dxa"/>
            <w:tcBorders>
              <w:top w:val="single" w:color="auto" w:sz="4" w:space="0"/>
              <w:left w:val="single" w:color="auto" w:sz="4" w:space="0"/>
              <w:bottom w:val="single" w:color="auto" w:sz="4" w:space="0"/>
              <w:right w:val="single" w:color="auto" w:sz="4" w:space="0"/>
            </w:tcBorders>
            <w:noWrap w:val="0"/>
            <w:vAlign w:val="center"/>
          </w:tcPr>
          <w:p w14:paraId="3752D5B0">
            <w:pPr>
              <w:snapToGrid w:val="0"/>
              <w:spacing w:before="50" w:after="50"/>
              <w:jc w:val="center"/>
              <w:rPr>
                <w:rFonts w:hint="eastAsia" w:ascii="宋体" w:hAnsi="宋体"/>
                <w:sz w:val="24"/>
              </w:rPr>
            </w:pPr>
          </w:p>
        </w:tc>
        <w:tc>
          <w:tcPr>
            <w:tcW w:w="1039" w:type="dxa"/>
            <w:tcBorders>
              <w:top w:val="single" w:color="auto" w:sz="4" w:space="0"/>
              <w:left w:val="single" w:color="auto" w:sz="4" w:space="0"/>
              <w:bottom w:val="single" w:color="auto" w:sz="4" w:space="0"/>
              <w:right w:val="single" w:color="auto" w:sz="4" w:space="0"/>
            </w:tcBorders>
            <w:noWrap w:val="0"/>
            <w:vAlign w:val="center"/>
          </w:tcPr>
          <w:p w14:paraId="3973B16A">
            <w:pPr>
              <w:snapToGrid w:val="0"/>
              <w:spacing w:before="50" w:after="50"/>
              <w:jc w:val="center"/>
              <w:rPr>
                <w:rFonts w:hint="eastAsia" w:ascii="宋体" w:hAnsi="宋体"/>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14:paraId="7F33D6DC">
            <w:pPr>
              <w:snapToGrid w:val="0"/>
              <w:spacing w:before="50" w:after="50"/>
              <w:jc w:val="center"/>
              <w:rPr>
                <w:rFonts w:hint="eastAsia" w:ascii="宋体" w:hAnsi="宋体"/>
                <w:sz w:val="24"/>
              </w:rPr>
            </w:pPr>
          </w:p>
        </w:tc>
        <w:tc>
          <w:tcPr>
            <w:tcW w:w="1758" w:type="dxa"/>
            <w:tcBorders>
              <w:top w:val="single" w:color="auto" w:sz="4" w:space="0"/>
              <w:left w:val="single" w:color="auto" w:sz="4" w:space="0"/>
              <w:bottom w:val="single" w:color="auto" w:sz="4" w:space="0"/>
              <w:right w:val="single" w:color="auto" w:sz="4" w:space="0"/>
            </w:tcBorders>
            <w:noWrap w:val="0"/>
            <w:vAlign w:val="top"/>
          </w:tcPr>
          <w:p w14:paraId="7BA0989C">
            <w:pPr>
              <w:snapToGrid w:val="0"/>
              <w:spacing w:before="50" w:after="50"/>
              <w:jc w:val="center"/>
              <w:rPr>
                <w:rFonts w:hint="eastAsia" w:ascii="宋体" w:hAnsi="宋体"/>
                <w:sz w:val="24"/>
              </w:rPr>
            </w:pPr>
          </w:p>
        </w:tc>
        <w:tc>
          <w:tcPr>
            <w:tcW w:w="1711" w:type="dxa"/>
            <w:tcBorders>
              <w:top w:val="single" w:color="auto" w:sz="4" w:space="0"/>
              <w:left w:val="single" w:color="auto" w:sz="4" w:space="0"/>
              <w:bottom w:val="single" w:color="auto" w:sz="4" w:space="0"/>
              <w:right w:val="single" w:color="auto" w:sz="4" w:space="0"/>
            </w:tcBorders>
            <w:noWrap w:val="0"/>
            <w:vAlign w:val="center"/>
          </w:tcPr>
          <w:p w14:paraId="204E41DB">
            <w:pPr>
              <w:snapToGrid w:val="0"/>
              <w:spacing w:before="50" w:after="50"/>
              <w:jc w:val="center"/>
              <w:rPr>
                <w:rFonts w:hint="eastAsia" w:ascii="宋体" w:hAnsi="宋体"/>
                <w:sz w:val="24"/>
              </w:rPr>
            </w:pPr>
          </w:p>
        </w:tc>
        <w:tc>
          <w:tcPr>
            <w:tcW w:w="1666" w:type="dxa"/>
            <w:tcBorders>
              <w:top w:val="single" w:color="auto" w:sz="4" w:space="0"/>
              <w:left w:val="single" w:color="auto" w:sz="4" w:space="0"/>
              <w:bottom w:val="single" w:color="auto" w:sz="4" w:space="0"/>
              <w:right w:val="single" w:color="auto" w:sz="4" w:space="0"/>
            </w:tcBorders>
            <w:noWrap w:val="0"/>
            <w:vAlign w:val="center"/>
          </w:tcPr>
          <w:p w14:paraId="5C7D7896">
            <w:pPr>
              <w:snapToGrid w:val="0"/>
              <w:spacing w:before="50" w:after="50"/>
              <w:jc w:val="center"/>
              <w:rPr>
                <w:rFonts w:hint="eastAsia" w:ascii="宋体" w:hAnsi="宋体"/>
                <w:sz w:val="24"/>
              </w:rPr>
            </w:pPr>
          </w:p>
        </w:tc>
        <w:tc>
          <w:tcPr>
            <w:tcW w:w="3205" w:type="dxa"/>
            <w:tcBorders>
              <w:top w:val="single" w:color="auto" w:sz="4" w:space="0"/>
              <w:left w:val="single" w:color="auto" w:sz="4" w:space="0"/>
              <w:bottom w:val="single" w:color="auto" w:sz="4" w:space="0"/>
              <w:right w:val="single" w:color="auto" w:sz="4" w:space="0"/>
            </w:tcBorders>
            <w:noWrap w:val="0"/>
            <w:vAlign w:val="center"/>
          </w:tcPr>
          <w:p w14:paraId="041211B4">
            <w:pPr>
              <w:snapToGrid w:val="0"/>
              <w:spacing w:before="50" w:after="50"/>
              <w:jc w:val="center"/>
              <w:rPr>
                <w:rFonts w:hint="eastAsia" w:ascii="宋体" w:hAnsi="宋体"/>
                <w:sz w:val="24"/>
              </w:rPr>
            </w:pPr>
          </w:p>
        </w:tc>
      </w:tr>
      <w:tr w14:paraId="31F600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740" w:type="dxa"/>
            <w:tcBorders>
              <w:top w:val="single" w:color="auto" w:sz="4" w:space="0"/>
              <w:left w:val="single" w:color="auto" w:sz="4" w:space="0"/>
              <w:bottom w:val="single" w:color="auto" w:sz="4" w:space="0"/>
              <w:right w:val="single" w:color="auto" w:sz="4" w:space="0"/>
            </w:tcBorders>
            <w:noWrap w:val="0"/>
            <w:vAlign w:val="center"/>
          </w:tcPr>
          <w:p w14:paraId="491626FF">
            <w:pPr>
              <w:snapToGrid w:val="0"/>
              <w:spacing w:before="50" w:after="50"/>
              <w:jc w:val="center"/>
              <w:rPr>
                <w:rFonts w:hint="eastAsia" w:ascii="宋体" w:hAnsi="宋体" w:eastAsiaTheme="minorEastAsia"/>
                <w:sz w:val="24"/>
                <w:lang w:val="en-US" w:eastAsia="zh-CN"/>
              </w:rPr>
            </w:pPr>
            <w:r>
              <w:rPr>
                <w:rFonts w:hint="eastAsia" w:ascii="宋体" w:hAnsi="宋体"/>
                <w:sz w:val="24"/>
                <w:lang w:val="en-US" w:eastAsia="zh-CN"/>
              </w:rPr>
              <w:t>2</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1053E3F2">
            <w:pPr>
              <w:snapToGrid w:val="0"/>
              <w:spacing w:before="50" w:after="50"/>
              <w:jc w:val="center"/>
              <w:rPr>
                <w:rFonts w:hint="eastAsia" w:ascii="宋体" w:hAnsi="宋体"/>
                <w:sz w:val="24"/>
              </w:rPr>
            </w:pPr>
          </w:p>
        </w:tc>
        <w:tc>
          <w:tcPr>
            <w:tcW w:w="1139" w:type="dxa"/>
            <w:tcBorders>
              <w:top w:val="single" w:color="auto" w:sz="4" w:space="0"/>
              <w:left w:val="single" w:color="auto" w:sz="4" w:space="0"/>
              <w:bottom w:val="single" w:color="auto" w:sz="4" w:space="0"/>
              <w:right w:val="single" w:color="auto" w:sz="4" w:space="0"/>
            </w:tcBorders>
            <w:noWrap w:val="0"/>
            <w:vAlign w:val="center"/>
          </w:tcPr>
          <w:p w14:paraId="413CD06F">
            <w:pPr>
              <w:snapToGrid w:val="0"/>
              <w:spacing w:before="50" w:after="50"/>
              <w:jc w:val="center"/>
              <w:rPr>
                <w:rFonts w:hint="eastAsia" w:ascii="宋体" w:hAnsi="宋体"/>
                <w:sz w:val="24"/>
              </w:rPr>
            </w:pPr>
          </w:p>
        </w:tc>
        <w:tc>
          <w:tcPr>
            <w:tcW w:w="1039" w:type="dxa"/>
            <w:tcBorders>
              <w:top w:val="single" w:color="auto" w:sz="4" w:space="0"/>
              <w:left w:val="single" w:color="auto" w:sz="4" w:space="0"/>
              <w:bottom w:val="single" w:color="auto" w:sz="4" w:space="0"/>
              <w:right w:val="single" w:color="auto" w:sz="4" w:space="0"/>
            </w:tcBorders>
            <w:noWrap w:val="0"/>
            <w:vAlign w:val="center"/>
          </w:tcPr>
          <w:p w14:paraId="4009EB3A">
            <w:pPr>
              <w:snapToGrid w:val="0"/>
              <w:spacing w:before="50" w:after="50"/>
              <w:jc w:val="center"/>
              <w:rPr>
                <w:rFonts w:hint="eastAsia" w:ascii="宋体" w:hAnsi="宋体"/>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14:paraId="1618657D">
            <w:pPr>
              <w:snapToGrid w:val="0"/>
              <w:spacing w:before="50" w:after="50"/>
              <w:jc w:val="center"/>
              <w:rPr>
                <w:rFonts w:hint="eastAsia" w:ascii="宋体" w:hAnsi="宋体"/>
                <w:sz w:val="24"/>
              </w:rPr>
            </w:pPr>
          </w:p>
        </w:tc>
        <w:tc>
          <w:tcPr>
            <w:tcW w:w="1758" w:type="dxa"/>
            <w:tcBorders>
              <w:top w:val="single" w:color="auto" w:sz="4" w:space="0"/>
              <w:left w:val="single" w:color="auto" w:sz="4" w:space="0"/>
              <w:bottom w:val="single" w:color="auto" w:sz="4" w:space="0"/>
              <w:right w:val="single" w:color="auto" w:sz="4" w:space="0"/>
            </w:tcBorders>
            <w:noWrap w:val="0"/>
            <w:vAlign w:val="top"/>
          </w:tcPr>
          <w:p w14:paraId="422D1C88">
            <w:pPr>
              <w:snapToGrid w:val="0"/>
              <w:spacing w:before="50" w:after="50"/>
              <w:jc w:val="center"/>
              <w:rPr>
                <w:rFonts w:hint="eastAsia" w:ascii="宋体" w:hAnsi="宋体"/>
                <w:sz w:val="24"/>
              </w:rPr>
            </w:pPr>
          </w:p>
        </w:tc>
        <w:tc>
          <w:tcPr>
            <w:tcW w:w="1711" w:type="dxa"/>
            <w:tcBorders>
              <w:top w:val="single" w:color="auto" w:sz="4" w:space="0"/>
              <w:left w:val="single" w:color="auto" w:sz="4" w:space="0"/>
              <w:bottom w:val="single" w:color="auto" w:sz="4" w:space="0"/>
              <w:right w:val="single" w:color="auto" w:sz="4" w:space="0"/>
            </w:tcBorders>
            <w:noWrap w:val="0"/>
            <w:vAlign w:val="center"/>
          </w:tcPr>
          <w:p w14:paraId="52FA736A">
            <w:pPr>
              <w:snapToGrid w:val="0"/>
              <w:spacing w:before="50" w:after="50"/>
              <w:jc w:val="center"/>
              <w:rPr>
                <w:rFonts w:hint="eastAsia" w:ascii="宋体" w:hAnsi="宋体"/>
                <w:sz w:val="24"/>
              </w:rPr>
            </w:pPr>
          </w:p>
        </w:tc>
        <w:tc>
          <w:tcPr>
            <w:tcW w:w="1666" w:type="dxa"/>
            <w:tcBorders>
              <w:top w:val="single" w:color="auto" w:sz="4" w:space="0"/>
              <w:left w:val="single" w:color="auto" w:sz="4" w:space="0"/>
              <w:bottom w:val="single" w:color="auto" w:sz="4" w:space="0"/>
              <w:right w:val="single" w:color="auto" w:sz="4" w:space="0"/>
            </w:tcBorders>
            <w:noWrap w:val="0"/>
            <w:vAlign w:val="center"/>
          </w:tcPr>
          <w:p w14:paraId="14AB43C7">
            <w:pPr>
              <w:snapToGrid w:val="0"/>
              <w:spacing w:before="50" w:after="50"/>
              <w:jc w:val="center"/>
              <w:rPr>
                <w:rFonts w:hint="eastAsia" w:ascii="宋体" w:hAnsi="宋体"/>
                <w:sz w:val="24"/>
              </w:rPr>
            </w:pPr>
          </w:p>
        </w:tc>
        <w:tc>
          <w:tcPr>
            <w:tcW w:w="3205" w:type="dxa"/>
            <w:tcBorders>
              <w:top w:val="single" w:color="auto" w:sz="4" w:space="0"/>
              <w:left w:val="single" w:color="auto" w:sz="4" w:space="0"/>
              <w:bottom w:val="single" w:color="auto" w:sz="4" w:space="0"/>
              <w:right w:val="single" w:color="auto" w:sz="4" w:space="0"/>
            </w:tcBorders>
            <w:noWrap w:val="0"/>
            <w:vAlign w:val="center"/>
          </w:tcPr>
          <w:p w14:paraId="7D0F2D3F">
            <w:pPr>
              <w:snapToGrid w:val="0"/>
              <w:spacing w:before="50" w:after="50"/>
              <w:jc w:val="center"/>
              <w:rPr>
                <w:rFonts w:hint="eastAsia" w:ascii="宋体" w:hAnsi="宋体"/>
                <w:sz w:val="24"/>
              </w:rPr>
            </w:pPr>
          </w:p>
        </w:tc>
      </w:tr>
      <w:tr w14:paraId="1DDAEF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740" w:type="dxa"/>
            <w:tcBorders>
              <w:top w:val="single" w:color="auto" w:sz="4" w:space="0"/>
              <w:left w:val="single" w:color="auto" w:sz="4" w:space="0"/>
              <w:bottom w:val="single" w:color="auto" w:sz="4" w:space="0"/>
              <w:right w:val="single" w:color="auto" w:sz="4" w:space="0"/>
            </w:tcBorders>
            <w:noWrap w:val="0"/>
            <w:vAlign w:val="center"/>
          </w:tcPr>
          <w:p w14:paraId="1DC327D6">
            <w:pPr>
              <w:snapToGrid w:val="0"/>
              <w:spacing w:before="50" w:after="50"/>
              <w:jc w:val="center"/>
              <w:rPr>
                <w:rFonts w:hint="eastAsia" w:ascii="宋体" w:hAnsi="宋体" w:eastAsiaTheme="minorEastAsia"/>
                <w:sz w:val="24"/>
                <w:lang w:eastAsia="zh-CN"/>
              </w:rPr>
            </w:pPr>
            <w:r>
              <w:rPr>
                <w:rFonts w:hint="eastAsia" w:ascii="宋体" w:hAnsi="宋体"/>
                <w:sz w:val="24"/>
                <w:lang w:eastAsia="zh-CN"/>
              </w:rPr>
              <w:t>……</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248CD1C5">
            <w:pPr>
              <w:snapToGrid w:val="0"/>
              <w:spacing w:before="50" w:after="50"/>
              <w:jc w:val="center"/>
              <w:rPr>
                <w:rFonts w:hint="eastAsia" w:ascii="宋体" w:hAnsi="宋体"/>
                <w:sz w:val="24"/>
              </w:rPr>
            </w:pPr>
            <w:r>
              <w:rPr>
                <w:rFonts w:hint="eastAsia" w:ascii="宋体" w:hAnsi="宋体" w:cs="仿宋_GB2312"/>
                <w:sz w:val="24"/>
              </w:rPr>
              <w:t>……</w:t>
            </w:r>
          </w:p>
        </w:tc>
        <w:tc>
          <w:tcPr>
            <w:tcW w:w="1139" w:type="dxa"/>
            <w:tcBorders>
              <w:top w:val="single" w:color="auto" w:sz="4" w:space="0"/>
              <w:left w:val="single" w:color="auto" w:sz="4" w:space="0"/>
              <w:bottom w:val="single" w:color="auto" w:sz="4" w:space="0"/>
              <w:right w:val="single" w:color="auto" w:sz="4" w:space="0"/>
            </w:tcBorders>
            <w:noWrap w:val="0"/>
            <w:vAlign w:val="center"/>
          </w:tcPr>
          <w:p w14:paraId="7C9EB532">
            <w:pPr>
              <w:snapToGrid w:val="0"/>
              <w:spacing w:before="50" w:after="50"/>
              <w:jc w:val="center"/>
              <w:rPr>
                <w:rFonts w:hint="eastAsia" w:ascii="宋体" w:hAnsi="宋体"/>
                <w:sz w:val="24"/>
              </w:rPr>
            </w:pPr>
          </w:p>
        </w:tc>
        <w:tc>
          <w:tcPr>
            <w:tcW w:w="1039" w:type="dxa"/>
            <w:tcBorders>
              <w:top w:val="single" w:color="auto" w:sz="4" w:space="0"/>
              <w:left w:val="single" w:color="auto" w:sz="4" w:space="0"/>
              <w:bottom w:val="single" w:color="auto" w:sz="4" w:space="0"/>
              <w:right w:val="single" w:color="auto" w:sz="4" w:space="0"/>
            </w:tcBorders>
            <w:noWrap w:val="0"/>
            <w:vAlign w:val="center"/>
          </w:tcPr>
          <w:p w14:paraId="76AC7A40">
            <w:pPr>
              <w:snapToGrid w:val="0"/>
              <w:spacing w:before="50" w:after="50"/>
              <w:jc w:val="center"/>
              <w:rPr>
                <w:rFonts w:hint="eastAsia" w:ascii="宋体" w:hAnsi="宋体"/>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14:paraId="1C6A496B">
            <w:pPr>
              <w:snapToGrid w:val="0"/>
              <w:spacing w:before="50" w:after="50"/>
              <w:jc w:val="center"/>
              <w:rPr>
                <w:rFonts w:hint="eastAsia" w:ascii="宋体" w:hAnsi="宋体"/>
                <w:sz w:val="24"/>
              </w:rPr>
            </w:pPr>
          </w:p>
        </w:tc>
        <w:tc>
          <w:tcPr>
            <w:tcW w:w="1758" w:type="dxa"/>
            <w:tcBorders>
              <w:top w:val="single" w:color="auto" w:sz="4" w:space="0"/>
              <w:left w:val="single" w:color="auto" w:sz="4" w:space="0"/>
              <w:bottom w:val="single" w:color="auto" w:sz="4" w:space="0"/>
              <w:right w:val="single" w:color="auto" w:sz="4" w:space="0"/>
            </w:tcBorders>
            <w:noWrap w:val="0"/>
            <w:vAlign w:val="top"/>
          </w:tcPr>
          <w:p w14:paraId="4473C8E6">
            <w:pPr>
              <w:snapToGrid w:val="0"/>
              <w:spacing w:before="50" w:after="50"/>
              <w:jc w:val="center"/>
              <w:rPr>
                <w:rFonts w:hint="eastAsia" w:ascii="宋体" w:hAnsi="宋体"/>
                <w:sz w:val="24"/>
              </w:rPr>
            </w:pPr>
          </w:p>
        </w:tc>
        <w:tc>
          <w:tcPr>
            <w:tcW w:w="1711" w:type="dxa"/>
            <w:tcBorders>
              <w:top w:val="single" w:color="auto" w:sz="4" w:space="0"/>
              <w:left w:val="single" w:color="auto" w:sz="4" w:space="0"/>
              <w:bottom w:val="single" w:color="auto" w:sz="4" w:space="0"/>
              <w:right w:val="single" w:color="auto" w:sz="4" w:space="0"/>
            </w:tcBorders>
            <w:noWrap w:val="0"/>
            <w:vAlign w:val="center"/>
          </w:tcPr>
          <w:p w14:paraId="1BC63A6F">
            <w:pPr>
              <w:snapToGrid w:val="0"/>
              <w:spacing w:before="50" w:after="50"/>
              <w:jc w:val="center"/>
              <w:rPr>
                <w:rFonts w:hint="eastAsia" w:ascii="宋体" w:hAnsi="宋体"/>
                <w:sz w:val="24"/>
              </w:rPr>
            </w:pPr>
          </w:p>
        </w:tc>
        <w:tc>
          <w:tcPr>
            <w:tcW w:w="1666" w:type="dxa"/>
            <w:tcBorders>
              <w:top w:val="single" w:color="auto" w:sz="4" w:space="0"/>
              <w:left w:val="single" w:color="auto" w:sz="4" w:space="0"/>
              <w:bottom w:val="single" w:color="auto" w:sz="4" w:space="0"/>
              <w:right w:val="single" w:color="auto" w:sz="4" w:space="0"/>
            </w:tcBorders>
            <w:noWrap w:val="0"/>
            <w:vAlign w:val="center"/>
          </w:tcPr>
          <w:p w14:paraId="073A6D34">
            <w:pPr>
              <w:snapToGrid w:val="0"/>
              <w:spacing w:before="50" w:after="50"/>
              <w:jc w:val="center"/>
              <w:rPr>
                <w:rFonts w:hint="eastAsia" w:ascii="宋体" w:hAnsi="宋体"/>
                <w:sz w:val="24"/>
              </w:rPr>
            </w:pPr>
          </w:p>
        </w:tc>
        <w:tc>
          <w:tcPr>
            <w:tcW w:w="3205" w:type="dxa"/>
            <w:tcBorders>
              <w:top w:val="single" w:color="auto" w:sz="4" w:space="0"/>
              <w:left w:val="single" w:color="auto" w:sz="4" w:space="0"/>
              <w:bottom w:val="single" w:color="auto" w:sz="4" w:space="0"/>
              <w:right w:val="single" w:color="auto" w:sz="4" w:space="0"/>
            </w:tcBorders>
            <w:noWrap w:val="0"/>
            <w:vAlign w:val="center"/>
          </w:tcPr>
          <w:p w14:paraId="042A87ED">
            <w:pPr>
              <w:snapToGrid w:val="0"/>
              <w:spacing w:before="50" w:after="50"/>
              <w:jc w:val="center"/>
              <w:rPr>
                <w:rFonts w:hint="eastAsia" w:ascii="宋体" w:hAnsi="宋体"/>
                <w:sz w:val="24"/>
              </w:rPr>
            </w:pPr>
          </w:p>
        </w:tc>
      </w:tr>
    </w:tbl>
    <w:p w14:paraId="622B2F85">
      <w:pPr>
        <w:spacing w:line="360" w:lineRule="auto"/>
        <w:contextualSpacing/>
        <w:rPr>
          <w:rFonts w:hint="eastAsia" w:ascii="宋体" w:hAnsi="宋体"/>
          <w:sz w:val="24"/>
        </w:rPr>
      </w:pPr>
      <w:r>
        <w:rPr>
          <w:rFonts w:hint="eastAsia" w:ascii="宋体" w:hAnsi="宋体"/>
          <w:sz w:val="24"/>
        </w:rPr>
        <w:t>备注：</w:t>
      </w:r>
    </w:p>
    <w:p w14:paraId="282F6AB3">
      <w:pPr>
        <w:tabs>
          <w:tab w:val="left" w:pos="1065"/>
        </w:tabs>
        <w:adjustRightInd w:val="0"/>
        <w:spacing w:line="360" w:lineRule="auto"/>
        <w:ind w:firstLine="482" w:firstLineChars="200"/>
        <w:contextualSpacing/>
        <w:rPr>
          <w:rFonts w:hint="eastAsia" w:ascii="宋体" w:hAnsi="宋体" w:cs="仿宋_GB2312"/>
          <w:sz w:val="24"/>
        </w:rPr>
      </w:pPr>
      <w:r>
        <w:rPr>
          <w:rFonts w:hint="eastAsia" w:ascii="宋体" w:hAnsi="宋体"/>
          <w:b/>
          <w:bCs/>
          <w:sz w:val="24"/>
        </w:rPr>
        <w:t>以上货物配置清单中“货物名称、数量及单位、品牌、规格型号、制造商、原产地、参数性能、指标及配置”必须如实填写完整，品牌、规格型号没有则填无，填写有缺漏的，响应文件按无效响应处理</w:t>
      </w:r>
      <w:r>
        <w:rPr>
          <w:rFonts w:hint="eastAsia" w:ascii="宋体" w:hAnsi="宋体"/>
          <w:b/>
          <w:sz w:val="24"/>
        </w:rPr>
        <w:t>。</w:t>
      </w:r>
      <w:r>
        <w:rPr>
          <w:rFonts w:hint="eastAsia" w:ascii="宋体" w:hAnsi="宋体"/>
          <w:sz w:val="24"/>
        </w:rPr>
        <w:t>货物名称、数量及单位、品牌必须与“竞标报价表”一致，</w:t>
      </w:r>
      <w:r>
        <w:rPr>
          <w:rFonts w:hint="eastAsia" w:ascii="宋体" w:hAnsi="宋体"/>
          <w:bCs/>
          <w:sz w:val="24"/>
        </w:rPr>
        <w:t>否则响应文件按无效响应处理</w:t>
      </w:r>
      <w:r>
        <w:rPr>
          <w:rFonts w:hint="eastAsia" w:ascii="宋体" w:hAnsi="宋体"/>
          <w:b/>
          <w:sz w:val="24"/>
        </w:rPr>
        <w:t>。</w:t>
      </w:r>
      <w:r>
        <w:rPr>
          <w:rFonts w:hint="eastAsia" w:ascii="宋体" w:hAnsi="宋体" w:cs="仿宋_GB2312"/>
          <w:sz w:val="24"/>
        </w:rPr>
        <w:tab/>
      </w:r>
    </w:p>
    <w:p w14:paraId="08A5DF5C">
      <w:pPr>
        <w:adjustRightInd w:val="0"/>
        <w:spacing w:line="360" w:lineRule="auto"/>
        <w:contextualSpacing/>
        <w:jc w:val="left"/>
        <w:rPr>
          <w:rFonts w:hint="eastAsia" w:ascii="宋体" w:hAnsi="宋体" w:cs="仿宋_GB2312"/>
          <w:sz w:val="24"/>
        </w:rPr>
      </w:pPr>
    </w:p>
    <w:p w14:paraId="2DBFC455">
      <w:pPr>
        <w:adjustRightInd w:val="0"/>
        <w:spacing w:line="360" w:lineRule="auto"/>
        <w:contextualSpacing/>
        <w:jc w:val="left"/>
        <w:rPr>
          <w:rFonts w:hint="eastAsia" w:ascii="宋体" w:hAnsi="宋体" w:cs="仿宋_GB2312"/>
          <w:sz w:val="24"/>
        </w:rPr>
      </w:pPr>
    </w:p>
    <w:p w14:paraId="6FF55335">
      <w:pPr>
        <w:adjustRightInd w:val="0"/>
        <w:spacing w:line="360" w:lineRule="auto"/>
        <w:contextualSpacing/>
        <w:jc w:val="left"/>
        <w:rPr>
          <w:rFonts w:hint="eastAsia" w:ascii="宋体" w:hAnsi="宋体" w:cs="仿宋_GB2312"/>
          <w:sz w:val="24"/>
        </w:rPr>
      </w:pPr>
    </w:p>
    <w:p w14:paraId="47385C51">
      <w:pPr>
        <w:spacing w:line="360" w:lineRule="auto"/>
        <w:ind w:right="-817" w:rightChars="-389"/>
        <w:contextualSpacing/>
        <w:jc w:val="center"/>
        <w:rPr>
          <w:rFonts w:hint="eastAsia" w:ascii="宋体" w:hAnsi="宋体" w:cs="仿宋_GB2312"/>
          <w:sz w:val="24"/>
        </w:rPr>
      </w:pPr>
      <w:r>
        <w:rPr>
          <w:rFonts w:hint="eastAsia" w:ascii="宋体" w:hAnsi="宋体" w:cs="仿宋_GB2312"/>
          <w:sz w:val="24"/>
        </w:rPr>
        <w:t>法定代表人或者委托代理人（签字）：</w:t>
      </w:r>
    </w:p>
    <w:p w14:paraId="72A9EC0D">
      <w:pPr>
        <w:spacing w:line="360" w:lineRule="auto"/>
        <w:ind w:right="-817" w:rightChars="-389" w:firstLine="7560" w:firstLineChars="3150"/>
        <w:contextualSpacing/>
        <w:rPr>
          <w:rFonts w:hint="eastAsia" w:ascii="宋体" w:hAnsi="宋体" w:cs="仿宋_GB2312"/>
          <w:sz w:val="24"/>
        </w:rPr>
      </w:pPr>
      <w:r>
        <w:rPr>
          <w:rFonts w:hint="eastAsia" w:ascii="宋体" w:hAnsi="宋体" w:cs="仿宋_GB2312"/>
          <w:sz w:val="24"/>
        </w:rPr>
        <w:t xml:space="preserve">供应商（盖公章）：      </w:t>
      </w:r>
    </w:p>
    <w:p w14:paraId="5CE3C8E1">
      <w:pPr>
        <w:spacing w:line="360" w:lineRule="auto"/>
        <w:ind w:right="-817" w:rightChars="-389" w:firstLine="8640" w:firstLineChars="3600"/>
        <w:contextualSpacing/>
        <w:rPr>
          <w:rFonts w:hint="default"/>
          <w:lang w:val="en-US" w:eastAsia="zh-CN"/>
        </w:rPr>
      </w:pPr>
      <w:r>
        <w:rPr>
          <w:rFonts w:hint="eastAsia" w:ascii="宋体" w:hAnsi="宋体" w:cs="仿宋_GB2312"/>
          <w:sz w:val="24"/>
        </w:rPr>
        <w:t>日</w:t>
      </w:r>
      <w:r>
        <w:rPr>
          <w:rFonts w:hint="eastAsia" w:ascii="宋体" w:hAnsi="宋体" w:cs="仿宋_GB2312"/>
          <w:sz w:val="24"/>
          <w:lang w:val="en-US" w:eastAsia="zh-CN"/>
        </w:rPr>
        <w:t xml:space="preserve">  </w:t>
      </w:r>
      <w:r>
        <w:rPr>
          <w:rFonts w:hint="eastAsia" w:ascii="宋体" w:hAnsi="宋体" w:cs="仿宋_GB2312"/>
          <w:sz w:val="24"/>
        </w:rPr>
        <w:t xml:space="preserve">期：   </w:t>
      </w:r>
      <w:r>
        <w:rPr>
          <w:rFonts w:hint="eastAsia" w:ascii="宋体" w:hAnsi="宋体" w:cs="仿宋_GB2312"/>
          <w:sz w:val="24"/>
          <w:lang w:val="en-US" w:eastAsia="zh-CN"/>
        </w:rPr>
        <w:t xml:space="preserve"> </w:t>
      </w:r>
      <w:r>
        <w:rPr>
          <w:rFonts w:hint="eastAsia" w:ascii="宋体" w:hAnsi="宋体" w:cs="仿宋_GB2312"/>
          <w:sz w:val="24"/>
        </w:rPr>
        <w:t>年   月   日</w:t>
      </w:r>
    </w:p>
    <w:p w14:paraId="4177FF5F">
      <w:pPr>
        <w:pStyle w:val="6"/>
        <w:rPr>
          <w:rFonts w:asciiTheme="minorEastAsia" w:hAnsiTheme="minorEastAsia"/>
          <w:color w:val="000000" w:themeColor="text1"/>
          <w14:textFill>
            <w14:solidFill>
              <w14:schemeClr w14:val="tx1"/>
            </w14:solidFill>
          </w14:textFill>
        </w:rPr>
      </w:pPr>
    </w:p>
    <w:p w14:paraId="532B8EBC">
      <w:pPr>
        <w:rPr>
          <w:rFonts w:asciiTheme="minorEastAsia" w:hAnsiTheme="minorEastAsia"/>
          <w:color w:val="000000" w:themeColor="text1"/>
          <w14:textFill>
            <w14:solidFill>
              <w14:schemeClr w14:val="tx1"/>
            </w14:solidFill>
          </w14:textFill>
        </w:rPr>
      </w:pPr>
    </w:p>
    <w:sectPr>
      <w:pgSz w:w="16838" w:h="11906" w:orient="landscape"/>
      <w:pgMar w:top="1134" w:right="1134" w:bottom="964" w:left="1134"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73FC266B-9337-42D5-8BEB-EA55DDD40C6F}"/>
  </w:font>
  <w:font w:name="方正小标宋简体">
    <w:panose1 w:val="02000000000000000000"/>
    <w:charset w:val="86"/>
    <w:family w:val="auto"/>
    <w:pitch w:val="default"/>
    <w:sig w:usb0="00000001" w:usb1="08000000" w:usb2="00000000" w:usb3="00000000" w:csb0="00040000" w:csb1="00000000"/>
    <w:embedRegular r:id="rId2" w:fontKey="{26111A53-3E4C-4975-AF87-F5009245FA8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VmZjg2YTI3MzFkMjAxNzMxY2QzYWJiM2UyZTFiOTcifQ=="/>
  </w:docVars>
  <w:rsids>
    <w:rsidRoot w:val="3E1223A7"/>
    <w:rsid w:val="00002129"/>
    <w:rsid w:val="00043633"/>
    <w:rsid w:val="00153757"/>
    <w:rsid w:val="00174359"/>
    <w:rsid w:val="00270A9F"/>
    <w:rsid w:val="002E1D63"/>
    <w:rsid w:val="0045409E"/>
    <w:rsid w:val="00472C80"/>
    <w:rsid w:val="00497BF5"/>
    <w:rsid w:val="0053205E"/>
    <w:rsid w:val="00533EEF"/>
    <w:rsid w:val="00556EC9"/>
    <w:rsid w:val="00557249"/>
    <w:rsid w:val="00680C16"/>
    <w:rsid w:val="0086286A"/>
    <w:rsid w:val="00864970"/>
    <w:rsid w:val="008A4588"/>
    <w:rsid w:val="008F24B9"/>
    <w:rsid w:val="00921620"/>
    <w:rsid w:val="0097595E"/>
    <w:rsid w:val="00980150"/>
    <w:rsid w:val="009F4037"/>
    <w:rsid w:val="00AE0FAC"/>
    <w:rsid w:val="00C82395"/>
    <w:rsid w:val="00CC11A6"/>
    <w:rsid w:val="00D65597"/>
    <w:rsid w:val="00E957E2"/>
    <w:rsid w:val="00F45AF2"/>
    <w:rsid w:val="00F7638D"/>
    <w:rsid w:val="00FC2E6B"/>
    <w:rsid w:val="00FF1D4C"/>
    <w:rsid w:val="014F5B60"/>
    <w:rsid w:val="03327195"/>
    <w:rsid w:val="04FD782D"/>
    <w:rsid w:val="05DB24F2"/>
    <w:rsid w:val="06355F3A"/>
    <w:rsid w:val="09501A6A"/>
    <w:rsid w:val="0993711A"/>
    <w:rsid w:val="0D285C33"/>
    <w:rsid w:val="10A963F1"/>
    <w:rsid w:val="11157F9A"/>
    <w:rsid w:val="131C0CEA"/>
    <w:rsid w:val="13F413FD"/>
    <w:rsid w:val="18543E13"/>
    <w:rsid w:val="18CC4F09"/>
    <w:rsid w:val="1BB66010"/>
    <w:rsid w:val="1D8470B2"/>
    <w:rsid w:val="233A516A"/>
    <w:rsid w:val="2385461C"/>
    <w:rsid w:val="249420CC"/>
    <w:rsid w:val="25D54AB7"/>
    <w:rsid w:val="26262AD8"/>
    <w:rsid w:val="26B46417"/>
    <w:rsid w:val="287870DC"/>
    <w:rsid w:val="2BD22531"/>
    <w:rsid w:val="2DCD65EA"/>
    <w:rsid w:val="2E9478E3"/>
    <w:rsid w:val="327F06BA"/>
    <w:rsid w:val="3E1223A7"/>
    <w:rsid w:val="4007210B"/>
    <w:rsid w:val="405B5CC3"/>
    <w:rsid w:val="405B76F1"/>
    <w:rsid w:val="40841637"/>
    <w:rsid w:val="40A41CF6"/>
    <w:rsid w:val="41974043"/>
    <w:rsid w:val="41C93093"/>
    <w:rsid w:val="42276DED"/>
    <w:rsid w:val="427472FC"/>
    <w:rsid w:val="42B15A64"/>
    <w:rsid w:val="45987AC4"/>
    <w:rsid w:val="45E6376A"/>
    <w:rsid w:val="46475E01"/>
    <w:rsid w:val="47E1157D"/>
    <w:rsid w:val="484C7BB4"/>
    <w:rsid w:val="48BE77D7"/>
    <w:rsid w:val="4A1B7409"/>
    <w:rsid w:val="4B683BB6"/>
    <w:rsid w:val="4BC04ACC"/>
    <w:rsid w:val="4DAB0370"/>
    <w:rsid w:val="4E92147B"/>
    <w:rsid w:val="50902654"/>
    <w:rsid w:val="526A6BEC"/>
    <w:rsid w:val="52974611"/>
    <w:rsid w:val="537579AB"/>
    <w:rsid w:val="55E216AF"/>
    <w:rsid w:val="56347BA0"/>
    <w:rsid w:val="58E902F0"/>
    <w:rsid w:val="5A3A316A"/>
    <w:rsid w:val="5B4A75DB"/>
    <w:rsid w:val="5F3C66BA"/>
    <w:rsid w:val="60624D46"/>
    <w:rsid w:val="612406E2"/>
    <w:rsid w:val="62B36DF6"/>
    <w:rsid w:val="63266C1F"/>
    <w:rsid w:val="64700F42"/>
    <w:rsid w:val="66BC03D6"/>
    <w:rsid w:val="6A253E43"/>
    <w:rsid w:val="6A3A5116"/>
    <w:rsid w:val="6AE627F7"/>
    <w:rsid w:val="6F1624D6"/>
    <w:rsid w:val="6F99327A"/>
    <w:rsid w:val="704C48DF"/>
    <w:rsid w:val="73A912AC"/>
    <w:rsid w:val="749B6EEB"/>
    <w:rsid w:val="77D20410"/>
    <w:rsid w:val="78517803"/>
    <w:rsid w:val="7B634267"/>
    <w:rsid w:val="7C0137DC"/>
    <w:rsid w:val="7C4C2E21"/>
    <w:rsid w:val="7D577E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iPriority="0" w:name="annotation text"/>
    <w:lsdException w:qFormat="1"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qFormat="1" w:uiPriority="99" w:semiHidden="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ind w:firstLine="420"/>
    </w:pPr>
    <w:rPr>
      <w:rFonts w:ascii="Calibri" w:hAnsi="Calibri"/>
      <w:szCs w:val="20"/>
    </w:rPr>
  </w:style>
  <w:style w:type="paragraph" w:styleId="3">
    <w:name w:val="annotation text"/>
    <w:basedOn w:val="1"/>
    <w:semiHidden/>
    <w:unhideWhenUsed/>
    <w:qFormat/>
    <w:uiPriority w:val="0"/>
    <w:pPr>
      <w:jc w:val="left"/>
    </w:pPr>
  </w:style>
  <w:style w:type="paragraph" w:styleId="4">
    <w:name w:val="Body Text"/>
    <w:basedOn w:val="1"/>
    <w:next w:val="1"/>
    <w:qFormat/>
    <w:uiPriority w:val="0"/>
    <w:pPr>
      <w:spacing w:line="380" w:lineRule="exact"/>
    </w:pPr>
    <w:rPr>
      <w:sz w:val="24"/>
    </w:rPr>
  </w:style>
  <w:style w:type="paragraph" w:styleId="5">
    <w:name w:val="Body Text Indent"/>
    <w:basedOn w:val="1"/>
    <w:qFormat/>
    <w:uiPriority w:val="0"/>
    <w:pPr>
      <w:ind w:firstLine="830" w:firstLineChars="352"/>
    </w:pPr>
    <w:rPr>
      <w:rFonts w:ascii="仿宋_GB2312" w:eastAsia="仿宋_GB2312" w:cs="仿宋_GB2312"/>
      <w:sz w:val="32"/>
      <w:szCs w:val="32"/>
    </w:rPr>
  </w:style>
  <w:style w:type="paragraph" w:styleId="6">
    <w:name w:val="List 2"/>
    <w:basedOn w:val="1"/>
    <w:unhideWhenUsed/>
    <w:qFormat/>
    <w:uiPriority w:val="99"/>
    <w:pPr>
      <w:ind w:left="100" w:leftChars="200" w:hanging="200" w:hangingChars="200"/>
      <w:contextualSpacing/>
    </w:pPr>
  </w:style>
  <w:style w:type="paragraph" w:styleId="7">
    <w:name w:val="footer"/>
    <w:basedOn w:val="1"/>
    <w:link w:val="20"/>
    <w:unhideWhenUsed/>
    <w:qFormat/>
    <w:uiPriority w:val="0"/>
    <w:pPr>
      <w:tabs>
        <w:tab w:val="center" w:pos="4153"/>
        <w:tab w:val="right" w:pos="8306"/>
      </w:tabs>
      <w:snapToGrid w:val="0"/>
      <w:jc w:val="left"/>
    </w:pPr>
    <w:rPr>
      <w:sz w:val="18"/>
      <w:szCs w:val="18"/>
    </w:rPr>
  </w:style>
  <w:style w:type="paragraph" w:styleId="8">
    <w:name w:val="header"/>
    <w:basedOn w:val="1"/>
    <w:link w:val="19"/>
    <w:unhideWhenUsed/>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First Indent"/>
    <w:basedOn w:val="4"/>
    <w:qFormat/>
    <w:uiPriority w:val="0"/>
    <w:pPr>
      <w:spacing w:line="240" w:lineRule="auto"/>
      <w:ind w:firstLine="420" w:firstLineChars="100"/>
    </w:pPr>
    <w:rPr>
      <w:sz w:val="21"/>
    </w:rPr>
  </w:style>
  <w:style w:type="paragraph" w:styleId="10">
    <w:name w:val="Body Text First Indent 2"/>
    <w:basedOn w:val="5"/>
    <w:next w:val="2"/>
    <w:qFormat/>
    <w:uiPriority w:val="0"/>
    <w:pPr>
      <w:spacing w:after="120"/>
      <w:ind w:left="420" w:leftChars="200" w:firstLine="420" w:firstLineChars="200"/>
    </w:pPr>
    <w:rPr>
      <w:rFonts w:ascii="Times New Roman" w:eastAsia="宋体"/>
      <w:sz w:val="21"/>
      <w:szCs w:val="24"/>
    </w:rPr>
  </w:style>
  <w:style w:type="paragraph" w:styleId="13">
    <w:name w:val="List Paragraph"/>
    <w:basedOn w:val="1"/>
    <w:qFormat/>
    <w:uiPriority w:val="99"/>
    <w:pPr>
      <w:ind w:firstLine="420" w:firstLineChars="200"/>
    </w:pPr>
  </w:style>
  <w:style w:type="character" w:customStyle="1" w:styleId="14">
    <w:name w:val="font21"/>
    <w:basedOn w:val="12"/>
    <w:qFormat/>
    <w:uiPriority w:val="0"/>
    <w:rPr>
      <w:rFonts w:hint="eastAsia" w:ascii="宋体" w:hAnsi="宋体" w:eastAsia="宋体" w:cs="宋体"/>
      <w:color w:val="FF0000"/>
      <w:sz w:val="21"/>
      <w:szCs w:val="21"/>
      <w:u w:val="none"/>
    </w:rPr>
  </w:style>
  <w:style w:type="character" w:customStyle="1" w:styleId="15">
    <w:name w:val="font51"/>
    <w:basedOn w:val="12"/>
    <w:qFormat/>
    <w:uiPriority w:val="0"/>
    <w:rPr>
      <w:rFonts w:hint="eastAsia" w:ascii="宋体" w:hAnsi="宋体" w:eastAsia="宋体" w:cs="宋体"/>
      <w:color w:val="FF0000"/>
      <w:sz w:val="21"/>
      <w:szCs w:val="21"/>
      <w:u w:val="single"/>
    </w:rPr>
  </w:style>
  <w:style w:type="character" w:customStyle="1" w:styleId="16">
    <w:name w:val="font61"/>
    <w:basedOn w:val="12"/>
    <w:qFormat/>
    <w:uiPriority w:val="0"/>
    <w:rPr>
      <w:rFonts w:hint="eastAsia" w:ascii="宋体" w:hAnsi="宋体" w:eastAsia="宋体" w:cs="宋体"/>
      <w:color w:val="000000"/>
      <w:sz w:val="21"/>
      <w:szCs w:val="21"/>
      <w:u w:val="none"/>
    </w:rPr>
  </w:style>
  <w:style w:type="character" w:customStyle="1" w:styleId="17">
    <w:name w:val="font31"/>
    <w:basedOn w:val="12"/>
    <w:qFormat/>
    <w:uiPriority w:val="0"/>
    <w:rPr>
      <w:rFonts w:hint="eastAsia" w:ascii="宋体" w:hAnsi="宋体" w:eastAsia="宋体" w:cs="宋体"/>
      <w:color w:val="000000"/>
      <w:sz w:val="21"/>
      <w:szCs w:val="21"/>
      <w:u w:val="none"/>
    </w:rPr>
  </w:style>
  <w:style w:type="character" w:customStyle="1" w:styleId="18">
    <w:name w:val="font41"/>
    <w:basedOn w:val="12"/>
    <w:qFormat/>
    <w:uiPriority w:val="0"/>
    <w:rPr>
      <w:rFonts w:hint="eastAsia" w:ascii="宋体" w:hAnsi="宋体" w:eastAsia="宋体" w:cs="宋体"/>
      <w:color w:val="000000"/>
      <w:sz w:val="21"/>
      <w:szCs w:val="21"/>
      <w:u w:val="single"/>
    </w:rPr>
  </w:style>
  <w:style w:type="character" w:customStyle="1" w:styleId="19">
    <w:name w:val="页眉 Char"/>
    <w:basedOn w:val="12"/>
    <w:link w:val="8"/>
    <w:qFormat/>
    <w:uiPriority w:val="0"/>
    <w:rPr>
      <w:rFonts w:asciiTheme="minorHAnsi" w:hAnsiTheme="minorHAnsi" w:eastAsiaTheme="minorEastAsia" w:cstheme="minorBidi"/>
      <w:kern w:val="2"/>
      <w:sz w:val="18"/>
      <w:szCs w:val="18"/>
    </w:rPr>
  </w:style>
  <w:style w:type="character" w:customStyle="1" w:styleId="20">
    <w:name w:val="页脚 Char"/>
    <w:basedOn w:val="12"/>
    <w:link w:val="7"/>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8</Pages>
  <Words>5249</Words>
  <Characters>5680</Characters>
  <Lines>74</Lines>
  <Paragraphs>20</Paragraphs>
  <TotalTime>9</TotalTime>
  <ScaleCrop>false</ScaleCrop>
  <LinksUpToDate>false</LinksUpToDate>
  <CharactersWithSpaces>5953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2023-03-05T09:38:00Z</dcterms:created>
  <dc:creator>[资产-收发秘书]李泳</dc:creator>
  <cp:lastModifiedBy>L</cp:lastModifiedBy>
  <dcterms:modified xsi:type="dcterms:W3CDTF">2026-08-27T07:57:09Z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6000DC886E0C405DBCCBC4CEA1147FFC_13</vt:lpwstr>
  </property>
  <property fmtid="{D5CDD505-2E9C-101B-9397-08002B2CF9AE}" pid="4" name="KSOTemplateDocerSaveRecord">
    <vt:lpwstr>eyJoZGlkIjoiZmRhMDJkNDU5Yjk0Zjk0OGU3MmI4MjI5NjAxZjcwYTEiLCJ1c2VySWQiOiI0Nzg4MTg3MTkifQ==</vt:lpwstr>
  </property>
</Properties>
</file>