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B40B4">
      <w:pP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商务要求及其他</w:t>
      </w:r>
    </w:p>
    <w:p w14:paraId="2AD35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0" w:name="heading_0"/>
      <w:r>
        <w:rPr>
          <w:rFonts w:hint="eastAsia" w:ascii="宋体" w:hAnsi="宋体" w:eastAsia="宋体" w:cs="宋体"/>
          <w:b/>
          <w:sz w:val="24"/>
          <w:szCs w:val="24"/>
        </w:rPr>
        <w:t>一、供应商基本资质要求</w:t>
      </w:r>
      <w:bookmarkEnd w:id="0"/>
    </w:p>
    <w:p w14:paraId="22147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供应商须为国内依法注册、可独立承担民事责任的法人或其他组织，投标时需提供加盖公章的有效三证合一营业执照复印件。分支机构参与投标的，须提供总公司专项书面授权文件，授权范围覆盖本项目投标、报价、答疑、澄清、签约、履约、验收、售后全流程，授权有效期覆盖项目全采购及履约周期，否则按无效响应处理。</w:t>
      </w:r>
    </w:p>
    <w:p w14:paraId="60628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供应商具备健全的财务会计制度。成立满12个月及以上的，须提供2025年度财务审计报告；2026年新成立、成立未满12个月的，可提供银行资信证明及近期财务报表。未按要求提供有效财务资料或财务状况异常的，采购人有权判定无效响应，取消其预成交、成交资格。</w:t>
      </w:r>
    </w:p>
    <w:p w14:paraId="12D89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供应商经营状态良好，无司法、行政机关认定的资不抵债、破产、清算、重整情形，未被列入国家企业信用信息公示系统经营异常名录、严重违法失信名单。项目采购全周期内，任一环节核查发现经营异常的，直接取消投标及成交资格、终止合作。</w:t>
      </w:r>
    </w:p>
    <w:p w14:paraId="0D9D8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供应商未被“信用中国”网站列入失信被执行人、重大税收违法失信主体、政府采购严重违法失信名单，未被中国政府采购网列入政府采购严重违法失信信息名单。</w:t>
      </w:r>
    </w:p>
    <w:p w14:paraId="329B7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 本项目不接受联合体投标，严禁挂靠投标、违法分包、转包。</w:t>
      </w:r>
    </w:p>
    <w:p w14:paraId="1701C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 所有资质、信用、证照资料以采购公告发布当日状态为准，须真实有效、清晰可辨。存在资料造假、弄虚作假情形的，取消其预成交、成交资格，并纳入采购人失信供应商名录。</w:t>
      </w:r>
    </w:p>
    <w:p w14:paraId="771C4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1" w:name="heading_1"/>
      <w:r>
        <w:rPr>
          <w:rFonts w:hint="eastAsia" w:ascii="宋体" w:hAnsi="宋体" w:eastAsia="宋体" w:cs="宋体"/>
          <w:b/>
          <w:sz w:val="24"/>
          <w:szCs w:val="24"/>
        </w:rPr>
        <w:t>二、投标、报价及签约要求</w:t>
      </w:r>
      <w:bookmarkEnd w:id="1"/>
    </w:p>
    <w:p w14:paraId="51AE6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供应商投标、报价及技术响应须完全匹配本项目采购需求、技术参数及全部商务要求，无任何负偏离。优先采用招标文件推荐品牌型号报价；若选用替代型号，须提交加盖公章的参数对比、性能佐证、优势说明材料，明确列明配置、性能、能效差异。替代产品综合性能、配置、质保低于参考型号或未按要求提交佐证资料的，直接判定为无效响应。</w:t>
      </w:r>
    </w:p>
    <w:p w14:paraId="72C26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本项目采用固定总价闭口包干报价，合同总价不作任何调整。报价包含货物本体、配件、辅材、包装、运输装卸、进场就位、安装调试、系统联调、检测验收、资料归档、税费、操作培训、售后维保、运输损耗、人工成本及各类履约风险等项目全部费用，采购人无需额外支付任何费用。</w:t>
      </w:r>
    </w:p>
    <w:p w14:paraId="4BBC7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成交结果公示无异议后，成交供应商须在公示期满3个自然日内，通过政采云平台完成合同起草、确认及提交。逾期未提交、拒不签约的，视为自动放弃成交资格及单方违约，采购人有权作废成交结果、重新采购，并将其纳入失信供应商记录。</w:t>
      </w:r>
    </w:p>
    <w:p w14:paraId="0A381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2" w:name="heading_2"/>
      <w:r>
        <w:rPr>
          <w:rFonts w:hint="eastAsia" w:ascii="宋体" w:hAnsi="宋体" w:eastAsia="宋体" w:cs="宋体"/>
          <w:b/>
          <w:sz w:val="24"/>
          <w:szCs w:val="24"/>
        </w:rPr>
        <w:t>三、交货、验收标准及售后服务要求</w:t>
      </w:r>
      <w:bookmarkEnd w:id="2"/>
    </w:p>
    <w:p w14:paraId="05DC7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供货及交付要求：合同签订之日起15个工作日内完成供货、安装、调试并交付投用，最终交付截止时间不得晚于2026年9月24日</w:t>
      </w:r>
      <w:bookmarkStart w:id="5" w:name="_GoBack"/>
      <w:bookmarkEnd w:id="5"/>
      <w:r>
        <w:rPr>
          <w:rFonts w:hint="eastAsia" w:ascii="宋体" w:hAnsi="宋体" w:eastAsia="宋体" w:cs="宋体"/>
          <w:sz w:val="24"/>
          <w:szCs w:val="24"/>
        </w:rPr>
        <w:t>。交货地点为采购人指定现场，供应商负责全程运输、卸货、就位、现场清洁，承担全过程运输、施工安全及货物破损风险。</w:t>
      </w:r>
    </w:p>
    <w:p w14:paraId="0277C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验收标准：本项目带★参数为实质性核心一票否决项，投标产品须全部满足，任意一项不满足即判定无效响应、取消成交资格。所有供货设备须为原厂全新正品、全新未拆封、正规批次，无翻新、拆机、改装、积压库存产品。验收依据为项目技术需求、供应商投标响应文件及国家现行行业质量标准与验收规范。</w:t>
      </w:r>
    </w:p>
    <w:p w14:paraId="5DC56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违约处置：供货产品规格、质量、性能与投标响应不符或验收不合格的，供应商须按采购人要求无条件退换货、限期整改至合格。逾期履约、整改不合格的，视为严重违约。采购人有权单方终止合同、追责索赔，扣除相应履约保证金，由此产生的二次采购差价、工期延误、人工及配套损失全部由供应商承担。</w:t>
      </w:r>
    </w:p>
    <w:p w14:paraId="50E8F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质保服务：项目整体验收合格、正式投用当日起，设备整机质保、软件免费升级、技术支持服务期限不少于3年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除项目专项约定外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，严格执行国家三包政策。原厂质保标准优于本项目要求的，按原厂更高标准执行。质保期内，供应商免费提供上门维修、原厂零配件更换、故障排查、系统调试服务，无任何隐形收费。</w:t>
      </w:r>
    </w:p>
    <w:p w14:paraId="1A1F0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 售后响应要求：质保期内提供7×24小时技术咨询服务，故障响应时限不超过2小时，现场上门处置不超过24小时，重大故障优先加急处置。</w:t>
      </w:r>
    </w:p>
    <w:p w14:paraId="1E899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3" w:name="heading_3"/>
      <w:r>
        <w:rPr>
          <w:rFonts w:hint="eastAsia" w:ascii="宋体" w:hAnsi="宋体" w:eastAsia="宋体" w:cs="宋体"/>
          <w:b/>
          <w:sz w:val="24"/>
          <w:szCs w:val="24"/>
        </w:rPr>
        <w:t>四、付款方式</w:t>
      </w:r>
      <w:bookmarkEnd w:id="3"/>
    </w:p>
    <w:p w14:paraId="72D9B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本项目无预付款。项目全部供货、安装调试完成，整体验收合格且设备正常投用后，供应商提交合法有效增值税发票及全套结算资料，采购人审核无误后20个工作日内一次性支付100%合同价款。</w:t>
      </w:r>
    </w:p>
    <w:p w14:paraId="79973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因供应商资料缺失、发票有误、验收不合格、履约违规等自身原因造成付款延迟的，采购人不承担逾期付款责任，不计付利息及违约金。</w:t>
      </w:r>
    </w:p>
    <w:p w14:paraId="5193A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4" w:name="heading_4"/>
      <w:r>
        <w:rPr>
          <w:rFonts w:hint="eastAsia" w:ascii="宋体" w:hAnsi="宋体" w:eastAsia="宋体" w:cs="宋体"/>
          <w:b/>
          <w:sz w:val="24"/>
          <w:szCs w:val="24"/>
        </w:rPr>
        <w:t>五、其他要求</w:t>
      </w:r>
      <w:bookmarkEnd w:id="4"/>
    </w:p>
    <w:p w14:paraId="513C0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供应商竞价、投标须按平台要求，完整上传加盖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sz w:val="24"/>
          <w:szCs w:val="24"/>
        </w:rPr>
        <w:t>章的报价文件、技术响应文件、商务响应文件及全套资质佐证资料，文件须清晰完整、页码齐全、内容对应，缺失核心资料视为无效响应。</w:t>
      </w:r>
    </w:p>
    <w:p w14:paraId="21517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采购全周期内，采购人及监管部门有权核查所有投标及履约资料原件，供应商须无条件配合。无法提供原件、原件与扫描件不一致或资料造假的，取消其预成交、成交资格、终止合同并追责索赔。</w:t>
      </w:r>
    </w:p>
    <w:p w14:paraId="6FB0361C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A0D1E"/>
    <w:rsid w:val="04597575"/>
    <w:rsid w:val="19C55CA2"/>
    <w:rsid w:val="413E2A46"/>
    <w:rsid w:val="54CB0CB0"/>
    <w:rsid w:val="56CC14F3"/>
    <w:rsid w:val="58D16B27"/>
    <w:rsid w:val="5E2B1880"/>
    <w:rsid w:val="61180268"/>
    <w:rsid w:val="706A0D1E"/>
    <w:rsid w:val="72D8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1918</Words>
  <Characters>1953</Characters>
  <Lines>0</Lines>
  <Paragraphs>0</Paragraphs>
  <TotalTime>34</TotalTime>
  <ScaleCrop>false</ScaleCrop>
  <LinksUpToDate>false</LinksUpToDate>
  <CharactersWithSpaces>1969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2026-06-25T03:39:00Z</dcterms:created>
  <dc:creator>yc</dc:creator>
  <cp:lastModifiedBy>yc</cp:lastModifiedBy>
  <dcterms:modified xsi:type="dcterms:W3CDTF">2026-06-29T02:22:51Z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94CADB7DAF484091B1A2EBF0CCA6CDBC_11</vt:lpwstr>
  </property>
  <property fmtid="{D5CDD505-2E9C-101B-9397-08002B2CF9AE}" pid="4" name="KSOTemplateDocerSaveRecord">
    <vt:lpwstr>eyJoZGlkIjoiODM3NWFiMWVjOTZjNTc4MGNjZDYyZTBjYjQ1NmI3ZDEiLCJ1c2VySWQiOiIzNjEwMzM5MDcifQ==</vt:lpwstr>
  </property>
</Properties>
</file>