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C6CAD">
      <w:pPr>
        <w:spacing w:line="20" w:lineRule="atLeast"/>
        <w:rPr>
          <w:rFonts w:ascii="宋体" w:hAnsi="宋体" w:cs="宋体"/>
          <w:bCs/>
          <w:color w:val="000000"/>
          <w:kern w:val="0"/>
          <w:sz w:val="24"/>
        </w:rPr>
      </w:pPr>
      <w:bookmarkStart w:id="0" w:name="OLE_LINK1"/>
      <w:r>
        <w:rPr>
          <w:rFonts w:hint="eastAsia" w:ascii="宋体" w:hAnsi="宋体" w:cs="宋体"/>
          <w:bCs/>
          <w:color w:val="000000"/>
          <w:kern w:val="0"/>
          <w:sz w:val="24"/>
        </w:rPr>
        <w:t>附表1</w:t>
      </w:r>
    </w:p>
    <w:p w14:paraId="797D9124">
      <w:pPr>
        <w:spacing w:line="20" w:lineRule="atLeast"/>
        <w:rPr>
          <w:rFonts w:ascii="宋体" w:hAnsi="宋体"/>
          <w:b/>
          <w:sz w:val="36"/>
          <w:szCs w:val="36"/>
        </w:rPr>
      </w:pPr>
      <w:r>
        <w:rPr>
          <w:rFonts w:hint="eastAsia" w:ascii="宋体" w:hAnsi="宋体"/>
          <w:b/>
          <w:sz w:val="36"/>
          <w:szCs w:val="36"/>
        </w:rPr>
        <w:t>化学与食品科学学院食品专业工程认证实验实训室升级改造</w:t>
      </w:r>
      <w:r>
        <w:rPr>
          <w:rFonts w:hint="eastAsia" w:ascii="宋体" w:hAnsi="宋体"/>
          <w:b/>
          <w:sz w:val="36"/>
          <w:szCs w:val="36"/>
          <w:lang w:val="en-US" w:eastAsia="zh-CN"/>
        </w:rPr>
        <w:t>需求</w:t>
      </w:r>
      <w:r>
        <w:rPr>
          <w:rFonts w:hint="eastAsia" w:ascii="宋体" w:hAnsi="宋体"/>
          <w:b/>
          <w:sz w:val="36"/>
          <w:szCs w:val="36"/>
        </w:rPr>
        <w:t>表</w:t>
      </w:r>
    </w:p>
    <w:tbl>
      <w:tblPr>
        <w:tblStyle w:val="5"/>
        <w:tblW w:w="15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04"/>
        <w:gridCol w:w="2700"/>
        <w:gridCol w:w="5580"/>
        <w:gridCol w:w="410"/>
        <w:gridCol w:w="670"/>
        <w:gridCol w:w="889"/>
        <w:gridCol w:w="911"/>
        <w:gridCol w:w="2112"/>
      </w:tblGrid>
      <w:tr w14:paraId="004C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704" w:type="dxa"/>
          </w:tcPr>
          <w:p w14:paraId="4C4217EB">
            <w:r>
              <w:rPr>
                <w:rFonts w:hint="eastAsia"/>
              </w:rPr>
              <w:t>货物</w:t>
            </w:r>
          </w:p>
          <w:p w14:paraId="28829D80">
            <w:r>
              <w:rPr>
                <w:rFonts w:hint="eastAsia"/>
              </w:rPr>
              <w:t>编号</w:t>
            </w:r>
          </w:p>
        </w:tc>
        <w:tc>
          <w:tcPr>
            <w:tcW w:w="1204" w:type="dxa"/>
            <w:vAlign w:val="center"/>
          </w:tcPr>
          <w:p w14:paraId="76409151">
            <w:pPr>
              <w:jc w:val="center"/>
            </w:pPr>
            <w:r>
              <w:rPr>
                <w:rFonts w:hint="eastAsia"/>
              </w:rPr>
              <w:t>货物名称</w:t>
            </w:r>
          </w:p>
        </w:tc>
        <w:tc>
          <w:tcPr>
            <w:tcW w:w="2700" w:type="dxa"/>
            <w:vAlign w:val="center"/>
          </w:tcPr>
          <w:p w14:paraId="20DA3542">
            <w:pPr>
              <w:jc w:val="center"/>
            </w:pPr>
            <w:r>
              <w:rPr>
                <w:rFonts w:hint="eastAsia"/>
              </w:rPr>
              <w:t>参考品牌、型号、参考厂家</w:t>
            </w:r>
          </w:p>
          <w:p w14:paraId="6ED0D7E9">
            <w:pPr>
              <w:jc w:val="center"/>
              <w:rPr>
                <w:b/>
              </w:rPr>
            </w:pPr>
          </w:p>
        </w:tc>
        <w:tc>
          <w:tcPr>
            <w:tcW w:w="5580" w:type="dxa"/>
            <w:vAlign w:val="center"/>
          </w:tcPr>
          <w:p w14:paraId="438CD3B0">
            <w:pPr>
              <w:jc w:val="center"/>
            </w:pPr>
            <w:r>
              <w:rPr>
                <w:rFonts w:hint="eastAsia"/>
              </w:rPr>
              <w:t xml:space="preserve">规格、技术参数、性能及要求 </w:t>
            </w:r>
          </w:p>
          <w:p w14:paraId="39926059">
            <w:pPr>
              <w:jc w:val="center"/>
              <w:rPr>
                <w:rFonts w:ascii="仿宋_gb2312" w:eastAsia="仿宋_gb2312"/>
                <w:b/>
                <w:sz w:val="18"/>
                <w:szCs w:val="18"/>
              </w:rPr>
            </w:pPr>
          </w:p>
        </w:tc>
        <w:tc>
          <w:tcPr>
            <w:tcW w:w="410" w:type="dxa"/>
          </w:tcPr>
          <w:p w14:paraId="3CF93C28">
            <w:pPr>
              <w:jc w:val="center"/>
            </w:pPr>
            <w:r>
              <w:rPr>
                <w:rFonts w:hint="eastAsia"/>
              </w:rPr>
              <w:t>数量</w:t>
            </w:r>
          </w:p>
        </w:tc>
        <w:tc>
          <w:tcPr>
            <w:tcW w:w="670" w:type="dxa"/>
          </w:tcPr>
          <w:p w14:paraId="5BB56DF3">
            <w:pPr>
              <w:rPr>
                <w:sz w:val="18"/>
                <w:szCs w:val="18"/>
              </w:rPr>
            </w:pPr>
            <w:r>
              <w:rPr>
                <w:rFonts w:hint="eastAsia"/>
                <w:sz w:val="18"/>
                <w:szCs w:val="18"/>
              </w:rPr>
              <w:t>计量</w:t>
            </w:r>
          </w:p>
          <w:p w14:paraId="129B10F3">
            <w:r>
              <w:rPr>
                <w:rFonts w:hint="eastAsia"/>
                <w:sz w:val="18"/>
                <w:szCs w:val="18"/>
              </w:rPr>
              <w:t>单位</w:t>
            </w:r>
          </w:p>
        </w:tc>
        <w:tc>
          <w:tcPr>
            <w:tcW w:w="889" w:type="dxa"/>
          </w:tcPr>
          <w:p w14:paraId="78C7CCA9">
            <w:pPr>
              <w:ind w:firstLine="105" w:firstLineChars="50"/>
            </w:pPr>
            <w:r>
              <w:rPr>
                <w:rFonts w:hint="eastAsia"/>
              </w:rPr>
              <w:t>单价</w:t>
            </w:r>
          </w:p>
          <w:p w14:paraId="3D86B11A">
            <w:pPr>
              <w:ind w:firstLine="105" w:firstLineChars="50"/>
            </w:pPr>
            <w:r>
              <w:rPr>
                <w:rFonts w:hint="eastAsia"/>
              </w:rPr>
              <w:t>(元)</w:t>
            </w:r>
          </w:p>
        </w:tc>
        <w:tc>
          <w:tcPr>
            <w:tcW w:w="911" w:type="dxa"/>
          </w:tcPr>
          <w:p w14:paraId="4D7A8243">
            <w:pPr>
              <w:jc w:val="center"/>
            </w:pPr>
            <w:r>
              <w:rPr>
                <w:rFonts w:hint="eastAsia"/>
              </w:rPr>
              <w:t>金额</w:t>
            </w:r>
          </w:p>
          <w:p w14:paraId="628079A4">
            <w:pPr>
              <w:jc w:val="center"/>
            </w:pPr>
            <w:r>
              <w:rPr>
                <w:rFonts w:hint="eastAsia"/>
              </w:rPr>
              <w:t>(元)</w:t>
            </w:r>
          </w:p>
        </w:tc>
        <w:tc>
          <w:tcPr>
            <w:tcW w:w="2112" w:type="dxa"/>
          </w:tcPr>
          <w:p w14:paraId="61DC7BE0">
            <w:pPr>
              <w:widowControl/>
              <w:spacing w:line="0" w:lineRule="atLeast"/>
              <w:ind w:firstLine="525" w:firstLineChars="250"/>
              <w:jc w:val="left"/>
            </w:pPr>
            <w:r>
              <w:rPr>
                <w:rFonts w:hint="eastAsia"/>
              </w:rPr>
              <w:t>备 注</w:t>
            </w:r>
          </w:p>
          <w:p w14:paraId="7C15223E">
            <w:pPr>
              <w:spacing w:line="0" w:lineRule="atLeast"/>
              <w:jc w:val="center"/>
            </w:pPr>
            <w:bookmarkStart w:id="3" w:name="_GoBack"/>
            <w:bookmarkEnd w:id="3"/>
          </w:p>
        </w:tc>
      </w:tr>
      <w:tr w14:paraId="4D95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704" w:type="dxa"/>
            <w:shd w:val="clear" w:color="auto" w:fill="auto"/>
            <w:vAlign w:val="center"/>
          </w:tcPr>
          <w:p w14:paraId="4A25AD1D">
            <w:pPr>
              <w:jc w:val="center"/>
            </w:pPr>
            <w:r>
              <w:rPr>
                <w:rFonts w:hint="eastAsia"/>
              </w:rPr>
              <w:t>1</w:t>
            </w:r>
          </w:p>
        </w:tc>
        <w:tc>
          <w:tcPr>
            <w:tcW w:w="1204" w:type="dxa"/>
            <w:shd w:val="clear" w:color="auto" w:fill="auto"/>
            <w:vAlign w:val="center"/>
          </w:tcPr>
          <w:p w14:paraId="7E672E45">
            <w:pPr>
              <w:jc w:val="center"/>
            </w:pPr>
            <w:r>
              <w:rPr>
                <w:rFonts w:hint="eastAsia"/>
              </w:rPr>
              <w:t>不锈钢边台</w:t>
            </w:r>
          </w:p>
        </w:tc>
        <w:tc>
          <w:tcPr>
            <w:tcW w:w="2700" w:type="dxa"/>
            <w:shd w:val="clear" w:color="auto" w:fill="auto"/>
            <w:vAlign w:val="center"/>
          </w:tcPr>
          <w:p w14:paraId="6AF6AC80">
            <w:r>
              <w:rPr>
                <w:rFonts w:hint="eastAsia"/>
              </w:rPr>
              <w:t>南宁能康、广西赛默菲、广西美科</w:t>
            </w:r>
          </w:p>
        </w:tc>
        <w:tc>
          <w:tcPr>
            <w:tcW w:w="5580" w:type="dxa"/>
            <w:tcBorders>
              <w:top w:val="single" w:color="auto" w:sz="4" w:space="0"/>
              <w:left w:val="single" w:color="auto" w:sz="4" w:space="0"/>
              <w:bottom w:val="single" w:color="auto" w:sz="4" w:space="0"/>
              <w:right w:val="single" w:color="000000" w:sz="4" w:space="0"/>
            </w:tcBorders>
            <w:shd w:val="clear" w:color="auto" w:fill="auto"/>
            <w:vAlign w:val="center"/>
          </w:tcPr>
          <w:p w14:paraId="3D554528">
            <w:pPr>
              <w:widowControl/>
              <w:jc w:val="left"/>
              <w:rPr>
                <w:kern w:val="0"/>
                <w:sz w:val="20"/>
                <w:szCs w:val="20"/>
              </w:rPr>
            </w:pPr>
            <w:r>
              <w:rPr>
                <w:sz w:val="20"/>
                <w:szCs w:val="20"/>
              </w:rPr>
              <w:t>1500*750*800mm</w:t>
            </w:r>
            <w:r>
              <w:rPr>
                <w:rFonts w:hint="eastAsia"/>
                <w:sz w:val="20"/>
                <w:szCs w:val="20"/>
              </w:rPr>
              <w:t>。1、台面板采用304#1.2mm优质不锈钢磨砂贴塑板；内衬25mm厚防火板。</w:t>
            </w:r>
            <w:r>
              <w:rPr>
                <w:rFonts w:hint="eastAsia"/>
                <w:sz w:val="20"/>
                <w:szCs w:val="20"/>
              </w:rPr>
              <w:br w:type="textWrapping"/>
            </w:r>
            <w:r>
              <w:rPr>
                <w:rFonts w:hint="eastAsia"/>
                <w:sz w:val="20"/>
                <w:szCs w:val="20"/>
              </w:rPr>
              <w:t>2、层板采用304#1.0mm优质不锈钢磨砂贴塑板。</w:t>
            </w:r>
            <w:r>
              <w:rPr>
                <w:rFonts w:hint="eastAsia"/>
                <w:sz w:val="20"/>
                <w:szCs w:val="20"/>
              </w:rPr>
              <w:br w:type="textWrapping"/>
            </w:r>
            <w:r>
              <w:rPr>
                <w:rFonts w:hint="eastAsia"/>
                <w:sz w:val="20"/>
                <w:szCs w:val="20"/>
              </w:rPr>
              <w:t>3、柜身、柜门采用304#0.8mm优质不锈钢磨砂贴塑板；</w:t>
            </w:r>
            <w:r>
              <w:rPr>
                <w:rFonts w:hint="eastAsia"/>
                <w:sz w:val="20"/>
                <w:szCs w:val="20"/>
              </w:rPr>
              <w:br w:type="textWrapping"/>
            </w:r>
            <w:r>
              <w:rPr>
                <w:rFonts w:hint="eastAsia"/>
                <w:sz w:val="20"/>
                <w:szCs w:val="20"/>
              </w:rPr>
              <w:t>4、台脚用304#Φ51x1.0mm不锈钢管及可调子弹脚。</w:t>
            </w:r>
          </w:p>
        </w:tc>
        <w:tc>
          <w:tcPr>
            <w:tcW w:w="410" w:type="dxa"/>
            <w:vAlign w:val="center"/>
          </w:tcPr>
          <w:p w14:paraId="2C850402">
            <w:pPr>
              <w:jc w:val="center"/>
            </w:pPr>
            <w:r>
              <w:rPr>
                <w:rFonts w:hint="eastAsia"/>
              </w:rPr>
              <w:t>9</w:t>
            </w:r>
          </w:p>
        </w:tc>
        <w:tc>
          <w:tcPr>
            <w:tcW w:w="670" w:type="dxa"/>
            <w:vAlign w:val="center"/>
          </w:tcPr>
          <w:p w14:paraId="00168B59">
            <w:pPr>
              <w:jc w:val="center"/>
            </w:pPr>
            <w:r>
              <w:rPr>
                <w:rFonts w:hint="eastAsia"/>
              </w:rPr>
              <w:t>台</w:t>
            </w:r>
          </w:p>
        </w:tc>
        <w:tc>
          <w:tcPr>
            <w:tcW w:w="889" w:type="dxa"/>
            <w:vAlign w:val="center"/>
          </w:tcPr>
          <w:p w14:paraId="3A4D4D42">
            <w:pPr>
              <w:jc w:val="center"/>
            </w:pPr>
            <w:r>
              <w:rPr>
                <w:rFonts w:hint="eastAsia"/>
              </w:rPr>
              <w:t>4500</w:t>
            </w:r>
          </w:p>
        </w:tc>
        <w:tc>
          <w:tcPr>
            <w:tcW w:w="911" w:type="dxa"/>
            <w:vAlign w:val="center"/>
          </w:tcPr>
          <w:p w14:paraId="71811751">
            <w:pPr>
              <w:jc w:val="center"/>
            </w:pPr>
            <w:r>
              <w:rPr>
                <w:rFonts w:hint="eastAsia"/>
              </w:rPr>
              <w:t>40500</w:t>
            </w:r>
          </w:p>
        </w:tc>
        <w:tc>
          <w:tcPr>
            <w:tcW w:w="2112" w:type="dxa"/>
            <w:vAlign w:val="center"/>
          </w:tcPr>
          <w:p w14:paraId="57CD749C">
            <w:r>
              <w:drawing>
                <wp:inline distT="0" distB="0" distL="114300" distR="114300">
                  <wp:extent cx="1198245" cy="727075"/>
                  <wp:effectExtent l="0" t="0" r="190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1198245" cy="727075"/>
                          </a:xfrm>
                          <a:prstGeom prst="rect">
                            <a:avLst/>
                          </a:prstGeom>
                          <a:noFill/>
                          <a:ln>
                            <a:noFill/>
                          </a:ln>
                        </pic:spPr>
                      </pic:pic>
                    </a:graphicData>
                  </a:graphic>
                </wp:inline>
              </w:drawing>
            </w:r>
          </w:p>
        </w:tc>
      </w:tr>
      <w:tr w14:paraId="2473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4" w:type="dxa"/>
            <w:shd w:val="clear" w:color="auto" w:fill="auto"/>
            <w:vAlign w:val="center"/>
          </w:tcPr>
          <w:p w14:paraId="1F85B9AE">
            <w:pPr>
              <w:jc w:val="center"/>
            </w:pPr>
            <w:r>
              <w:rPr>
                <w:rFonts w:hint="eastAsia"/>
              </w:rPr>
              <w:t>2</w:t>
            </w:r>
          </w:p>
        </w:tc>
        <w:tc>
          <w:tcPr>
            <w:tcW w:w="1204" w:type="dxa"/>
            <w:shd w:val="clear" w:color="auto" w:fill="auto"/>
            <w:vAlign w:val="center"/>
          </w:tcPr>
          <w:p w14:paraId="09ED7FC8">
            <w:pPr>
              <w:jc w:val="center"/>
            </w:pPr>
            <w:r>
              <w:rPr>
                <w:rFonts w:hint="eastAsia"/>
              </w:rPr>
              <w:t>不锈钢边台</w:t>
            </w:r>
          </w:p>
        </w:tc>
        <w:tc>
          <w:tcPr>
            <w:tcW w:w="2700" w:type="dxa"/>
            <w:shd w:val="clear" w:color="auto" w:fill="auto"/>
            <w:vAlign w:val="center"/>
          </w:tcPr>
          <w:p w14:paraId="5B285906">
            <w:r>
              <w:rPr>
                <w:rFonts w:hint="eastAsia"/>
              </w:rPr>
              <w:t>南宁能康、广西赛默菲、广西美科</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50E863B4">
            <w:pPr>
              <w:rPr>
                <w:sz w:val="20"/>
                <w:szCs w:val="20"/>
              </w:rPr>
            </w:pPr>
            <w:r>
              <w:rPr>
                <w:sz w:val="20"/>
                <w:szCs w:val="20"/>
              </w:rPr>
              <w:t>1750*750*800mm</w:t>
            </w:r>
            <w:r>
              <w:rPr>
                <w:rFonts w:hint="eastAsia"/>
                <w:sz w:val="20"/>
                <w:szCs w:val="20"/>
              </w:rPr>
              <w:t>。1、台面板采用304#1.2mm优质不锈钢磨砂贴塑板；内衬25mm厚防火板。</w:t>
            </w:r>
            <w:r>
              <w:rPr>
                <w:rFonts w:hint="eastAsia"/>
                <w:sz w:val="20"/>
                <w:szCs w:val="20"/>
              </w:rPr>
              <w:br w:type="textWrapping"/>
            </w:r>
            <w:r>
              <w:rPr>
                <w:rFonts w:hint="eastAsia"/>
                <w:sz w:val="20"/>
                <w:szCs w:val="20"/>
              </w:rPr>
              <w:t>2、层板采用304#1.0mm优质不锈钢磨砂贴塑板。</w:t>
            </w:r>
            <w:r>
              <w:rPr>
                <w:rFonts w:hint="eastAsia"/>
                <w:sz w:val="20"/>
                <w:szCs w:val="20"/>
              </w:rPr>
              <w:br w:type="textWrapping"/>
            </w:r>
            <w:r>
              <w:rPr>
                <w:rFonts w:hint="eastAsia"/>
                <w:sz w:val="20"/>
                <w:szCs w:val="20"/>
              </w:rPr>
              <w:t>3、柜身、柜门采用304#0.8mm优质不锈钢磨砂贴塑板；</w:t>
            </w:r>
            <w:r>
              <w:rPr>
                <w:rFonts w:hint="eastAsia"/>
                <w:sz w:val="20"/>
                <w:szCs w:val="20"/>
              </w:rPr>
              <w:br w:type="textWrapping"/>
            </w:r>
            <w:r>
              <w:rPr>
                <w:rFonts w:hint="eastAsia"/>
                <w:sz w:val="20"/>
                <w:szCs w:val="20"/>
              </w:rPr>
              <w:t>4、台脚用304#Φ51x1.0mm不锈钢管及可调子弹脚。                                          5、左侧带水槽，单冷水龙头。</w:t>
            </w:r>
          </w:p>
        </w:tc>
        <w:tc>
          <w:tcPr>
            <w:tcW w:w="410" w:type="dxa"/>
            <w:vAlign w:val="center"/>
          </w:tcPr>
          <w:p w14:paraId="78E21F2E">
            <w:pPr>
              <w:jc w:val="center"/>
            </w:pPr>
            <w:r>
              <w:rPr>
                <w:rFonts w:hint="eastAsia"/>
              </w:rPr>
              <w:t>8</w:t>
            </w:r>
          </w:p>
        </w:tc>
        <w:tc>
          <w:tcPr>
            <w:tcW w:w="670" w:type="dxa"/>
            <w:vAlign w:val="center"/>
          </w:tcPr>
          <w:p w14:paraId="732E0D0D">
            <w:pPr>
              <w:jc w:val="center"/>
            </w:pPr>
            <w:r>
              <w:rPr>
                <w:rFonts w:hint="eastAsia"/>
              </w:rPr>
              <w:t>台</w:t>
            </w:r>
          </w:p>
        </w:tc>
        <w:tc>
          <w:tcPr>
            <w:tcW w:w="889" w:type="dxa"/>
            <w:vAlign w:val="center"/>
          </w:tcPr>
          <w:p w14:paraId="01872E1A">
            <w:pPr>
              <w:jc w:val="center"/>
            </w:pPr>
            <w:r>
              <w:rPr>
                <w:rFonts w:hint="eastAsia"/>
              </w:rPr>
              <w:t>5850</w:t>
            </w:r>
          </w:p>
        </w:tc>
        <w:tc>
          <w:tcPr>
            <w:tcW w:w="911" w:type="dxa"/>
            <w:vAlign w:val="center"/>
          </w:tcPr>
          <w:p w14:paraId="6FE732AB">
            <w:pPr>
              <w:jc w:val="center"/>
            </w:pPr>
            <w:r>
              <w:rPr>
                <w:rFonts w:hint="eastAsia"/>
              </w:rPr>
              <w:t>46800</w:t>
            </w:r>
          </w:p>
        </w:tc>
        <w:tc>
          <w:tcPr>
            <w:tcW w:w="2112" w:type="dxa"/>
            <w:vAlign w:val="center"/>
          </w:tcPr>
          <w:p w14:paraId="52ECC87E">
            <w:r>
              <w:drawing>
                <wp:inline distT="0" distB="0" distL="114300" distR="114300">
                  <wp:extent cx="1195705" cy="840105"/>
                  <wp:effectExtent l="0" t="0" r="444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195705" cy="840105"/>
                          </a:xfrm>
                          <a:prstGeom prst="rect">
                            <a:avLst/>
                          </a:prstGeom>
                          <a:noFill/>
                          <a:ln>
                            <a:noFill/>
                          </a:ln>
                        </pic:spPr>
                      </pic:pic>
                    </a:graphicData>
                  </a:graphic>
                </wp:inline>
              </w:drawing>
            </w:r>
          </w:p>
        </w:tc>
      </w:tr>
      <w:tr w14:paraId="72A3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4" w:type="dxa"/>
            <w:shd w:val="clear" w:color="auto" w:fill="auto"/>
            <w:vAlign w:val="center"/>
          </w:tcPr>
          <w:p w14:paraId="68DACDA3">
            <w:pPr>
              <w:jc w:val="center"/>
            </w:pPr>
            <w:r>
              <w:rPr>
                <w:rFonts w:hint="eastAsia"/>
              </w:rPr>
              <w:t>3</w:t>
            </w:r>
          </w:p>
        </w:tc>
        <w:tc>
          <w:tcPr>
            <w:tcW w:w="1204" w:type="dxa"/>
            <w:shd w:val="clear" w:color="auto" w:fill="auto"/>
            <w:vAlign w:val="center"/>
          </w:tcPr>
          <w:p w14:paraId="5E9E0E53">
            <w:pPr>
              <w:jc w:val="center"/>
            </w:pPr>
            <w:r>
              <w:rPr>
                <w:rFonts w:hint="eastAsia"/>
              </w:rPr>
              <w:t>不锈钢中央台</w:t>
            </w:r>
          </w:p>
        </w:tc>
        <w:tc>
          <w:tcPr>
            <w:tcW w:w="2700" w:type="dxa"/>
            <w:shd w:val="clear" w:color="auto" w:fill="auto"/>
            <w:vAlign w:val="center"/>
          </w:tcPr>
          <w:p w14:paraId="7F8DC838">
            <w:r>
              <w:rPr>
                <w:rFonts w:hint="eastAsia"/>
              </w:rPr>
              <w:t>南宁能康、广西赛默菲、广西美科</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4A029DF7">
            <w:pPr>
              <w:rPr>
                <w:sz w:val="20"/>
                <w:szCs w:val="20"/>
              </w:rPr>
            </w:pPr>
            <w:r>
              <w:rPr>
                <w:sz w:val="20"/>
                <w:szCs w:val="20"/>
              </w:rPr>
              <w:t>3600*1500*850mm</w:t>
            </w:r>
            <w:r>
              <w:rPr>
                <w:rFonts w:hint="eastAsia"/>
                <w:sz w:val="20"/>
                <w:szCs w:val="20"/>
              </w:rPr>
              <w:t>。1、台面板采用304#1.2mm优质不锈钢磨砂贴塑板；内衬25mm厚防火板。</w:t>
            </w:r>
            <w:r>
              <w:rPr>
                <w:rFonts w:hint="eastAsia"/>
                <w:sz w:val="20"/>
                <w:szCs w:val="20"/>
              </w:rPr>
              <w:br w:type="textWrapping"/>
            </w:r>
            <w:r>
              <w:rPr>
                <w:rFonts w:hint="eastAsia"/>
                <w:sz w:val="20"/>
                <w:szCs w:val="20"/>
              </w:rPr>
              <w:t>2、层板采用304#1.0mm优质不锈钢磨砂贴塑板。</w:t>
            </w:r>
            <w:r>
              <w:rPr>
                <w:rFonts w:hint="eastAsia"/>
                <w:sz w:val="20"/>
                <w:szCs w:val="20"/>
              </w:rPr>
              <w:br w:type="textWrapping"/>
            </w:r>
            <w:r>
              <w:rPr>
                <w:rFonts w:hint="eastAsia"/>
                <w:sz w:val="20"/>
                <w:szCs w:val="20"/>
              </w:rPr>
              <w:t>3、柜身、柜门采用304#0.8mm优质不锈钢磨砂贴塑板；</w:t>
            </w:r>
            <w:r>
              <w:rPr>
                <w:rFonts w:hint="eastAsia"/>
                <w:sz w:val="20"/>
                <w:szCs w:val="20"/>
              </w:rPr>
              <w:br w:type="textWrapping"/>
            </w:r>
            <w:r>
              <w:rPr>
                <w:rFonts w:hint="eastAsia"/>
                <w:sz w:val="20"/>
                <w:szCs w:val="20"/>
              </w:rPr>
              <w:t>4、台脚用304#Φ51x1.0mm不锈钢管及可调子弹脚。</w:t>
            </w:r>
          </w:p>
        </w:tc>
        <w:tc>
          <w:tcPr>
            <w:tcW w:w="410" w:type="dxa"/>
            <w:vAlign w:val="center"/>
          </w:tcPr>
          <w:p w14:paraId="159E5DCA">
            <w:pPr>
              <w:jc w:val="center"/>
            </w:pPr>
            <w:r>
              <w:rPr>
                <w:rFonts w:hint="eastAsia"/>
              </w:rPr>
              <w:t>2</w:t>
            </w:r>
          </w:p>
        </w:tc>
        <w:tc>
          <w:tcPr>
            <w:tcW w:w="670" w:type="dxa"/>
            <w:vAlign w:val="center"/>
          </w:tcPr>
          <w:p w14:paraId="10C7DFCD">
            <w:pPr>
              <w:jc w:val="center"/>
            </w:pPr>
            <w:r>
              <w:rPr>
                <w:rFonts w:hint="eastAsia"/>
              </w:rPr>
              <w:t>台</w:t>
            </w:r>
          </w:p>
        </w:tc>
        <w:tc>
          <w:tcPr>
            <w:tcW w:w="889" w:type="dxa"/>
            <w:vAlign w:val="center"/>
          </w:tcPr>
          <w:p w14:paraId="2FCF470B">
            <w:pPr>
              <w:jc w:val="center"/>
            </w:pPr>
            <w:r>
              <w:rPr>
                <w:rFonts w:hint="eastAsia"/>
              </w:rPr>
              <w:t>21600</w:t>
            </w:r>
          </w:p>
        </w:tc>
        <w:tc>
          <w:tcPr>
            <w:tcW w:w="911" w:type="dxa"/>
            <w:vAlign w:val="center"/>
          </w:tcPr>
          <w:p w14:paraId="1C76CB0E">
            <w:pPr>
              <w:jc w:val="center"/>
            </w:pPr>
            <w:r>
              <w:rPr>
                <w:rFonts w:hint="eastAsia"/>
              </w:rPr>
              <w:t>43200</w:t>
            </w:r>
          </w:p>
        </w:tc>
        <w:tc>
          <w:tcPr>
            <w:tcW w:w="2112" w:type="dxa"/>
            <w:vAlign w:val="center"/>
          </w:tcPr>
          <w:p w14:paraId="0039FBF3">
            <w:r>
              <w:drawing>
                <wp:inline distT="0" distB="0" distL="114300" distR="114300">
                  <wp:extent cx="1201420" cy="720090"/>
                  <wp:effectExtent l="0" t="0" r="8255"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1201420" cy="720090"/>
                          </a:xfrm>
                          <a:prstGeom prst="rect">
                            <a:avLst/>
                          </a:prstGeom>
                          <a:noFill/>
                          <a:ln>
                            <a:noFill/>
                          </a:ln>
                        </pic:spPr>
                      </pic:pic>
                    </a:graphicData>
                  </a:graphic>
                </wp:inline>
              </w:drawing>
            </w:r>
          </w:p>
        </w:tc>
      </w:tr>
      <w:tr w14:paraId="413D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04" w:type="dxa"/>
            <w:shd w:val="clear" w:color="auto" w:fill="auto"/>
            <w:vAlign w:val="center"/>
          </w:tcPr>
          <w:p w14:paraId="275B9DC4">
            <w:pPr>
              <w:jc w:val="center"/>
            </w:pPr>
            <w:r>
              <w:rPr>
                <w:rFonts w:hint="eastAsia"/>
              </w:rPr>
              <w:t>4</w:t>
            </w:r>
          </w:p>
        </w:tc>
        <w:tc>
          <w:tcPr>
            <w:tcW w:w="1204" w:type="dxa"/>
            <w:shd w:val="clear" w:color="auto" w:fill="auto"/>
            <w:vAlign w:val="center"/>
          </w:tcPr>
          <w:p w14:paraId="3B6B7EA9">
            <w:pPr>
              <w:jc w:val="center"/>
            </w:pPr>
            <w:r>
              <w:rPr>
                <w:rFonts w:hint="eastAsia"/>
              </w:rPr>
              <w:t>储物柜</w:t>
            </w:r>
          </w:p>
        </w:tc>
        <w:tc>
          <w:tcPr>
            <w:tcW w:w="2700" w:type="dxa"/>
            <w:shd w:val="clear" w:color="auto" w:fill="auto"/>
            <w:vAlign w:val="center"/>
          </w:tcPr>
          <w:p w14:paraId="67DFD4D9">
            <w:r>
              <w:rPr>
                <w:rFonts w:hint="eastAsia"/>
              </w:rPr>
              <w:t>南宁能康、广西赛默菲、广西美科</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73B959E0">
            <w:pPr>
              <w:rPr>
                <w:sz w:val="20"/>
                <w:szCs w:val="20"/>
              </w:rPr>
            </w:pPr>
            <w:r>
              <w:rPr>
                <w:sz w:val="20"/>
                <w:szCs w:val="20"/>
              </w:rPr>
              <w:t>900*450*1800mm</w:t>
            </w:r>
            <w:r>
              <w:rPr>
                <w:rFonts w:hint="eastAsia"/>
                <w:sz w:val="20"/>
                <w:szCs w:val="20"/>
              </w:rPr>
              <w:t>。1、全304不锈钢结构                              2、层板采用304#1.0mm优质不锈钢磨砂贴塑板。</w:t>
            </w:r>
            <w:r>
              <w:rPr>
                <w:rFonts w:hint="eastAsia"/>
                <w:sz w:val="20"/>
                <w:szCs w:val="20"/>
              </w:rPr>
              <w:br w:type="textWrapping"/>
            </w:r>
            <w:r>
              <w:rPr>
                <w:rFonts w:hint="eastAsia"/>
                <w:sz w:val="20"/>
                <w:szCs w:val="20"/>
              </w:rPr>
              <w:t>3、柜身、柜门采用304#0.8mm优质不锈钢磨砂贴塑板；</w:t>
            </w:r>
          </w:p>
        </w:tc>
        <w:tc>
          <w:tcPr>
            <w:tcW w:w="410" w:type="dxa"/>
            <w:vAlign w:val="center"/>
          </w:tcPr>
          <w:p w14:paraId="6DC12832">
            <w:pPr>
              <w:jc w:val="center"/>
            </w:pPr>
            <w:r>
              <w:rPr>
                <w:rFonts w:hint="eastAsia"/>
              </w:rPr>
              <w:t>1</w:t>
            </w:r>
          </w:p>
        </w:tc>
        <w:tc>
          <w:tcPr>
            <w:tcW w:w="670" w:type="dxa"/>
            <w:vAlign w:val="center"/>
          </w:tcPr>
          <w:p w14:paraId="4BA46BEF">
            <w:pPr>
              <w:jc w:val="center"/>
            </w:pPr>
            <w:r>
              <w:rPr>
                <w:rFonts w:hint="eastAsia"/>
              </w:rPr>
              <w:t>台</w:t>
            </w:r>
          </w:p>
        </w:tc>
        <w:tc>
          <w:tcPr>
            <w:tcW w:w="889" w:type="dxa"/>
            <w:vAlign w:val="center"/>
          </w:tcPr>
          <w:p w14:paraId="4D717885">
            <w:pPr>
              <w:jc w:val="center"/>
            </w:pPr>
            <w:r>
              <w:rPr>
                <w:rFonts w:hint="eastAsia"/>
              </w:rPr>
              <w:t>2800</w:t>
            </w:r>
          </w:p>
        </w:tc>
        <w:tc>
          <w:tcPr>
            <w:tcW w:w="911" w:type="dxa"/>
            <w:vAlign w:val="center"/>
          </w:tcPr>
          <w:p w14:paraId="41FE5234">
            <w:pPr>
              <w:jc w:val="center"/>
            </w:pPr>
            <w:r>
              <w:rPr>
                <w:rFonts w:hint="eastAsia"/>
              </w:rPr>
              <w:t>2800</w:t>
            </w:r>
          </w:p>
        </w:tc>
        <w:tc>
          <w:tcPr>
            <w:tcW w:w="2112" w:type="dxa"/>
            <w:vAlign w:val="center"/>
          </w:tcPr>
          <w:p w14:paraId="0175E840">
            <w:r>
              <w:drawing>
                <wp:inline distT="0" distB="0" distL="114300" distR="114300">
                  <wp:extent cx="1203325" cy="1991360"/>
                  <wp:effectExtent l="0" t="0" r="635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1203325" cy="1991360"/>
                          </a:xfrm>
                          <a:prstGeom prst="rect">
                            <a:avLst/>
                          </a:prstGeom>
                          <a:noFill/>
                          <a:ln>
                            <a:noFill/>
                          </a:ln>
                        </pic:spPr>
                      </pic:pic>
                    </a:graphicData>
                  </a:graphic>
                </wp:inline>
              </w:drawing>
            </w:r>
          </w:p>
        </w:tc>
      </w:tr>
      <w:tr w14:paraId="77DA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5285CF2D">
            <w:pPr>
              <w:jc w:val="center"/>
            </w:pPr>
            <w:r>
              <w:rPr>
                <w:rFonts w:hint="eastAsia"/>
              </w:rPr>
              <w:t>5</w:t>
            </w:r>
          </w:p>
        </w:tc>
        <w:tc>
          <w:tcPr>
            <w:tcW w:w="1204" w:type="dxa"/>
            <w:shd w:val="clear" w:color="auto" w:fill="auto"/>
            <w:vAlign w:val="center"/>
          </w:tcPr>
          <w:p w14:paraId="689E6FB6">
            <w:pPr>
              <w:jc w:val="center"/>
            </w:pPr>
            <w:r>
              <w:rPr>
                <w:rFonts w:hint="eastAsia"/>
              </w:rPr>
              <w:t>抽油烟机</w:t>
            </w:r>
          </w:p>
        </w:tc>
        <w:tc>
          <w:tcPr>
            <w:tcW w:w="2700" w:type="dxa"/>
            <w:shd w:val="clear" w:color="auto" w:fill="auto"/>
            <w:vAlign w:val="center"/>
          </w:tcPr>
          <w:p w14:paraId="3B5E3024">
            <w:r>
              <w:rPr>
                <w:rFonts w:hint="eastAsia"/>
              </w:rPr>
              <w:t>海尔、万家乐、亿田</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2F738DCA">
            <w:pPr>
              <w:rPr>
                <w:sz w:val="20"/>
                <w:szCs w:val="20"/>
              </w:rPr>
            </w:pPr>
            <w:r>
              <w:rPr>
                <w:rFonts w:hint="eastAsia"/>
                <w:sz w:val="20"/>
                <w:szCs w:val="20"/>
              </w:rPr>
              <w:t>外形尺寸895x526x535mm</w:t>
            </w:r>
            <w:r>
              <w:rPr>
                <w:rFonts w:hint="eastAsia"/>
                <w:sz w:val="20"/>
                <w:szCs w:val="20"/>
              </w:rPr>
              <w:br w:type="textWrapping"/>
            </w:r>
            <w:r>
              <w:rPr>
                <w:rFonts w:hint="eastAsia"/>
                <w:sz w:val="20"/>
                <w:szCs w:val="20"/>
              </w:rPr>
              <w:t>爆炒风量20m3/min</w:t>
            </w:r>
          </w:p>
        </w:tc>
        <w:tc>
          <w:tcPr>
            <w:tcW w:w="410" w:type="dxa"/>
            <w:vAlign w:val="center"/>
          </w:tcPr>
          <w:p w14:paraId="32DE7D7D">
            <w:pPr>
              <w:jc w:val="center"/>
            </w:pPr>
            <w:r>
              <w:rPr>
                <w:rFonts w:hint="eastAsia"/>
              </w:rPr>
              <w:t>6</w:t>
            </w:r>
          </w:p>
        </w:tc>
        <w:tc>
          <w:tcPr>
            <w:tcW w:w="670" w:type="dxa"/>
            <w:vAlign w:val="center"/>
          </w:tcPr>
          <w:p w14:paraId="2868671A">
            <w:pPr>
              <w:jc w:val="center"/>
            </w:pPr>
            <w:r>
              <w:rPr>
                <w:rFonts w:hint="eastAsia"/>
              </w:rPr>
              <w:t>台</w:t>
            </w:r>
          </w:p>
        </w:tc>
        <w:tc>
          <w:tcPr>
            <w:tcW w:w="889" w:type="dxa"/>
            <w:vAlign w:val="center"/>
          </w:tcPr>
          <w:p w14:paraId="73992BA1">
            <w:pPr>
              <w:jc w:val="center"/>
            </w:pPr>
            <w:r>
              <w:rPr>
                <w:rFonts w:hint="eastAsia"/>
              </w:rPr>
              <w:t>2560</w:t>
            </w:r>
          </w:p>
        </w:tc>
        <w:tc>
          <w:tcPr>
            <w:tcW w:w="911" w:type="dxa"/>
            <w:vAlign w:val="center"/>
          </w:tcPr>
          <w:p w14:paraId="362CE95C">
            <w:pPr>
              <w:jc w:val="center"/>
            </w:pPr>
            <w:r>
              <w:rPr>
                <w:rFonts w:hint="eastAsia"/>
              </w:rPr>
              <w:t>15360</w:t>
            </w:r>
          </w:p>
        </w:tc>
        <w:tc>
          <w:tcPr>
            <w:tcW w:w="2112" w:type="dxa"/>
            <w:vAlign w:val="center"/>
          </w:tcPr>
          <w:p w14:paraId="6E2F54A0">
            <w:r>
              <w:drawing>
                <wp:inline distT="0" distB="0" distL="114300" distR="114300">
                  <wp:extent cx="1193165" cy="838835"/>
                  <wp:effectExtent l="0" t="0" r="6985"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1193165" cy="838835"/>
                          </a:xfrm>
                          <a:prstGeom prst="rect">
                            <a:avLst/>
                          </a:prstGeom>
                          <a:noFill/>
                          <a:ln>
                            <a:noFill/>
                          </a:ln>
                        </pic:spPr>
                      </pic:pic>
                    </a:graphicData>
                  </a:graphic>
                </wp:inline>
              </w:drawing>
            </w:r>
          </w:p>
        </w:tc>
      </w:tr>
      <w:tr w14:paraId="1E8D9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737FD768">
            <w:pPr>
              <w:jc w:val="center"/>
            </w:pPr>
            <w:r>
              <w:rPr>
                <w:rFonts w:hint="eastAsia"/>
              </w:rPr>
              <w:t>6</w:t>
            </w:r>
          </w:p>
        </w:tc>
        <w:tc>
          <w:tcPr>
            <w:tcW w:w="1204" w:type="dxa"/>
            <w:shd w:val="clear" w:color="auto" w:fill="auto"/>
            <w:vAlign w:val="center"/>
          </w:tcPr>
          <w:p w14:paraId="437EF261">
            <w:pPr>
              <w:jc w:val="center"/>
            </w:pPr>
            <w:r>
              <w:rPr>
                <w:rFonts w:hint="eastAsia"/>
              </w:rPr>
              <w:t>排烟管道</w:t>
            </w:r>
          </w:p>
        </w:tc>
        <w:tc>
          <w:tcPr>
            <w:tcW w:w="2700" w:type="dxa"/>
            <w:shd w:val="clear" w:color="auto" w:fill="auto"/>
            <w:vAlign w:val="center"/>
          </w:tcPr>
          <w:p w14:paraId="682075A2">
            <w:r>
              <w:rPr>
                <w:rFonts w:hint="eastAsia"/>
              </w:rPr>
              <w:t>定制</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6EED1BCA">
            <w:pPr>
              <w:rPr>
                <w:sz w:val="20"/>
                <w:szCs w:val="20"/>
              </w:rPr>
            </w:pPr>
            <w:r>
              <w:rPr>
                <w:rFonts w:hint="eastAsia"/>
                <w:sz w:val="20"/>
                <w:szCs w:val="20"/>
              </w:rPr>
              <w:t>PVC管道，含止逆阀，软管，管卡等辅材</w:t>
            </w:r>
          </w:p>
        </w:tc>
        <w:tc>
          <w:tcPr>
            <w:tcW w:w="410" w:type="dxa"/>
            <w:vAlign w:val="center"/>
          </w:tcPr>
          <w:p w14:paraId="38F45288">
            <w:pPr>
              <w:jc w:val="center"/>
            </w:pPr>
            <w:r>
              <w:rPr>
                <w:rFonts w:hint="eastAsia"/>
              </w:rPr>
              <w:t>2</w:t>
            </w:r>
          </w:p>
        </w:tc>
        <w:tc>
          <w:tcPr>
            <w:tcW w:w="670" w:type="dxa"/>
            <w:vAlign w:val="center"/>
          </w:tcPr>
          <w:p w14:paraId="70BE8D38">
            <w:pPr>
              <w:jc w:val="center"/>
            </w:pPr>
            <w:r>
              <w:rPr>
                <w:rFonts w:hint="eastAsia"/>
              </w:rPr>
              <w:t>套</w:t>
            </w:r>
          </w:p>
        </w:tc>
        <w:tc>
          <w:tcPr>
            <w:tcW w:w="889" w:type="dxa"/>
            <w:vAlign w:val="center"/>
          </w:tcPr>
          <w:p w14:paraId="6E03D33E">
            <w:pPr>
              <w:jc w:val="center"/>
            </w:pPr>
            <w:r>
              <w:rPr>
                <w:rFonts w:hint="eastAsia"/>
              </w:rPr>
              <w:t>2200</w:t>
            </w:r>
          </w:p>
        </w:tc>
        <w:tc>
          <w:tcPr>
            <w:tcW w:w="911" w:type="dxa"/>
            <w:vAlign w:val="center"/>
          </w:tcPr>
          <w:p w14:paraId="210D08AE">
            <w:pPr>
              <w:jc w:val="center"/>
            </w:pPr>
            <w:r>
              <w:rPr>
                <w:rFonts w:hint="eastAsia"/>
              </w:rPr>
              <w:t>4400</w:t>
            </w:r>
          </w:p>
        </w:tc>
        <w:tc>
          <w:tcPr>
            <w:tcW w:w="2112" w:type="dxa"/>
            <w:vAlign w:val="center"/>
          </w:tcPr>
          <w:p w14:paraId="7F6BAACD"/>
        </w:tc>
      </w:tr>
      <w:tr w14:paraId="078D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74785AF4">
            <w:pPr>
              <w:jc w:val="center"/>
            </w:pPr>
            <w:r>
              <w:rPr>
                <w:rFonts w:hint="eastAsia"/>
              </w:rPr>
              <w:t>7</w:t>
            </w:r>
          </w:p>
        </w:tc>
        <w:tc>
          <w:tcPr>
            <w:tcW w:w="1204" w:type="dxa"/>
            <w:shd w:val="clear" w:color="auto" w:fill="auto"/>
            <w:vAlign w:val="center"/>
          </w:tcPr>
          <w:p w14:paraId="3CC09F23">
            <w:pPr>
              <w:jc w:val="center"/>
            </w:pPr>
            <w:bookmarkStart w:id="1" w:name="OLE_LINK4"/>
            <w:r>
              <w:rPr>
                <w:rFonts w:hint="eastAsia"/>
              </w:rPr>
              <w:t>中央实验台</w:t>
            </w:r>
            <w:bookmarkEnd w:id="1"/>
          </w:p>
        </w:tc>
        <w:tc>
          <w:tcPr>
            <w:tcW w:w="2700" w:type="dxa"/>
            <w:shd w:val="clear" w:color="auto" w:fill="auto"/>
            <w:vAlign w:val="center"/>
          </w:tcPr>
          <w:p w14:paraId="5EC5FCA6">
            <w:r>
              <w:rPr>
                <w:rFonts w:hint="eastAsia"/>
              </w:rPr>
              <w:t>南宁能康、广西赛默菲、广西美科</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08234F30">
            <w:pPr>
              <w:rPr>
                <w:sz w:val="20"/>
                <w:szCs w:val="20"/>
              </w:rPr>
            </w:pPr>
            <w:r>
              <w:rPr>
                <w:sz w:val="20"/>
                <w:szCs w:val="20"/>
              </w:rPr>
              <w:t>5350*1500*850mm</w:t>
            </w:r>
            <w:r>
              <w:rPr>
                <w:rFonts w:hint="eastAsia"/>
                <w:sz w:val="20"/>
                <w:szCs w:val="20"/>
              </w:rPr>
              <w:t>。一）台面部分技术要求：</w:t>
            </w:r>
            <w:r>
              <w:rPr>
                <w:rFonts w:hint="eastAsia"/>
                <w:sz w:val="20"/>
                <w:szCs w:val="20"/>
              </w:rPr>
              <w:br w:type="textWrapping"/>
            </w:r>
            <w:r>
              <w:rPr>
                <w:rFonts w:hint="eastAsia"/>
                <w:sz w:val="20"/>
                <w:szCs w:val="20"/>
              </w:rPr>
              <w:t>▲实验操作台面选用≥12.7mm厚实芯理化板。为保证台面材料质量，台面材料必须符合以下技术参数及要求，投标文件中须提供由国家认可的检测机构出具的符合以下要求的相应检测报告和证书的复印件，并加盖投标人公章。：</w:t>
            </w:r>
            <w:r>
              <w:rPr>
                <w:rFonts w:hint="eastAsia"/>
                <w:sz w:val="20"/>
                <w:szCs w:val="20"/>
              </w:rPr>
              <w:br w:type="textWrapping"/>
            </w:r>
            <w:r>
              <w:rPr>
                <w:rFonts w:hint="eastAsia"/>
                <w:sz w:val="20"/>
                <w:szCs w:val="20"/>
              </w:rPr>
              <w:t>1、理化板表面耐腐蚀层理化膜采用“电子束固化技术”生产，化学性能测试依据“GB/T 17657-2022”实验方法进行检验，测试试剂至少包含且满足以下要求：硝酸（≥65%）、乙酸乙酯、乙酸（≥98%）、丙酮、铬酸（≥60%）、硫酸（≥98%）、苯、四氯化碳等至少49项化学试剂通过检测，检测结果等级均达到“5级（无明显变化）”。</w:t>
            </w:r>
            <w:r>
              <w:rPr>
                <w:rFonts w:hint="eastAsia"/>
                <w:sz w:val="20"/>
                <w:szCs w:val="20"/>
              </w:rPr>
              <w:br w:type="textWrapping"/>
            </w:r>
            <w:r>
              <w:rPr>
                <w:rFonts w:hint="eastAsia"/>
                <w:sz w:val="20"/>
                <w:szCs w:val="20"/>
              </w:rPr>
              <w:t>2、理化板台面甲醛释放量检测结果＜0.012mg/m³（根据测试结果，依据GB/T39600-2021判定为ENF 级）。</w:t>
            </w:r>
            <w:r>
              <w:rPr>
                <w:rFonts w:hint="eastAsia"/>
                <w:sz w:val="20"/>
                <w:szCs w:val="20"/>
              </w:rPr>
              <w:br w:type="textWrapping"/>
            </w:r>
            <w:r>
              <w:rPr>
                <w:rFonts w:hint="eastAsia"/>
                <w:sz w:val="20"/>
                <w:szCs w:val="20"/>
              </w:rPr>
              <w:t>3、理化板台面物理性能按照“GB/T 17657-2022”或“GB/T 7911-2024”检测方法进行检测：“密度”检测结果需≥1.41g/cm3  、“耐划痕”≥4级、“耐大球冲击（冲击高度≥1800mm）”凹痕直径≤8mm、“静曲强度”≥130MPa、“抗拉强度”≥65MPa、“尺寸稳定性（高温）-纵向”检验结果≤0.35%、“耐辐射热”≥230s。</w:t>
            </w:r>
            <w:r>
              <w:rPr>
                <w:rFonts w:hint="eastAsia"/>
                <w:sz w:val="20"/>
                <w:szCs w:val="20"/>
              </w:rPr>
              <w:br w:type="textWrapping"/>
            </w:r>
            <w:r>
              <w:rPr>
                <w:rFonts w:hint="eastAsia"/>
                <w:sz w:val="20"/>
                <w:szCs w:val="20"/>
              </w:rPr>
              <w:t>4、理化板台面“放射性核素限量”按照GB 6566-2010《建筑材料放射性核素限量》检测标准进项检测：“内照射指数”、“外照射指数”检测结果均＜0.1。“镭”比活度测试检测结果＜15Bq/kg、“钍”比活度测试检测结果＜8Bq/kg。</w:t>
            </w:r>
            <w:r>
              <w:rPr>
                <w:rFonts w:hint="eastAsia"/>
                <w:sz w:val="20"/>
                <w:szCs w:val="20"/>
              </w:rPr>
              <w:br w:type="textWrapping"/>
            </w:r>
            <w:r>
              <w:rPr>
                <w:rFonts w:hint="eastAsia"/>
                <w:sz w:val="20"/>
                <w:szCs w:val="20"/>
              </w:rPr>
              <w:t>5、理化板台面“顺纹抗压强度”检测结果≥125MPa（检测方法为GB/T 17657-2022）。</w:t>
            </w:r>
            <w:r>
              <w:rPr>
                <w:rFonts w:hint="eastAsia"/>
                <w:sz w:val="20"/>
                <w:szCs w:val="20"/>
              </w:rPr>
              <w:br w:type="textWrapping"/>
            </w:r>
            <w:r>
              <w:rPr>
                <w:rFonts w:hint="eastAsia"/>
                <w:sz w:val="20"/>
                <w:szCs w:val="20"/>
              </w:rPr>
              <w:t>6、理化板台面“色差”检测结果达到△E≤0.19（检测方法为GB/T 17657-2022）。</w:t>
            </w:r>
            <w:r>
              <w:rPr>
                <w:rFonts w:hint="eastAsia"/>
                <w:sz w:val="20"/>
                <w:szCs w:val="20"/>
              </w:rPr>
              <w:br w:type="textWrapping"/>
            </w:r>
            <w:r>
              <w:rPr>
                <w:rFonts w:hint="eastAsia"/>
                <w:sz w:val="20"/>
                <w:szCs w:val="20"/>
              </w:rPr>
              <w:t>7、理化板台面“静曲强度—浸渍-冰冻-干燥处理法”检测结果≥82MPa（检测方法为GB/T 17657-2022）。</w:t>
            </w:r>
            <w:r>
              <w:rPr>
                <w:rFonts w:hint="eastAsia"/>
                <w:sz w:val="20"/>
                <w:szCs w:val="20"/>
              </w:rPr>
              <w:br w:type="textWrapping"/>
            </w:r>
            <w:r>
              <w:rPr>
                <w:rFonts w:hint="eastAsia"/>
                <w:sz w:val="20"/>
                <w:szCs w:val="20"/>
              </w:rPr>
              <w:t>8、理化板台面依据GB/T 20285-2006检测方法：“产烟毒性”检测结果达到准安全三级ZA3。                                                               二）、实验台柜体要求：</w:t>
            </w:r>
            <w:r>
              <w:rPr>
                <w:rFonts w:hint="eastAsia"/>
                <w:sz w:val="20"/>
                <w:szCs w:val="20"/>
              </w:rPr>
              <w:br w:type="textWrapping"/>
            </w:r>
            <w:r>
              <w:rPr>
                <w:rFonts w:hint="eastAsia"/>
                <w:sz w:val="20"/>
                <w:szCs w:val="20"/>
              </w:rPr>
              <w:t>▲1、结构：D-FrameC型钢木结构主体框架采用规格40×60×1.5mm，空心钢焊接制成，连接处冷轧钢板冲压一体成型专用连接件连接；所有组件经模具冲压折弯焊接而成，暴露焊接部分打磨；无论垂直方向及水平方向其交叉角平面均光滑过度，焊点无毛刺、无脱焊、无虚焊、无假焊，且经打磨平整并防锈处理。表面经酸洗、磷化、均匀灰白环氧塑粉喷涂，塑粉重金属含量经检测，结果为：</w:t>
            </w:r>
          </w:p>
          <w:p w14:paraId="6AFEC408">
            <w:pPr>
              <w:rPr>
                <w:sz w:val="20"/>
                <w:szCs w:val="20"/>
              </w:rPr>
            </w:pPr>
            <w:r>
              <w:rPr>
                <w:rFonts w:hint="eastAsia"/>
                <w:sz w:val="20"/>
                <w:szCs w:val="20"/>
              </w:rPr>
              <w:t>可溶性铅（Pb)≤4mg/kg；</w:t>
            </w:r>
          </w:p>
          <w:p w14:paraId="427E0E68">
            <w:pPr>
              <w:rPr>
                <w:sz w:val="20"/>
                <w:szCs w:val="20"/>
              </w:rPr>
            </w:pPr>
            <w:r>
              <w:rPr>
                <w:rFonts w:hint="eastAsia"/>
                <w:sz w:val="20"/>
                <w:szCs w:val="20"/>
              </w:rPr>
              <w:t>可溶性镉（Cd)≤0.5mg/kg；</w:t>
            </w:r>
          </w:p>
          <w:p w14:paraId="6A346019">
            <w:pPr>
              <w:rPr>
                <w:sz w:val="20"/>
                <w:szCs w:val="20"/>
              </w:rPr>
            </w:pPr>
            <w:r>
              <w:rPr>
                <w:rFonts w:hint="eastAsia"/>
                <w:sz w:val="20"/>
                <w:szCs w:val="20"/>
              </w:rPr>
              <w:t>可溶性铬（Cr)≤0.4mg/kg；</w:t>
            </w:r>
          </w:p>
          <w:p w14:paraId="5EB7DEB9">
            <w:pPr>
              <w:rPr>
                <w:sz w:val="20"/>
                <w:szCs w:val="20"/>
              </w:rPr>
            </w:pPr>
            <w:r>
              <w:rPr>
                <w:rFonts w:hint="eastAsia"/>
                <w:sz w:val="20"/>
                <w:szCs w:val="20"/>
              </w:rPr>
              <w:t>可溶性汞（Hg)≤0.05mg/kg。</w:t>
            </w:r>
          </w:p>
          <w:p w14:paraId="362AD0D8">
            <w:pPr>
              <w:rPr>
                <w:sz w:val="20"/>
                <w:szCs w:val="20"/>
              </w:rPr>
            </w:pPr>
            <w:r>
              <w:rPr>
                <w:rFonts w:hint="eastAsia"/>
                <w:sz w:val="20"/>
                <w:szCs w:val="20"/>
              </w:rPr>
              <w:t>投标文件中须提供由国家认可的检测机构出具的包含但不限于上述参数要求的</w:t>
            </w:r>
            <w:r>
              <w:rPr>
                <w:rFonts w:hint="eastAsia"/>
                <w:b/>
                <w:bCs/>
                <w:sz w:val="20"/>
                <w:szCs w:val="20"/>
              </w:rPr>
              <w:t>《塑粉》</w:t>
            </w:r>
            <w:r>
              <w:rPr>
                <w:rFonts w:hint="eastAsia"/>
                <w:sz w:val="20"/>
                <w:szCs w:val="20"/>
              </w:rPr>
              <w:t>检验报告复印件，检测报告须在国家市场监督管理总局，全国认证认可信息公共服务平台，通过检验检测报告编号查询可查询到该报告的相关信息，投标文件中须同时提供该查询结果截图，方为有效。</w:t>
            </w:r>
          </w:p>
          <w:p w14:paraId="4827CF2C">
            <w:pPr>
              <w:rPr>
                <w:sz w:val="20"/>
                <w:szCs w:val="20"/>
              </w:rPr>
            </w:pPr>
            <w:r>
              <w:rPr>
                <w:rFonts w:hint="eastAsia"/>
                <w:sz w:val="20"/>
                <w:szCs w:val="20"/>
              </w:rPr>
              <w:t>2、柜体要求：1）柜体为独立的、可拆装结构，主要材料采用不小于18mm厚防水多层实木夹板，双贴面三聚氰胺板，四周边缘部份使用1mm厚硬质塑料PVC防水封边条，采用热熔胶作防水封边处理。单元柜体含单门柜、双门柜和三抽屉柜等。2）柜体一般深度为：500mm（±5%）（内凹时350深），高度为600mm（±5%）。3）柜体间转角将根据产品的内部结构，采用三合一锁件结构连接。4）柜体背板为活动背板，若因特殊情况；</w:t>
            </w:r>
            <w:r>
              <w:rPr>
                <w:rFonts w:hint="eastAsia"/>
                <w:sz w:val="20"/>
                <w:szCs w:val="20"/>
              </w:rPr>
              <w:br w:type="textWrapping"/>
            </w:r>
            <w:r>
              <w:rPr>
                <w:rFonts w:hint="eastAsia"/>
                <w:sz w:val="20"/>
                <w:szCs w:val="20"/>
              </w:rPr>
              <w:t>3、柜门/抽屉面板：1）采用 18mm厚防水型多层实木双贴面三聚氰胺夹板，四周边缘部份使用2mm厚硬质塑料（PVC）防水封边条，采用热熔胶防水封边处理，封边条边缘部分须经锐角修饰处理；</w:t>
            </w:r>
            <w:r>
              <w:rPr>
                <w:rFonts w:hint="eastAsia"/>
                <w:sz w:val="20"/>
                <w:szCs w:val="20"/>
              </w:rPr>
              <w:br w:type="textWrapping"/>
            </w:r>
            <w:r>
              <w:rPr>
                <w:rFonts w:hint="eastAsia"/>
                <w:sz w:val="20"/>
                <w:szCs w:val="20"/>
              </w:rPr>
              <w:t>4、抽屉侧板：1）采用 18mm防水型多层实木夹板。2）周边采用1mm厚PVC封边条封边,黏结牢固耐用。3）抽屉侧板高度不小于90mm；</w:t>
            </w:r>
            <w:r>
              <w:rPr>
                <w:rFonts w:hint="eastAsia"/>
                <w:sz w:val="20"/>
                <w:szCs w:val="20"/>
              </w:rPr>
              <w:br w:type="textWrapping"/>
            </w:r>
            <w:r>
              <w:rPr>
                <w:rFonts w:hint="eastAsia"/>
                <w:sz w:val="20"/>
                <w:szCs w:val="20"/>
              </w:rPr>
              <w:t>5、抽屉底板：1）采用 12mm厚防水型多层实木夹板。2）周边不封边,采用直钉安装抽底板；</w:t>
            </w:r>
            <w:r>
              <w:rPr>
                <w:rFonts w:hint="eastAsia"/>
                <w:sz w:val="20"/>
                <w:szCs w:val="20"/>
              </w:rPr>
              <w:br w:type="textWrapping"/>
            </w:r>
            <w:r>
              <w:rPr>
                <w:rFonts w:hint="eastAsia"/>
                <w:sz w:val="20"/>
                <w:szCs w:val="20"/>
              </w:rPr>
              <w:t>6、拉手：采用35mmPVC一字型内嵌拉手配堵头，防腐易清洁；</w:t>
            </w:r>
            <w:r>
              <w:rPr>
                <w:rFonts w:hint="eastAsia"/>
                <w:sz w:val="20"/>
                <w:szCs w:val="20"/>
              </w:rPr>
              <w:br w:type="textWrapping"/>
            </w:r>
            <w:r>
              <w:rPr>
                <w:rFonts w:hint="eastAsia"/>
                <w:sz w:val="20"/>
                <w:szCs w:val="20"/>
              </w:rPr>
              <w:t>7、可调地脚：高强度可调地脚，采用M10螺丝压模成型，底衬防水黑色PVC六角套环，通过钢制镀锌制作的M10*60 螺杆连接组合，防震性能好，且具耐腐蚀、耐老化、减震及防滑的功能，在不水平的环境下可调节台的水平，调节高度为0-40mm；</w:t>
            </w:r>
            <w:r>
              <w:rPr>
                <w:rFonts w:hint="eastAsia"/>
                <w:sz w:val="20"/>
                <w:szCs w:val="20"/>
              </w:rPr>
              <w:br w:type="textWrapping"/>
            </w:r>
            <w:r>
              <w:rPr>
                <w:rFonts w:hint="eastAsia"/>
                <w:sz w:val="20"/>
                <w:szCs w:val="20"/>
              </w:rPr>
              <w:t>三）、配件</w:t>
            </w:r>
            <w:r>
              <w:rPr>
                <w:rFonts w:hint="eastAsia"/>
                <w:sz w:val="20"/>
                <w:szCs w:val="20"/>
              </w:rPr>
              <w:br w:type="textWrapping"/>
            </w:r>
            <w:r>
              <w:rPr>
                <w:rFonts w:hint="eastAsia"/>
                <w:sz w:val="20"/>
                <w:szCs w:val="20"/>
              </w:rPr>
              <w:t xml:space="preserve">1、五金及配件：铰链：建议采用国内知名品牌：DTC、星徽或同等及以上档次。2）采用优质自闭式带阻尼110度铰链，与柜体面水平角度＜15度时，柜门即可自行关闭，弹性好，无噪音，耐腐蚀，使用寿命长。3）非焊接方式将铰链和柜体及柜门固定，开合时无噪音，达到国际五金行业标准。4）最大承重力达45Kg，开合最少达十万次以上，使用寿命长，耐腐蚀性能强。5）抽屉采用三节静音导轨，静音设计，表面经过环氧树脂喷涂。运动负重≥25kg开合达八万次以上，使用寿命长，滑轨畅顺及静音效果佳；                                                                       </w:t>
            </w:r>
          </w:p>
        </w:tc>
        <w:tc>
          <w:tcPr>
            <w:tcW w:w="410" w:type="dxa"/>
            <w:vAlign w:val="center"/>
          </w:tcPr>
          <w:p w14:paraId="6D18ABA0">
            <w:pPr>
              <w:jc w:val="center"/>
            </w:pPr>
            <w:r>
              <w:rPr>
                <w:rFonts w:hint="eastAsia"/>
              </w:rPr>
              <w:t>3</w:t>
            </w:r>
          </w:p>
        </w:tc>
        <w:tc>
          <w:tcPr>
            <w:tcW w:w="670" w:type="dxa"/>
            <w:vAlign w:val="center"/>
          </w:tcPr>
          <w:p w14:paraId="4947FC5D">
            <w:pPr>
              <w:jc w:val="center"/>
            </w:pPr>
            <w:r>
              <w:rPr>
                <w:rFonts w:hint="eastAsia"/>
              </w:rPr>
              <w:t>台</w:t>
            </w:r>
          </w:p>
        </w:tc>
        <w:tc>
          <w:tcPr>
            <w:tcW w:w="889" w:type="dxa"/>
            <w:vAlign w:val="center"/>
          </w:tcPr>
          <w:p w14:paraId="695F8FD5">
            <w:pPr>
              <w:jc w:val="center"/>
            </w:pPr>
            <w:r>
              <w:rPr>
                <w:rFonts w:hint="eastAsia"/>
              </w:rPr>
              <w:t>21400</w:t>
            </w:r>
          </w:p>
        </w:tc>
        <w:tc>
          <w:tcPr>
            <w:tcW w:w="911" w:type="dxa"/>
            <w:vAlign w:val="center"/>
          </w:tcPr>
          <w:p w14:paraId="53CDCB64">
            <w:pPr>
              <w:jc w:val="center"/>
            </w:pPr>
            <w:r>
              <w:rPr>
                <w:rFonts w:hint="eastAsia"/>
              </w:rPr>
              <w:t>64200</w:t>
            </w:r>
          </w:p>
        </w:tc>
        <w:tc>
          <w:tcPr>
            <w:tcW w:w="2112" w:type="dxa"/>
            <w:vAlign w:val="center"/>
          </w:tcPr>
          <w:p w14:paraId="217ED4F9">
            <w:r>
              <w:drawing>
                <wp:inline distT="0" distB="0" distL="114300" distR="114300">
                  <wp:extent cx="1196975" cy="741045"/>
                  <wp:effectExtent l="0" t="0" r="3175"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1196975" cy="741045"/>
                          </a:xfrm>
                          <a:prstGeom prst="rect">
                            <a:avLst/>
                          </a:prstGeom>
                          <a:noFill/>
                          <a:ln>
                            <a:noFill/>
                          </a:ln>
                        </pic:spPr>
                      </pic:pic>
                    </a:graphicData>
                  </a:graphic>
                </wp:inline>
              </w:drawing>
            </w:r>
          </w:p>
        </w:tc>
      </w:tr>
      <w:tr w14:paraId="0E90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1D23BF63">
            <w:pPr>
              <w:jc w:val="center"/>
            </w:pPr>
            <w:r>
              <w:rPr>
                <w:rFonts w:hint="eastAsia"/>
              </w:rPr>
              <w:t>8</w:t>
            </w:r>
          </w:p>
        </w:tc>
        <w:tc>
          <w:tcPr>
            <w:tcW w:w="1204" w:type="dxa"/>
            <w:shd w:val="clear" w:color="auto" w:fill="auto"/>
            <w:vAlign w:val="center"/>
          </w:tcPr>
          <w:p w14:paraId="72A66434">
            <w:pPr>
              <w:jc w:val="center"/>
            </w:pPr>
            <w:bookmarkStart w:id="2" w:name="OLE_LINK5"/>
            <w:r>
              <w:rPr>
                <w:rFonts w:hint="eastAsia"/>
              </w:rPr>
              <w:t>水槽水咀</w:t>
            </w:r>
            <w:bookmarkEnd w:id="2"/>
          </w:p>
        </w:tc>
        <w:tc>
          <w:tcPr>
            <w:tcW w:w="2700" w:type="dxa"/>
            <w:shd w:val="clear" w:color="auto" w:fill="auto"/>
            <w:vAlign w:val="center"/>
          </w:tcPr>
          <w:p w14:paraId="0F2622EE">
            <w:r>
              <w:rPr>
                <w:rFonts w:hint="eastAsia"/>
              </w:rPr>
              <w:t>科恩、润旺达、台雄</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3516BDD3">
            <w:pPr>
              <w:rPr>
                <w:sz w:val="20"/>
                <w:szCs w:val="20"/>
              </w:rPr>
            </w:pPr>
            <w:r>
              <w:rPr>
                <w:rFonts w:hint="eastAsia"/>
                <w:sz w:val="20"/>
                <w:szCs w:val="20"/>
              </w:rPr>
              <w:t>1.实验室PP水槽，作为实验室重要的配件与水龙头搭配，用于实验室器具的盥洗。水槽边沿平整，契合台面。水槽材质为防腐蚀材质。主要搭配PP存水器，防止虹吸现象。</w:t>
            </w:r>
            <w:r>
              <w:rPr>
                <w:rFonts w:hint="eastAsia"/>
                <w:sz w:val="20"/>
                <w:szCs w:val="20"/>
              </w:rPr>
              <w:br w:type="textWrapping"/>
            </w:r>
            <w:r>
              <w:rPr>
                <w:rFonts w:hint="eastAsia"/>
                <w:sz w:val="20"/>
                <w:szCs w:val="20"/>
              </w:rPr>
              <w:t>1.材质：采用PP新料注塑成型。</w:t>
            </w:r>
            <w:r>
              <w:rPr>
                <w:rFonts w:hint="eastAsia"/>
                <w:sz w:val="20"/>
                <w:szCs w:val="20"/>
              </w:rPr>
              <w:br w:type="textWrapping"/>
            </w:r>
            <w:r>
              <w:rPr>
                <w:rFonts w:hint="eastAsia"/>
                <w:sz w:val="20"/>
                <w:szCs w:val="20"/>
              </w:rPr>
              <w:t>2.水槽壁厚度：根据强度要求设计厚度为3.5-5mm。</w:t>
            </w:r>
            <w:r>
              <w:rPr>
                <w:rFonts w:hint="eastAsia"/>
                <w:sz w:val="20"/>
                <w:szCs w:val="20"/>
              </w:rPr>
              <w:br w:type="textWrapping"/>
            </w:r>
            <w:r>
              <w:rPr>
                <w:rFonts w:hint="eastAsia"/>
                <w:sz w:val="20"/>
                <w:szCs w:val="20"/>
              </w:rPr>
              <w:t>3.附件：PP去水；含阻水盖、PP提笼。</w:t>
            </w:r>
            <w:r>
              <w:rPr>
                <w:rFonts w:hint="eastAsia"/>
                <w:sz w:val="20"/>
                <w:szCs w:val="20"/>
              </w:rPr>
              <w:br w:type="textWrapping"/>
            </w:r>
            <w:r>
              <w:rPr>
                <w:rFonts w:hint="eastAsia"/>
                <w:sz w:val="20"/>
                <w:szCs w:val="20"/>
              </w:rPr>
              <w:t>4.三联水龙头主体材质：黄铜。</w:t>
            </w:r>
          </w:p>
        </w:tc>
        <w:tc>
          <w:tcPr>
            <w:tcW w:w="410" w:type="dxa"/>
            <w:vAlign w:val="center"/>
          </w:tcPr>
          <w:p w14:paraId="22C122FC">
            <w:pPr>
              <w:jc w:val="center"/>
            </w:pPr>
            <w:r>
              <w:rPr>
                <w:rFonts w:hint="eastAsia"/>
              </w:rPr>
              <w:t>6</w:t>
            </w:r>
          </w:p>
        </w:tc>
        <w:tc>
          <w:tcPr>
            <w:tcW w:w="670" w:type="dxa"/>
            <w:vAlign w:val="center"/>
          </w:tcPr>
          <w:p w14:paraId="1DFBB573">
            <w:pPr>
              <w:jc w:val="center"/>
            </w:pPr>
            <w:r>
              <w:rPr>
                <w:rFonts w:hint="eastAsia"/>
              </w:rPr>
              <w:t>套</w:t>
            </w:r>
          </w:p>
        </w:tc>
        <w:tc>
          <w:tcPr>
            <w:tcW w:w="889" w:type="dxa"/>
            <w:vAlign w:val="center"/>
          </w:tcPr>
          <w:p w14:paraId="7A1E0B02">
            <w:pPr>
              <w:jc w:val="center"/>
            </w:pPr>
            <w:r>
              <w:rPr>
                <w:rFonts w:hint="eastAsia"/>
              </w:rPr>
              <w:t>950</w:t>
            </w:r>
          </w:p>
        </w:tc>
        <w:tc>
          <w:tcPr>
            <w:tcW w:w="911" w:type="dxa"/>
            <w:vAlign w:val="center"/>
          </w:tcPr>
          <w:p w14:paraId="698B66F1">
            <w:pPr>
              <w:jc w:val="center"/>
            </w:pPr>
            <w:r>
              <w:rPr>
                <w:rFonts w:hint="eastAsia"/>
              </w:rPr>
              <w:t>5700</w:t>
            </w:r>
          </w:p>
        </w:tc>
        <w:tc>
          <w:tcPr>
            <w:tcW w:w="2112" w:type="dxa"/>
            <w:vAlign w:val="center"/>
          </w:tcPr>
          <w:p w14:paraId="0AAAEB87">
            <w:r>
              <w:drawing>
                <wp:inline distT="0" distB="0" distL="114300" distR="114300">
                  <wp:extent cx="1203325" cy="630555"/>
                  <wp:effectExtent l="0" t="0" r="6350" b="762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1203325" cy="630555"/>
                          </a:xfrm>
                          <a:prstGeom prst="rect">
                            <a:avLst/>
                          </a:prstGeom>
                          <a:noFill/>
                          <a:ln>
                            <a:noFill/>
                          </a:ln>
                        </pic:spPr>
                      </pic:pic>
                    </a:graphicData>
                  </a:graphic>
                </wp:inline>
              </w:drawing>
            </w:r>
          </w:p>
        </w:tc>
      </w:tr>
      <w:tr w14:paraId="0091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1BAAE9BC">
            <w:pPr>
              <w:jc w:val="center"/>
            </w:pPr>
            <w:r>
              <w:rPr>
                <w:rFonts w:hint="eastAsia"/>
              </w:rPr>
              <w:t>9</w:t>
            </w:r>
          </w:p>
        </w:tc>
        <w:tc>
          <w:tcPr>
            <w:tcW w:w="1204" w:type="dxa"/>
            <w:shd w:val="clear" w:color="auto" w:fill="auto"/>
            <w:vAlign w:val="center"/>
          </w:tcPr>
          <w:p w14:paraId="5AF83F15">
            <w:pPr>
              <w:jc w:val="center"/>
            </w:pPr>
            <w:r>
              <w:rPr>
                <w:rFonts w:hint="eastAsia"/>
              </w:rPr>
              <w:t>药品柜</w:t>
            </w:r>
          </w:p>
        </w:tc>
        <w:tc>
          <w:tcPr>
            <w:tcW w:w="2700" w:type="dxa"/>
            <w:shd w:val="clear" w:color="auto" w:fill="auto"/>
            <w:vAlign w:val="center"/>
          </w:tcPr>
          <w:p w14:paraId="7B285DF4">
            <w:r>
              <w:rPr>
                <w:rFonts w:hint="eastAsia"/>
              </w:rPr>
              <w:t>南宁能康、广西赛默菲、广西美科</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14AA3D02">
            <w:pPr>
              <w:rPr>
                <w:sz w:val="20"/>
                <w:szCs w:val="20"/>
              </w:rPr>
            </w:pPr>
            <w:r>
              <w:rPr>
                <w:sz w:val="20"/>
                <w:szCs w:val="20"/>
              </w:rPr>
              <w:t>900*450*1800mm</w:t>
            </w:r>
            <w:r>
              <w:rPr>
                <w:rFonts w:hint="eastAsia"/>
                <w:sz w:val="20"/>
                <w:szCs w:val="20"/>
              </w:rPr>
              <w:t>。1.采用手动四开门设计，双开门的门缝不得大于3mm，且门缝上下大小一致，左右门的高度一致。</w:t>
            </w:r>
            <w:r>
              <w:rPr>
                <w:rFonts w:hint="eastAsia"/>
                <w:sz w:val="20"/>
                <w:szCs w:val="20"/>
              </w:rPr>
              <w:br w:type="textWrapping"/>
            </w:r>
            <w:r>
              <w:rPr>
                <w:rFonts w:hint="eastAsia"/>
                <w:sz w:val="20"/>
                <w:szCs w:val="20"/>
              </w:rPr>
              <w:t>2.材质：8mm厚PP板、具有耐强酸、强碱与抗腐蚀的功能，经同色焊条无缝焊接处理。</w:t>
            </w:r>
            <w:r>
              <w:rPr>
                <w:rFonts w:hint="eastAsia"/>
                <w:sz w:val="20"/>
                <w:szCs w:val="20"/>
              </w:rPr>
              <w:br w:type="textWrapping"/>
            </w:r>
            <w:r>
              <w:rPr>
                <w:rFonts w:hint="eastAsia"/>
                <w:sz w:val="20"/>
                <w:szCs w:val="20"/>
              </w:rPr>
              <w:t>3.层板：采用瓷白色PP（聚丙烯）板材，一次注塑成型。</w:t>
            </w:r>
            <w:r>
              <w:rPr>
                <w:rFonts w:hint="eastAsia"/>
                <w:sz w:val="20"/>
                <w:szCs w:val="20"/>
              </w:rPr>
              <w:br w:type="textWrapping"/>
            </w:r>
            <w:r>
              <w:rPr>
                <w:rFonts w:hint="eastAsia"/>
                <w:sz w:val="20"/>
                <w:szCs w:val="20"/>
              </w:rPr>
              <w:t>4.门板：采用同质15mm厚材质子母门，密封性更好，视窗采用6mm透明PVC材质。</w:t>
            </w:r>
            <w:r>
              <w:rPr>
                <w:rFonts w:hint="eastAsia"/>
                <w:sz w:val="20"/>
                <w:szCs w:val="20"/>
              </w:rPr>
              <w:br w:type="textWrapping"/>
            </w:r>
            <w:r>
              <w:rPr>
                <w:rFonts w:hint="eastAsia"/>
                <w:sz w:val="20"/>
                <w:szCs w:val="20"/>
              </w:rPr>
              <w:t>5.绞链：塑胶射出一体成型。</w:t>
            </w:r>
            <w:r>
              <w:rPr>
                <w:rFonts w:hint="eastAsia"/>
                <w:sz w:val="20"/>
                <w:szCs w:val="20"/>
              </w:rPr>
              <w:br w:type="textWrapping"/>
            </w:r>
            <w:r>
              <w:rPr>
                <w:rFonts w:hint="eastAsia"/>
                <w:sz w:val="20"/>
                <w:szCs w:val="20"/>
              </w:rPr>
              <w:t>6.把手：塑胶射出一体成型，备有安全双门锁，加强管制。</w:t>
            </w:r>
            <w:r>
              <w:rPr>
                <w:rFonts w:hint="eastAsia"/>
                <w:sz w:val="20"/>
                <w:szCs w:val="20"/>
              </w:rPr>
              <w:br w:type="textWrapping"/>
            </w:r>
            <w:r>
              <w:rPr>
                <w:rFonts w:hint="eastAsia"/>
                <w:sz w:val="20"/>
                <w:szCs w:val="20"/>
              </w:rPr>
              <w:t>7.视窗：采用6mm钢化玻璃制作。</w:t>
            </w:r>
            <w:r>
              <w:rPr>
                <w:rFonts w:hint="eastAsia"/>
                <w:sz w:val="20"/>
                <w:szCs w:val="20"/>
              </w:rPr>
              <w:br w:type="textWrapping"/>
            </w:r>
            <w:r>
              <w:rPr>
                <w:rFonts w:hint="eastAsia"/>
                <w:sz w:val="20"/>
                <w:szCs w:val="20"/>
              </w:rPr>
              <w:t>8.螺丝：PP材质，防止因腐蚀而引起螺丝断裂，造成柜体垮塌。</w:t>
            </w:r>
            <w:r>
              <w:rPr>
                <w:rFonts w:hint="eastAsia"/>
                <w:sz w:val="20"/>
                <w:szCs w:val="20"/>
              </w:rPr>
              <w:br w:type="textWrapping"/>
            </w:r>
            <w:r>
              <w:rPr>
                <w:rFonts w:hint="eastAsia"/>
                <w:sz w:val="20"/>
                <w:szCs w:val="20"/>
              </w:rPr>
              <w:t>9.锁具：双锁设计，双人双锁管理，配有PP材质一体成型（易更换）的锁扣。</w:t>
            </w:r>
            <w:r>
              <w:rPr>
                <w:rFonts w:hint="eastAsia"/>
                <w:sz w:val="20"/>
                <w:szCs w:val="20"/>
              </w:rPr>
              <w:br w:type="textWrapping"/>
            </w:r>
            <w:r>
              <w:rPr>
                <w:rFonts w:hint="eastAsia"/>
                <w:sz w:val="20"/>
                <w:szCs w:val="20"/>
              </w:rPr>
              <w:t>10.配备可以上下移动的可调整固定条，方便防溢漏式层板自由调节，调整间距为6.0cm—6.5cm。</w:t>
            </w:r>
            <w:r>
              <w:rPr>
                <w:rFonts w:hint="eastAsia"/>
                <w:sz w:val="20"/>
                <w:szCs w:val="20"/>
              </w:rPr>
              <w:br w:type="textWrapping"/>
            </w:r>
            <w:r>
              <w:rPr>
                <w:rFonts w:hint="eastAsia"/>
                <w:sz w:val="20"/>
                <w:szCs w:val="20"/>
              </w:rPr>
              <w:t>11.反光警告标签。</w:t>
            </w:r>
          </w:p>
        </w:tc>
        <w:tc>
          <w:tcPr>
            <w:tcW w:w="410" w:type="dxa"/>
            <w:vAlign w:val="center"/>
          </w:tcPr>
          <w:p w14:paraId="4B1A4208">
            <w:pPr>
              <w:jc w:val="center"/>
            </w:pPr>
            <w:r>
              <w:rPr>
                <w:rFonts w:hint="eastAsia"/>
              </w:rPr>
              <w:t>2</w:t>
            </w:r>
          </w:p>
        </w:tc>
        <w:tc>
          <w:tcPr>
            <w:tcW w:w="670" w:type="dxa"/>
            <w:vAlign w:val="center"/>
          </w:tcPr>
          <w:p w14:paraId="4509C284">
            <w:pPr>
              <w:jc w:val="center"/>
            </w:pPr>
            <w:r>
              <w:rPr>
                <w:rFonts w:hint="eastAsia"/>
              </w:rPr>
              <w:t>台</w:t>
            </w:r>
          </w:p>
        </w:tc>
        <w:tc>
          <w:tcPr>
            <w:tcW w:w="889" w:type="dxa"/>
            <w:vAlign w:val="center"/>
          </w:tcPr>
          <w:p w14:paraId="27AE737F">
            <w:pPr>
              <w:jc w:val="center"/>
            </w:pPr>
            <w:r>
              <w:rPr>
                <w:rFonts w:hint="eastAsia"/>
              </w:rPr>
              <w:t>2400</w:t>
            </w:r>
          </w:p>
        </w:tc>
        <w:tc>
          <w:tcPr>
            <w:tcW w:w="911" w:type="dxa"/>
            <w:vAlign w:val="center"/>
          </w:tcPr>
          <w:p w14:paraId="2055C9EB">
            <w:pPr>
              <w:jc w:val="center"/>
            </w:pPr>
            <w:r>
              <w:rPr>
                <w:rFonts w:hint="eastAsia"/>
              </w:rPr>
              <w:t>4800</w:t>
            </w:r>
          </w:p>
        </w:tc>
        <w:tc>
          <w:tcPr>
            <w:tcW w:w="2112" w:type="dxa"/>
            <w:vAlign w:val="center"/>
          </w:tcPr>
          <w:p w14:paraId="77FC4DB0">
            <w:r>
              <w:drawing>
                <wp:inline distT="0" distB="0" distL="114300" distR="114300">
                  <wp:extent cx="1203325" cy="2094865"/>
                  <wp:effectExtent l="0" t="0" r="6350" b="63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2"/>
                          <a:stretch>
                            <a:fillRect/>
                          </a:stretch>
                        </pic:blipFill>
                        <pic:spPr>
                          <a:xfrm>
                            <a:off x="0" y="0"/>
                            <a:ext cx="1203325" cy="2094865"/>
                          </a:xfrm>
                          <a:prstGeom prst="rect">
                            <a:avLst/>
                          </a:prstGeom>
                          <a:noFill/>
                          <a:ln>
                            <a:noFill/>
                          </a:ln>
                        </pic:spPr>
                      </pic:pic>
                    </a:graphicData>
                  </a:graphic>
                </wp:inline>
              </w:drawing>
            </w:r>
          </w:p>
        </w:tc>
      </w:tr>
      <w:tr w14:paraId="46DE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4088DD36">
            <w:pPr>
              <w:jc w:val="center"/>
            </w:pPr>
            <w:r>
              <w:rPr>
                <w:rFonts w:hint="eastAsia"/>
              </w:rPr>
              <w:t>10</w:t>
            </w:r>
          </w:p>
        </w:tc>
        <w:tc>
          <w:tcPr>
            <w:tcW w:w="1204" w:type="dxa"/>
            <w:shd w:val="clear" w:color="auto" w:fill="auto"/>
            <w:vAlign w:val="center"/>
          </w:tcPr>
          <w:p w14:paraId="462FBDE4">
            <w:pPr>
              <w:jc w:val="center"/>
            </w:pPr>
            <w:r>
              <w:rPr>
                <w:rFonts w:hint="eastAsia"/>
              </w:rPr>
              <w:t>立式插座</w:t>
            </w:r>
          </w:p>
        </w:tc>
        <w:tc>
          <w:tcPr>
            <w:tcW w:w="2700" w:type="dxa"/>
            <w:shd w:val="clear" w:color="auto" w:fill="auto"/>
            <w:vAlign w:val="center"/>
          </w:tcPr>
          <w:p w14:paraId="05F1A89E">
            <w:r>
              <w:rPr>
                <w:rFonts w:hint="eastAsia"/>
              </w:rPr>
              <w:t>晟辉、正泰、德力西</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1C7E0728">
            <w:pPr>
              <w:rPr>
                <w:sz w:val="20"/>
                <w:szCs w:val="20"/>
              </w:rPr>
            </w:pPr>
            <w:r>
              <w:rPr>
                <w:rFonts w:hint="eastAsia"/>
                <w:sz w:val="20"/>
                <w:szCs w:val="20"/>
              </w:rPr>
              <w:t>钢制线盒、10孔多功能插座，带防水插座</w:t>
            </w:r>
          </w:p>
        </w:tc>
        <w:tc>
          <w:tcPr>
            <w:tcW w:w="410" w:type="dxa"/>
            <w:vAlign w:val="center"/>
          </w:tcPr>
          <w:p w14:paraId="2685127D">
            <w:pPr>
              <w:jc w:val="center"/>
            </w:pPr>
            <w:r>
              <w:rPr>
                <w:rFonts w:hint="eastAsia"/>
              </w:rPr>
              <w:t>14</w:t>
            </w:r>
          </w:p>
        </w:tc>
        <w:tc>
          <w:tcPr>
            <w:tcW w:w="670" w:type="dxa"/>
            <w:vAlign w:val="center"/>
          </w:tcPr>
          <w:p w14:paraId="469A6790">
            <w:pPr>
              <w:jc w:val="center"/>
            </w:pPr>
            <w:r>
              <w:rPr>
                <w:rFonts w:hint="eastAsia"/>
              </w:rPr>
              <w:t>套</w:t>
            </w:r>
          </w:p>
        </w:tc>
        <w:tc>
          <w:tcPr>
            <w:tcW w:w="889" w:type="dxa"/>
            <w:vAlign w:val="center"/>
          </w:tcPr>
          <w:p w14:paraId="69FD4238">
            <w:pPr>
              <w:jc w:val="center"/>
            </w:pPr>
            <w:r>
              <w:rPr>
                <w:rFonts w:hint="eastAsia"/>
              </w:rPr>
              <w:t>110</w:t>
            </w:r>
          </w:p>
        </w:tc>
        <w:tc>
          <w:tcPr>
            <w:tcW w:w="911" w:type="dxa"/>
            <w:vAlign w:val="center"/>
          </w:tcPr>
          <w:p w14:paraId="2B9CE0AB">
            <w:pPr>
              <w:jc w:val="center"/>
            </w:pPr>
            <w:r>
              <w:rPr>
                <w:rFonts w:hint="eastAsia"/>
              </w:rPr>
              <w:t>1540</w:t>
            </w:r>
          </w:p>
        </w:tc>
        <w:tc>
          <w:tcPr>
            <w:tcW w:w="2112" w:type="dxa"/>
            <w:vAlign w:val="center"/>
          </w:tcPr>
          <w:p w14:paraId="7481227A"/>
        </w:tc>
      </w:tr>
      <w:tr w14:paraId="3E0E4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72F24A61">
            <w:pPr>
              <w:jc w:val="center"/>
            </w:pPr>
            <w:r>
              <w:rPr>
                <w:rFonts w:hint="eastAsia"/>
              </w:rPr>
              <w:t>11</w:t>
            </w:r>
          </w:p>
        </w:tc>
        <w:tc>
          <w:tcPr>
            <w:tcW w:w="1204" w:type="dxa"/>
            <w:shd w:val="clear" w:color="auto" w:fill="auto"/>
            <w:vAlign w:val="center"/>
          </w:tcPr>
          <w:p w14:paraId="1EAFBF3E">
            <w:pPr>
              <w:jc w:val="center"/>
            </w:pPr>
            <w:r>
              <w:rPr>
                <w:rFonts w:hint="eastAsia"/>
              </w:rPr>
              <w:t>线盒插座</w:t>
            </w:r>
          </w:p>
        </w:tc>
        <w:tc>
          <w:tcPr>
            <w:tcW w:w="2700" w:type="dxa"/>
            <w:shd w:val="clear" w:color="auto" w:fill="auto"/>
            <w:vAlign w:val="center"/>
          </w:tcPr>
          <w:p w14:paraId="4BCD467F">
            <w:r>
              <w:rPr>
                <w:rFonts w:hint="eastAsia"/>
              </w:rPr>
              <w:t>晟辉、正泰、德力西</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3E64BC1E">
            <w:pPr>
              <w:rPr>
                <w:sz w:val="20"/>
                <w:szCs w:val="20"/>
              </w:rPr>
            </w:pPr>
            <w:r>
              <w:rPr>
                <w:rFonts w:hint="eastAsia"/>
                <w:sz w:val="20"/>
                <w:szCs w:val="20"/>
              </w:rPr>
              <w:t>钢制线盒、10孔多功能插座，带防水插座</w:t>
            </w:r>
          </w:p>
        </w:tc>
        <w:tc>
          <w:tcPr>
            <w:tcW w:w="410" w:type="dxa"/>
            <w:vAlign w:val="center"/>
          </w:tcPr>
          <w:p w14:paraId="15A35543">
            <w:pPr>
              <w:jc w:val="center"/>
            </w:pPr>
            <w:r>
              <w:rPr>
                <w:rFonts w:hint="eastAsia"/>
              </w:rPr>
              <w:t>50</w:t>
            </w:r>
          </w:p>
        </w:tc>
        <w:tc>
          <w:tcPr>
            <w:tcW w:w="670" w:type="dxa"/>
            <w:vAlign w:val="center"/>
          </w:tcPr>
          <w:p w14:paraId="243D004E">
            <w:pPr>
              <w:jc w:val="center"/>
            </w:pPr>
            <w:r>
              <w:rPr>
                <w:rFonts w:hint="eastAsia"/>
              </w:rPr>
              <w:t>套</w:t>
            </w:r>
          </w:p>
        </w:tc>
        <w:tc>
          <w:tcPr>
            <w:tcW w:w="889" w:type="dxa"/>
            <w:vAlign w:val="center"/>
          </w:tcPr>
          <w:p w14:paraId="1CAC9A64">
            <w:pPr>
              <w:jc w:val="center"/>
            </w:pPr>
            <w:r>
              <w:rPr>
                <w:rFonts w:hint="eastAsia"/>
              </w:rPr>
              <w:t>110</w:t>
            </w:r>
          </w:p>
        </w:tc>
        <w:tc>
          <w:tcPr>
            <w:tcW w:w="911" w:type="dxa"/>
            <w:vAlign w:val="center"/>
          </w:tcPr>
          <w:p w14:paraId="0CF5BD52">
            <w:pPr>
              <w:jc w:val="center"/>
            </w:pPr>
            <w:r>
              <w:rPr>
                <w:rFonts w:hint="eastAsia"/>
              </w:rPr>
              <w:t>5500</w:t>
            </w:r>
          </w:p>
        </w:tc>
        <w:tc>
          <w:tcPr>
            <w:tcW w:w="2112" w:type="dxa"/>
            <w:vAlign w:val="center"/>
          </w:tcPr>
          <w:p w14:paraId="4AEF0931"/>
        </w:tc>
      </w:tr>
      <w:tr w14:paraId="01ACC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620774D7">
            <w:pPr>
              <w:jc w:val="center"/>
            </w:pPr>
            <w:r>
              <w:rPr>
                <w:rFonts w:hint="eastAsia"/>
              </w:rPr>
              <w:t>12</w:t>
            </w:r>
          </w:p>
        </w:tc>
        <w:tc>
          <w:tcPr>
            <w:tcW w:w="1204" w:type="dxa"/>
            <w:shd w:val="clear" w:color="auto" w:fill="auto"/>
            <w:vAlign w:val="center"/>
          </w:tcPr>
          <w:p w14:paraId="0F463AAE">
            <w:pPr>
              <w:jc w:val="center"/>
            </w:pPr>
            <w:r>
              <w:rPr>
                <w:rFonts w:hint="eastAsia"/>
              </w:rPr>
              <w:t>原有台柜拆除</w:t>
            </w:r>
          </w:p>
        </w:tc>
        <w:tc>
          <w:tcPr>
            <w:tcW w:w="2700" w:type="dxa"/>
            <w:shd w:val="clear" w:color="auto" w:fill="auto"/>
            <w:vAlign w:val="center"/>
          </w:tcPr>
          <w:p w14:paraId="21FEEECC">
            <w:r>
              <w:rPr>
                <w:rFonts w:hint="eastAsia"/>
              </w:rPr>
              <w:t>现场施工</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20A18C3C">
            <w:pPr>
              <w:rPr>
                <w:sz w:val="20"/>
                <w:szCs w:val="20"/>
              </w:rPr>
            </w:pPr>
            <w:r>
              <w:rPr>
                <w:rFonts w:hint="eastAsia"/>
                <w:sz w:val="20"/>
                <w:szCs w:val="20"/>
              </w:rPr>
              <w:t>原有中央台，边台拆除、清运。</w:t>
            </w:r>
          </w:p>
        </w:tc>
        <w:tc>
          <w:tcPr>
            <w:tcW w:w="410" w:type="dxa"/>
            <w:vAlign w:val="center"/>
          </w:tcPr>
          <w:p w14:paraId="7C61F5B6">
            <w:pPr>
              <w:jc w:val="center"/>
            </w:pPr>
            <w:r>
              <w:rPr>
                <w:rFonts w:hint="eastAsia"/>
              </w:rPr>
              <w:t>3</w:t>
            </w:r>
          </w:p>
        </w:tc>
        <w:tc>
          <w:tcPr>
            <w:tcW w:w="670" w:type="dxa"/>
            <w:vAlign w:val="center"/>
          </w:tcPr>
          <w:p w14:paraId="4109BC25">
            <w:pPr>
              <w:jc w:val="center"/>
            </w:pPr>
            <w:r>
              <w:rPr>
                <w:rFonts w:hint="eastAsia"/>
              </w:rPr>
              <w:t>项</w:t>
            </w:r>
          </w:p>
        </w:tc>
        <w:tc>
          <w:tcPr>
            <w:tcW w:w="889" w:type="dxa"/>
            <w:vAlign w:val="center"/>
          </w:tcPr>
          <w:p w14:paraId="3DA32554">
            <w:pPr>
              <w:jc w:val="center"/>
            </w:pPr>
            <w:r>
              <w:rPr>
                <w:rFonts w:hint="eastAsia"/>
              </w:rPr>
              <w:t>6500</w:t>
            </w:r>
          </w:p>
        </w:tc>
        <w:tc>
          <w:tcPr>
            <w:tcW w:w="911" w:type="dxa"/>
            <w:vAlign w:val="center"/>
          </w:tcPr>
          <w:p w14:paraId="4E8D07B4">
            <w:pPr>
              <w:jc w:val="center"/>
            </w:pPr>
            <w:r>
              <w:rPr>
                <w:rFonts w:hint="eastAsia"/>
              </w:rPr>
              <w:t>19500</w:t>
            </w:r>
          </w:p>
        </w:tc>
        <w:tc>
          <w:tcPr>
            <w:tcW w:w="2112" w:type="dxa"/>
            <w:vAlign w:val="center"/>
          </w:tcPr>
          <w:p w14:paraId="747F0571"/>
        </w:tc>
      </w:tr>
      <w:tr w14:paraId="2DA5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7FC2C0AC">
            <w:pPr>
              <w:jc w:val="center"/>
            </w:pPr>
            <w:r>
              <w:rPr>
                <w:rFonts w:hint="eastAsia"/>
              </w:rPr>
              <w:t>13</w:t>
            </w:r>
          </w:p>
        </w:tc>
        <w:tc>
          <w:tcPr>
            <w:tcW w:w="1204" w:type="dxa"/>
            <w:shd w:val="clear" w:color="auto" w:fill="auto"/>
            <w:vAlign w:val="center"/>
          </w:tcPr>
          <w:p w14:paraId="1FB0E31E">
            <w:pPr>
              <w:jc w:val="center"/>
            </w:pPr>
            <w:r>
              <w:rPr>
                <w:rFonts w:hint="eastAsia"/>
              </w:rPr>
              <w:t>给排水改造</w:t>
            </w:r>
          </w:p>
        </w:tc>
        <w:tc>
          <w:tcPr>
            <w:tcW w:w="2700" w:type="dxa"/>
            <w:shd w:val="clear" w:color="auto" w:fill="auto"/>
            <w:vAlign w:val="center"/>
          </w:tcPr>
          <w:p w14:paraId="1D591D70">
            <w:r>
              <w:rPr>
                <w:rFonts w:hint="eastAsia"/>
              </w:rPr>
              <w:t>现场施工</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6E2808B3">
            <w:pPr>
              <w:rPr>
                <w:sz w:val="20"/>
                <w:szCs w:val="20"/>
              </w:rPr>
            </w:pPr>
            <w:r>
              <w:rPr>
                <w:rFonts w:hint="eastAsia"/>
                <w:sz w:val="20"/>
                <w:szCs w:val="20"/>
              </w:rPr>
              <w:t>原有给排水管道拆除，根据现场实际需求重新敷设。</w:t>
            </w:r>
          </w:p>
        </w:tc>
        <w:tc>
          <w:tcPr>
            <w:tcW w:w="410" w:type="dxa"/>
            <w:vAlign w:val="center"/>
          </w:tcPr>
          <w:p w14:paraId="69D4318C">
            <w:pPr>
              <w:jc w:val="center"/>
            </w:pPr>
            <w:r>
              <w:rPr>
                <w:rFonts w:hint="eastAsia"/>
              </w:rPr>
              <w:t>2</w:t>
            </w:r>
          </w:p>
        </w:tc>
        <w:tc>
          <w:tcPr>
            <w:tcW w:w="670" w:type="dxa"/>
            <w:vAlign w:val="center"/>
          </w:tcPr>
          <w:p w14:paraId="33955A71">
            <w:pPr>
              <w:jc w:val="center"/>
            </w:pPr>
            <w:r>
              <w:rPr>
                <w:rFonts w:hint="eastAsia"/>
              </w:rPr>
              <w:t>项</w:t>
            </w:r>
          </w:p>
        </w:tc>
        <w:tc>
          <w:tcPr>
            <w:tcW w:w="889" w:type="dxa"/>
            <w:vAlign w:val="center"/>
          </w:tcPr>
          <w:p w14:paraId="7E9F38AE">
            <w:pPr>
              <w:jc w:val="center"/>
            </w:pPr>
            <w:r>
              <w:rPr>
                <w:rFonts w:hint="eastAsia"/>
              </w:rPr>
              <w:t>3000</w:t>
            </w:r>
          </w:p>
        </w:tc>
        <w:tc>
          <w:tcPr>
            <w:tcW w:w="911" w:type="dxa"/>
            <w:vAlign w:val="center"/>
          </w:tcPr>
          <w:p w14:paraId="5C49A8C1">
            <w:pPr>
              <w:jc w:val="center"/>
            </w:pPr>
            <w:r>
              <w:rPr>
                <w:rFonts w:hint="eastAsia"/>
              </w:rPr>
              <w:t>6000</w:t>
            </w:r>
          </w:p>
        </w:tc>
        <w:tc>
          <w:tcPr>
            <w:tcW w:w="2112" w:type="dxa"/>
            <w:vAlign w:val="center"/>
          </w:tcPr>
          <w:p w14:paraId="54DDE547"/>
        </w:tc>
      </w:tr>
      <w:tr w14:paraId="0E07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704" w:type="dxa"/>
            <w:shd w:val="clear" w:color="auto" w:fill="auto"/>
            <w:vAlign w:val="center"/>
          </w:tcPr>
          <w:p w14:paraId="765AB100">
            <w:pPr>
              <w:jc w:val="center"/>
            </w:pPr>
            <w:r>
              <w:rPr>
                <w:rFonts w:hint="eastAsia"/>
              </w:rPr>
              <w:t>14</w:t>
            </w:r>
          </w:p>
        </w:tc>
        <w:tc>
          <w:tcPr>
            <w:tcW w:w="1204" w:type="dxa"/>
            <w:shd w:val="clear" w:color="auto" w:fill="auto"/>
            <w:vAlign w:val="center"/>
          </w:tcPr>
          <w:p w14:paraId="10756F0E">
            <w:pPr>
              <w:jc w:val="center"/>
            </w:pPr>
            <w:r>
              <w:rPr>
                <w:rFonts w:hint="eastAsia"/>
              </w:rPr>
              <w:t>给排水改造</w:t>
            </w:r>
          </w:p>
        </w:tc>
        <w:tc>
          <w:tcPr>
            <w:tcW w:w="2700" w:type="dxa"/>
            <w:shd w:val="clear" w:color="auto" w:fill="auto"/>
            <w:vAlign w:val="center"/>
          </w:tcPr>
          <w:p w14:paraId="72BDBA4B">
            <w:r>
              <w:rPr>
                <w:rFonts w:hint="eastAsia"/>
              </w:rPr>
              <w:t>现场施工</w:t>
            </w:r>
          </w:p>
        </w:tc>
        <w:tc>
          <w:tcPr>
            <w:tcW w:w="5580" w:type="dxa"/>
            <w:tcBorders>
              <w:top w:val="nil"/>
              <w:left w:val="single" w:color="auto" w:sz="4" w:space="0"/>
              <w:bottom w:val="single" w:color="auto" w:sz="4" w:space="0"/>
              <w:right w:val="single" w:color="000000" w:sz="4" w:space="0"/>
            </w:tcBorders>
            <w:shd w:val="clear" w:color="auto" w:fill="auto"/>
            <w:vAlign w:val="center"/>
          </w:tcPr>
          <w:p w14:paraId="75D007FC">
            <w:pPr>
              <w:rPr>
                <w:sz w:val="20"/>
                <w:szCs w:val="20"/>
              </w:rPr>
            </w:pPr>
            <w:r>
              <w:rPr>
                <w:rFonts w:hint="eastAsia"/>
                <w:sz w:val="20"/>
                <w:szCs w:val="20"/>
              </w:rPr>
              <w:t>原有给排水管道拆除，涉及穿楼板，根据现场实际需求重新敷设。</w:t>
            </w:r>
          </w:p>
        </w:tc>
        <w:tc>
          <w:tcPr>
            <w:tcW w:w="410" w:type="dxa"/>
            <w:vAlign w:val="center"/>
          </w:tcPr>
          <w:p w14:paraId="1D163ABF">
            <w:pPr>
              <w:jc w:val="center"/>
            </w:pPr>
            <w:r>
              <w:rPr>
                <w:rFonts w:hint="eastAsia"/>
              </w:rPr>
              <w:t>1</w:t>
            </w:r>
          </w:p>
        </w:tc>
        <w:tc>
          <w:tcPr>
            <w:tcW w:w="670" w:type="dxa"/>
            <w:vAlign w:val="center"/>
          </w:tcPr>
          <w:p w14:paraId="3C4042A8">
            <w:pPr>
              <w:jc w:val="center"/>
            </w:pPr>
            <w:r>
              <w:rPr>
                <w:rFonts w:hint="eastAsia"/>
              </w:rPr>
              <w:t>项</w:t>
            </w:r>
          </w:p>
        </w:tc>
        <w:tc>
          <w:tcPr>
            <w:tcW w:w="889" w:type="dxa"/>
            <w:vAlign w:val="center"/>
          </w:tcPr>
          <w:p w14:paraId="1222280F">
            <w:pPr>
              <w:jc w:val="center"/>
            </w:pPr>
            <w:r>
              <w:rPr>
                <w:rFonts w:hint="eastAsia"/>
              </w:rPr>
              <w:t>6000</w:t>
            </w:r>
          </w:p>
        </w:tc>
        <w:tc>
          <w:tcPr>
            <w:tcW w:w="911" w:type="dxa"/>
            <w:vAlign w:val="center"/>
          </w:tcPr>
          <w:p w14:paraId="1029A644">
            <w:pPr>
              <w:jc w:val="center"/>
            </w:pPr>
            <w:r>
              <w:rPr>
                <w:rFonts w:hint="eastAsia"/>
              </w:rPr>
              <w:t>6000</w:t>
            </w:r>
          </w:p>
        </w:tc>
        <w:tc>
          <w:tcPr>
            <w:tcW w:w="2112" w:type="dxa"/>
            <w:vAlign w:val="center"/>
          </w:tcPr>
          <w:p w14:paraId="4ADA7CCA"/>
        </w:tc>
      </w:tr>
      <w:tr w14:paraId="4111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2157" w:type="dxa"/>
            <w:gridSpan w:val="7"/>
            <w:vAlign w:val="center"/>
          </w:tcPr>
          <w:p w14:paraId="5BA471AE">
            <w:pPr>
              <w:jc w:val="right"/>
            </w:pPr>
            <w:r>
              <w:rPr>
                <w:rFonts w:hint="eastAsia"/>
              </w:rPr>
              <w:t>合计：</w:t>
            </w:r>
          </w:p>
        </w:tc>
        <w:tc>
          <w:tcPr>
            <w:tcW w:w="911" w:type="dxa"/>
            <w:vAlign w:val="center"/>
          </w:tcPr>
          <w:p w14:paraId="0C6DDDF0">
            <w:r>
              <w:rPr>
                <w:rFonts w:hint="eastAsia"/>
              </w:rPr>
              <w:t>266300</w:t>
            </w:r>
          </w:p>
        </w:tc>
        <w:tc>
          <w:tcPr>
            <w:tcW w:w="2112" w:type="dxa"/>
            <w:vAlign w:val="center"/>
          </w:tcPr>
          <w:p w14:paraId="0BD2F9BE"/>
        </w:tc>
      </w:tr>
      <w:bookmarkEnd w:id="0"/>
    </w:tbl>
    <w:p w14:paraId="0EDB5784">
      <w:pPr>
        <w:widowControl/>
        <w:shd w:val="clear" w:color="auto" w:fill="FFFFFF"/>
        <w:jc w:val="left"/>
        <w:rPr>
          <w:color w:val="000000"/>
          <w:kern w:val="0"/>
          <w:szCs w:val="21"/>
        </w:rPr>
      </w:pPr>
    </w:p>
    <w:sectPr>
      <w:headerReference r:id="rId3" w:type="default"/>
      <w:pgSz w:w="16838" w:h="11906" w:orient="landscape"/>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6873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004"/>
    <w:rsid w:val="0000657F"/>
    <w:rsid w:val="000102C6"/>
    <w:rsid w:val="00015D2E"/>
    <w:rsid w:val="00023C28"/>
    <w:rsid w:val="00026273"/>
    <w:rsid w:val="00031708"/>
    <w:rsid w:val="0004231F"/>
    <w:rsid w:val="000501F1"/>
    <w:rsid w:val="0005418F"/>
    <w:rsid w:val="00057363"/>
    <w:rsid w:val="00060ECB"/>
    <w:rsid w:val="00061174"/>
    <w:rsid w:val="00063524"/>
    <w:rsid w:val="00072191"/>
    <w:rsid w:val="00075179"/>
    <w:rsid w:val="00081EAF"/>
    <w:rsid w:val="00082658"/>
    <w:rsid w:val="000A2712"/>
    <w:rsid w:val="000C58B5"/>
    <w:rsid w:val="000E2C46"/>
    <w:rsid w:val="000E7E46"/>
    <w:rsid w:val="000F2683"/>
    <w:rsid w:val="000F5461"/>
    <w:rsid w:val="00100803"/>
    <w:rsid w:val="00103533"/>
    <w:rsid w:val="00103752"/>
    <w:rsid w:val="00107D6F"/>
    <w:rsid w:val="00114784"/>
    <w:rsid w:val="00117531"/>
    <w:rsid w:val="00145C1E"/>
    <w:rsid w:val="001461FE"/>
    <w:rsid w:val="00154880"/>
    <w:rsid w:val="00180CA6"/>
    <w:rsid w:val="00197BAA"/>
    <w:rsid w:val="001C69FD"/>
    <w:rsid w:val="001D0073"/>
    <w:rsid w:val="001D04FB"/>
    <w:rsid w:val="001D2300"/>
    <w:rsid w:val="001D255C"/>
    <w:rsid w:val="001E12BA"/>
    <w:rsid w:val="00206203"/>
    <w:rsid w:val="002236A1"/>
    <w:rsid w:val="00223B8B"/>
    <w:rsid w:val="0025332B"/>
    <w:rsid w:val="00260A5A"/>
    <w:rsid w:val="00262239"/>
    <w:rsid w:val="00273577"/>
    <w:rsid w:val="00277F79"/>
    <w:rsid w:val="0029635C"/>
    <w:rsid w:val="002A53E4"/>
    <w:rsid w:val="002A7AB0"/>
    <w:rsid w:val="002C7421"/>
    <w:rsid w:val="002D1D5D"/>
    <w:rsid w:val="002D5538"/>
    <w:rsid w:val="002E7EA6"/>
    <w:rsid w:val="0030559D"/>
    <w:rsid w:val="00314641"/>
    <w:rsid w:val="003239E7"/>
    <w:rsid w:val="00346162"/>
    <w:rsid w:val="0034767B"/>
    <w:rsid w:val="00350E0C"/>
    <w:rsid w:val="00352317"/>
    <w:rsid w:val="00382130"/>
    <w:rsid w:val="00396293"/>
    <w:rsid w:val="003A3588"/>
    <w:rsid w:val="003B7FC4"/>
    <w:rsid w:val="003C0976"/>
    <w:rsid w:val="003E6338"/>
    <w:rsid w:val="004044CC"/>
    <w:rsid w:val="0040555D"/>
    <w:rsid w:val="004175C9"/>
    <w:rsid w:val="00421845"/>
    <w:rsid w:val="00430096"/>
    <w:rsid w:val="004641D0"/>
    <w:rsid w:val="004712B8"/>
    <w:rsid w:val="00473299"/>
    <w:rsid w:val="004801BC"/>
    <w:rsid w:val="0049428A"/>
    <w:rsid w:val="0049580B"/>
    <w:rsid w:val="00495850"/>
    <w:rsid w:val="00497543"/>
    <w:rsid w:val="004B720F"/>
    <w:rsid w:val="004E0D4E"/>
    <w:rsid w:val="004F0230"/>
    <w:rsid w:val="004F027D"/>
    <w:rsid w:val="004F6B74"/>
    <w:rsid w:val="00503A45"/>
    <w:rsid w:val="00506DFE"/>
    <w:rsid w:val="005142CF"/>
    <w:rsid w:val="005238B7"/>
    <w:rsid w:val="0052450D"/>
    <w:rsid w:val="0053665A"/>
    <w:rsid w:val="005537AB"/>
    <w:rsid w:val="00557B09"/>
    <w:rsid w:val="00563F5A"/>
    <w:rsid w:val="0057124D"/>
    <w:rsid w:val="00581C61"/>
    <w:rsid w:val="005923B1"/>
    <w:rsid w:val="00595BAA"/>
    <w:rsid w:val="005B17F9"/>
    <w:rsid w:val="005B4880"/>
    <w:rsid w:val="005B7640"/>
    <w:rsid w:val="005C0226"/>
    <w:rsid w:val="005C0C24"/>
    <w:rsid w:val="005E0279"/>
    <w:rsid w:val="005E4020"/>
    <w:rsid w:val="005F5D0F"/>
    <w:rsid w:val="005F7206"/>
    <w:rsid w:val="00600256"/>
    <w:rsid w:val="00602B0A"/>
    <w:rsid w:val="00610550"/>
    <w:rsid w:val="00613D84"/>
    <w:rsid w:val="00617870"/>
    <w:rsid w:val="00622597"/>
    <w:rsid w:val="006346A6"/>
    <w:rsid w:val="006422F5"/>
    <w:rsid w:val="006460D2"/>
    <w:rsid w:val="00655B05"/>
    <w:rsid w:val="006825FC"/>
    <w:rsid w:val="00694733"/>
    <w:rsid w:val="006B68E5"/>
    <w:rsid w:val="006D312B"/>
    <w:rsid w:val="006D5D7B"/>
    <w:rsid w:val="006E25F6"/>
    <w:rsid w:val="00702314"/>
    <w:rsid w:val="00702C78"/>
    <w:rsid w:val="007208A7"/>
    <w:rsid w:val="007264C9"/>
    <w:rsid w:val="0074153B"/>
    <w:rsid w:val="00746640"/>
    <w:rsid w:val="00773640"/>
    <w:rsid w:val="00776DAF"/>
    <w:rsid w:val="00785786"/>
    <w:rsid w:val="007A4C9E"/>
    <w:rsid w:val="007A5562"/>
    <w:rsid w:val="007B5C74"/>
    <w:rsid w:val="007C3EEB"/>
    <w:rsid w:val="007F4C59"/>
    <w:rsid w:val="00801525"/>
    <w:rsid w:val="0080243D"/>
    <w:rsid w:val="00807CC0"/>
    <w:rsid w:val="00817D46"/>
    <w:rsid w:val="008227BD"/>
    <w:rsid w:val="0082793B"/>
    <w:rsid w:val="00846A31"/>
    <w:rsid w:val="0086123F"/>
    <w:rsid w:val="008678AA"/>
    <w:rsid w:val="008744A9"/>
    <w:rsid w:val="00877079"/>
    <w:rsid w:val="008855CD"/>
    <w:rsid w:val="0089198D"/>
    <w:rsid w:val="008A337E"/>
    <w:rsid w:val="008A3654"/>
    <w:rsid w:val="008B1F78"/>
    <w:rsid w:val="008B2AA4"/>
    <w:rsid w:val="008B454B"/>
    <w:rsid w:val="008E5438"/>
    <w:rsid w:val="0092301F"/>
    <w:rsid w:val="0092419D"/>
    <w:rsid w:val="009419C6"/>
    <w:rsid w:val="00951560"/>
    <w:rsid w:val="0095417C"/>
    <w:rsid w:val="00957692"/>
    <w:rsid w:val="00962860"/>
    <w:rsid w:val="009659DF"/>
    <w:rsid w:val="00980342"/>
    <w:rsid w:val="00984719"/>
    <w:rsid w:val="009858B3"/>
    <w:rsid w:val="00991461"/>
    <w:rsid w:val="009A6F90"/>
    <w:rsid w:val="009C5EB2"/>
    <w:rsid w:val="009E4187"/>
    <w:rsid w:val="00A12940"/>
    <w:rsid w:val="00A213BC"/>
    <w:rsid w:val="00A22E8F"/>
    <w:rsid w:val="00A35F40"/>
    <w:rsid w:val="00A44397"/>
    <w:rsid w:val="00A66A36"/>
    <w:rsid w:val="00A70618"/>
    <w:rsid w:val="00A863DD"/>
    <w:rsid w:val="00A954B5"/>
    <w:rsid w:val="00A9619F"/>
    <w:rsid w:val="00AA4004"/>
    <w:rsid w:val="00AB0816"/>
    <w:rsid w:val="00AC08FB"/>
    <w:rsid w:val="00AC3B8B"/>
    <w:rsid w:val="00AC51FF"/>
    <w:rsid w:val="00AD02D2"/>
    <w:rsid w:val="00AD2F29"/>
    <w:rsid w:val="00AD3C2E"/>
    <w:rsid w:val="00AD6558"/>
    <w:rsid w:val="00AE5054"/>
    <w:rsid w:val="00AF0E96"/>
    <w:rsid w:val="00AF3B92"/>
    <w:rsid w:val="00B05048"/>
    <w:rsid w:val="00B220B6"/>
    <w:rsid w:val="00B2414E"/>
    <w:rsid w:val="00B34BC5"/>
    <w:rsid w:val="00B61A38"/>
    <w:rsid w:val="00B66C3F"/>
    <w:rsid w:val="00B709EC"/>
    <w:rsid w:val="00B85E66"/>
    <w:rsid w:val="00B91394"/>
    <w:rsid w:val="00B943F2"/>
    <w:rsid w:val="00BB517E"/>
    <w:rsid w:val="00BC681B"/>
    <w:rsid w:val="00BC6D3C"/>
    <w:rsid w:val="00BC6FA0"/>
    <w:rsid w:val="00BC77C8"/>
    <w:rsid w:val="00BD08F6"/>
    <w:rsid w:val="00BD42ED"/>
    <w:rsid w:val="00BE2433"/>
    <w:rsid w:val="00BF325A"/>
    <w:rsid w:val="00BF4C9E"/>
    <w:rsid w:val="00C12380"/>
    <w:rsid w:val="00C16692"/>
    <w:rsid w:val="00C2342A"/>
    <w:rsid w:val="00C2620B"/>
    <w:rsid w:val="00C26B09"/>
    <w:rsid w:val="00C33395"/>
    <w:rsid w:val="00C42BB8"/>
    <w:rsid w:val="00C510B3"/>
    <w:rsid w:val="00C926CE"/>
    <w:rsid w:val="00C94FF2"/>
    <w:rsid w:val="00CC209B"/>
    <w:rsid w:val="00CE4BC0"/>
    <w:rsid w:val="00D032F8"/>
    <w:rsid w:val="00D25AFF"/>
    <w:rsid w:val="00D40A28"/>
    <w:rsid w:val="00D45989"/>
    <w:rsid w:val="00D607FF"/>
    <w:rsid w:val="00D70470"/>
    <w:rsid w:val="00D75BEF"/>
    <w:rsid w:val="00D97DF3"/>
    <w:rsid w:val="00DA135D"/>
    <w:rsid w:val="00DA2D86"/>
    <w:rsid w:val="00DB2915"/>
    <w:rsid w:val="00DB4E6B"/>
    <w:rsid w:val="00DB7F4D"/>
    <w:rsid w:val="00DD4D6A"/>
    <w:rsid w:val="00DD6EEE"/>
    <w:rsid w:val="00DE6900"/>
    <w:rsid w:val="00E012E8"/>
    <w:rsid w:val="00E07E8A"/>
    <w:rsid w:val="00E1694D"/>
    <w:rsid w:val="00E31ECB"/>
    <w:rsid w:val="00E340B0"/>
    <w:rsid w:val="00E36C38"/>
    <w:rsid w:val="00E54427"/>
    <w:rsid w:val="00E56CBC"/>
    <w:rsid w:val="00E71B23"/>
    <w:rsid w:val="00E73972"/>
    <w:rsid w:val="00E81F90"/>
    <w:rsid w:val="00E86202"/>
    <w:rsid w:val="00E95F44"/>
    <w:rsid w:val="00EA60A3"/>
    <w:rsid w:val="00EC07F8"/>
    <w:rsid w:val="00EC0EB6"/>
    <w:rsid w:val="00EE102D"/>
    <w:rsid w:val="00EE4C62"/>
    <w:rsid w:val="00EF5C9B"/>
    <w:rsid w:val="00F019F6"/>
    <w:rsid w:val="00F027C2"/>
    <w:rsid w:val="00F23ED6"/>
    <w:rsid w:val="00F27AE8"/>
    <w:rsid w:val="00F34ECF"/>
    <w:rsid w:val="00F42469"/>
    <w:rsid w:val="00F4463F"/>
    <w:rsid w:val="00F87839"/>
    <w:rsid w:val="00F9338E"/>
    <w:rsid w:val="00F934BD"/>
    <w:rsid w:val="00FA0322"/>
    <w:rsid w:val="00FA2814"/>
    <w:rsid w:val="00FA49D9"/>
    <w:rsid w:val="00FB3EB5"/>
    <w:rsid w:val="00FE107B"/>
    <w:rsid w:val="00FE13D0"/>
    <w:rsid w:val="00FE4AD8"/>
    <w:rsid w:val="00FE520A"/>
    <w:rsid w:val="00FE73B9"/>
    <w:rsid w:val="142619C7"/>
    <w:rsid w:val="30283F91"/>
    <w:rsid w:val="399073AD"/>
    <w:rsid w:val="476D3F2F"/>
    <w:rsid w:val="4F7769ED"/>
    <w:rsid w:val="68A601AB"/>
    <w:rsid w:val="7C8349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6</Pages>
  <Words>1164</Words>
  <Characters>1441</Characters>
  <Lines>35</Lines>
  <Paragraphs>9</Paragraphs>
  <TotalTime>8</TotalTime>
  <ScaleCrop>false</ScaleCrop>
  <LinksUpToDate>false</LinksUpToDate>
  <CharactersWithSpaces>1619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2021-06-18T08:37:00Z</dcterms:created>
  <dc:creator>LSK</dc:creator>
  <dc:description>Shankar's Birthday falls on 25th July.  Don't Forget to wish him</dc:description>
  <cp:keywords>Birthday</cp:keywords>
  <cp:lastModifiedBy>莫卡</cp:lastModifiedBy>
  <cp:lastPrinted>2020-06-18T07:10:00Z</cp:lastPrinted>
  <dcterms:modified xsi:type="dcterms:W3CDTF">2026-07-31T13:16:20Z</dcterms:modified>
  <dc:subject>Birthday</dc:subject>
  <dc:title>Are You suprised ?</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eyJoZGlkIjoiOWQ2ZWExMDIwMTAyNTlkY2I3MDQ0MGE2NzkwYzQ5NGQiLCJ1c2VySWQiOiIzMTkxNDI5MTgifQ==</vt:lpwstr>
  </property>
  <property fmtid="{D5CDD505-2E9C-101B-9397-08002B2CF9AE}" pid="4" name="ICV">
    <vt:lpwstr>7F44F0886559404ABAEE26A8F8844192_13</vt:lpwstr>
  </property>
</Properties>
</file>