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4174" w:type="dxa"/>
        <w:tblInd w:w="0" w:type="dxa"/>
        <w:shd w:val="clear" w:color="auto" w:fill="auto"/>
        <w:tblLayout w:type="fixed"/>
        <w:tblCellMar>
          <w:top w:w="0" w:type="dxa"/>
          <w:left w:w="108" w:type="dxa"/>
          <w:bottom w:w="0" w:type="dxa"/>
          <w:right w:w="108" w:type="dxa"/>
        </w:tblCellMar>
      </w:tblPr>
      <w:tblGrid>
        <w:gridCol w:w="436"/>
        <w:gridCol w:w="1836"/>
        <w:gridCol w:w="1476"/>
        <w:gridCol w:w="7559"/>
        <w:gridCol w:w="436"/>
        <w:gridCol w:w="437"/>
        <w:gridCol w:w="1994"/>
      </w:tblGrid>
      <w:tr w14:paraId="66F1308E">
        <w:tblPrEx>
          <w:tblCellMar>
            <w:top w:w="0" w:type="dxa"/>
            <w:left w:w="108" w:type="dxa"/>
            <w:bottom w:w="0" w:type="dxa"/>
            <w:right w:w="108" w:type="dxa"/>
          </w:tblCellMar>
        </w:tblPrEx>
        <w:trPr>
          <w:trHeight w:val="450" w:hRule="atLeast"/>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0EA7438">
            <w:pPr>
              <w:widowControl/>
              <w:shd w:val="clear"/>
              <w:jc w:val="center"/>
              <w:textAlignment w:val="center"/>
              <w:rPr>
                <w:rFonts w:hint="eastAsia" w:ascii="宋体" w:hAnsi="宋体" w:cs="宋体"/>
                <w:b/>
                <w:bCs/>
                <w:color w:val="000000"/>
                <w:sz w:val="36"/>
                <w:szCs w:val="36"/>
              </w:rPr>
            </w:pPr>
            <w:r>
              <w:rPr>
                <w:rFonts w:hint="eastAsia" w:ascii="宋体" w:hAnsi="宋体" w:cs="宋体"/>
                <w:b/>
                <w:bCs/>
                <w:color w:val="000000"/>
                <w:kern w:val="0"/>
                <w:sz w:val="36"/>
                <w:szCs w:val="36"/>
                <w:lang w:bidi="ar"/>
              </w:rPr>
              <w:t>需求一览表</w:t>
            </w:r>
          </w:p>
        </w:tc>
      </w:tr>
      <w:tr w14:paraId="709CE51B">
        <w:tblPrEx>
          <w:tblCellMar>
            <w:top w:w="0" w:type="dxa"/>
            <w:left w:w="108" w:type="dxa"/>
            <w:bottom w:w="0" w:type="dxa"/>
            <w:right w:w="108" w:type="dxa"/>
          </w:tblCellMar>
        </w:tblPrEx>
        <w:trPr>
          <w:trHeight w:val="585" w:hRule="atLeast"/>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09A24A">
            <w:pPr>
              <w:widowControl/>
              <w:shd w:val="clear"/>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 xml:space="preserve">                                         </w:t>
            </w:r>
          </w:p>
        </w:tc>
      </w:tr>
      <w:tr w14:paraId="32B9ECB5">
        <w:tblPrEx>
          <w:shd w:val="clear" w:color="auto" w:fill="auto"/>
          <w:tblCellMar>
            <w:top w:w="0" w:type="dxa"/>
            <w:left w:w="108" w:type="dxa"/>
            <w:bottom w:w="0" w:type="dxa"/>
            <w:right w:w="108" w:type="dxa"/>
          </w:tblCellMar>
        </w:tblPrEx>
        <w:trPr>
          <w:trHeight w:val="576"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B171">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688C">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名称</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950A">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参考品牌型号</w:t>
            </w:r>
          </w:p>
        </w:tc>
        <w:tc>
          <w:tcPr>
            <w:tcW w:w="7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E5EE">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技术参数要求</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6000">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03C8">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1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1D4C">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val="en-US" w:eastAsia="zh-CN" w:bidi="ar"/>
              </w:rPr>
              <w:t>采购预算</w:t>
            </w:r>
            <w:r>
              <w:rPr>
                <w:rFonts w:hint="eastAsia" w:ascii="宋体" w:hAnsi="宋体" w:cs="宋体"/>
                <w:color w:val="000000"/>
                <w:kern w:val="0"/>
                <w:sz w:val="22"/>
                <w:szCs w:val="22"/>
                <w:lang w:bidi="ar"/>
              </w:rPr>
              <w:t>（元）</w:t>
            </w:r>
          </w:p>
        </w:tc>
      </w:tr>
      <w:tr w14:paraId="35554922">
        <w:tblPrEx>
          <w:shd w:val="clear" w:color="auto" w:fill="auto"/>
          <w:tblCellMar>
            <w:top w:w="0" w:type="dxa"/>
            <w:left w:w="108" w:type="dxa"/>
            <w:bottom w:w="0" w:type="dxa"/>
            <w:right w:w="108" w:type="dxa"/>
          </w:tblCellMar>
        </w:tblPrEx>
        <w:trPr>
          <w:trHeight w:val="618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39BA">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83EA">
            <w:pPr>
              <w:widowControl/>
              <w:shd w:val="clear"/>
              <w:jc w:val="center"/>
              <w:textAlignment w:val="center"/>
              <w:rPr>
                <w:rFonts w:hint="eastAsia" w:ascii="宋体" w:hAnsi="宋体" w:eastAsia="宋体" w:cs="宋体"/>
                <w:color w:val="000000"/>
                <w:sz w:val="18"/>
                <w:szCs w:val="18"/>
                <w:lang w:eastAsia="zh-CN"/>
              </w:rPr>
            </w:pPr>
            <w:r>
              <w:rPr>
                <w:rFonts w:hint="eastAsia" w:ascii="Times New Roman" w:hAnsi="Times New Roman" w:eastAsia="宋体" w:cs="宋体"/>
                <w:kern w:val="0"/>
                <w:sz w:val="20"/>
              </w:rPr>
              <w:t>超融合计算存储平台</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1EF4">
            <w:pPr>
              <w:widowControl/>
              <w:shd w:val="clear"/>
              <w:jc w:val="center"/>
              <w:textAlignment w:val="center"/>
              <w:rPr>
                <w:rFonts w:hint="eastAsia" w:ascii="宋体" w:hAnsi="宋体" w:cs="宋体"/>
                <w:color w:val="000000"/>
                <w:sz w:val="18"/>
                <w:szCs w:val="18"/>
              </w:rPr>
            </w:pPr>
            <w:r>
              <w:rPr>
                <w:rFonts w:hint="eastAsia" w:ascii="Times New Roman" w:hAnsi="Times New Roman" w:eastAsia="宋体" w:cs="宋体"/>
                <w:kern w:val="0"/>
                <w:sz w:val="20"/>
              </w:rPr>
              <w:t>深信服aServer-W-2205、华为、曙光或同档次以上品牌型号</w:t>
            </w:r>
            <w:r>
              <w:rPr>
                <w:rFonts w:hint="eastAsia" w:ascii="宋体" w:hAnsi="宋体" w:cs="宋体"/>
                <w:color w:val="000000"/>
                <w:kern w:val="0"/>
                <w:sz w:val="18"/>
                <w:szCs w:val="18"/>
                <w:lang w:bidi="ar"/>
              </w:rPr>
              <w:t xml:space="preserve"> </w:t>
            </w:r>
          </w:p>
        </w:tc>
        <w:tc>
          <w:tcPr>
            <w:tcW w:w="7559" w:type="dxa"/>
            <w:tcBorders>
              <w:top w:val="single" w:color="000000" w:sz="4" w:space="0"/>
              <w:left w:val="single" w:color="000000" w:sz="4" w:space="0"/>
              <w:bottom w:val="single" w:color="000000" w:sz="4" w:space="0"/>
              <w:right w:val="single" w:color="000000" w:sz="4" w:space="0"/>
            </w:tcBorders>
            <w:shd w:val="clear" w:color="auto" w:fill="auto"/>
            <w:vAlign w:val="top"/>
          </w:tcPr>
          <w:p w14:paraId="640D8BB3">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一、★硬件规格</w:t>
            </w:r>
          </w:p>
          <w:p w14:paraId="78A3A0B9">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1、规格：2U的机架式服务器，可以放入42U标准机柜；</w:t>
            </w:r>
          </w:p>
          <w:p w14:paraId="2F34BD2A">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2、处理器：配置≥2颗16核CPU Intel Xeon Gold 6326处理器，主频≥2.9GHZ；</w:t>
            </w:r>
          </w:p>
          <w:p w14:paraId="350D8580">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3、内存：配置≥384GB 3200MHz DDR4内存；内存插槽数量≥32个，最大内存可扩展至2TB；具备内存回收机制，实现内存资源的动态复用，保障服务器的性能；支持DRAM+高性能NVMe SSD内存分层技术，开启后超融合平台总可用内存≥768GB，未配置内存分层功能时，需配置768G内存达到同等可用内存容量；</w:t>
            </w:r>
          </w:p>
          <w:p w14:paraId="1E444989">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4、硬盘：配置≥1块3.2T NVME SSD（混合型），≥9块3.5寸10T SATA数据盘、≥2块480G SSD系统盘（不占用前置硬盘槽）、≥2块3.84T Intel DC系列 SSD缓存盘，支持热插拔SAS/SATA硬盘，兼容2.5英寸和3.5英寸硬盘，配备≥12个2.5/3.5寸硬盘槽；</w:t>
            </w:r>
          </w:p>
          <w:p w14:paraId="69E8FD28">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5、设备最多支持≥5个PCIe扩展插槽，配备≥4个GE端口和4个10GE端口（包含4个万兆多模光模块）；配置冗余电源；</w:t>
            </w:r>
          </w:p>
          <w:p w14:paraId="3E98653C">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6、RAID功能：提供raid 0/1/10并支持JBOD直通；</w:t>
            </w:r>
          </w:p>
          <w:p w14:paraId="72ABBD2A">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7、★包含免费3年硬件保修服务；</w:t>
            </w:r>
          </w:p>
          <w:p w14:paraId="5B23672E">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8．★为了保证平台的兼容性和稳定性，要求与 “计算服务器虚拟化软件”、 “虚拟存储软件”、“网络虚拟化软件”、“云计算管理软件”为同一品牌，并兼容集成到学校现有超融合平台，实现资源动态分配调度。</w:t>
            </w:r>
          </w:p>
          <w:p w14:paraId="194615DB">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二、计算服务器虚拟化软件</w:t>
            </w:r>
          </w:p>
          <w:p w14:paraId="7B054C60">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配置2个物理CPU的计算服务器虚拟化软件授权，同时应满足以下需求：</w:t>
            </w:r>
          </w:p>
          <w:p w14:paraId="4D3FF84E">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虚拟化软件非OEM或贴牌产品，采用分布式管理架构，去中心化，管理平台不依赖于某一个虚拟机或物理机部署，采用分布式架构保障平台更可靠，虚拟化软件应基于KVM开发，可维护性好，部署时无需绑定安装OpenStack相关组件；</w:t>
            </w:r>
          </w:p>
          <w:p w14:paraId="12651C70">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2、在超融合管理平台界面上提供虚拟机删除、开关机、挂起与恢复、重启、关闭、关闭电源、克隆、迁移、备份、模板导出、快照、标签管理等功能，并支持批量操作；</w:t>
            </w:r>
          </w:p>
          <w:p w14:paraId="165D9840">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3、★可以支持扩展同一品牌的存储虚拟化、网络功能虚拟化、虚拟应用防火墙、虚拟应用交付、SSL VPN软件、数据库审计软件等功能组件的，并支持统一管理，以保障平台的扩展性和兼容性； </w:t>
            </w:r>
          </w:p>
          <w:p w14:paraId="56BA7B6F">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4、支持纳管第三方主流虚拟化平台，可对Vmware平台上的虚拟机进行管理，支持在本地管理平台实现对VMware vCenter中的虚拟机备份，并能够在超融合的平台实现VMware虚拟机的启动恢复；</w:t>
            </w:r>
          </w:p>
          <w:p w14:paraId="4A40373A">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5、支持双向迁移操作，可将VMware虚拟机迁移到超融合平台上，也可将超融合平台上的虚拟机迁移到VMware vCenter的集群中，迁移结束后的虚拟机可进行手动或自动重启操作；</w:t>
            </w:r>
          </w:p>
          <w:p w14:paraId="6517C799">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6、★支持UPS QoS（UPS联动），为尽可能保障数据中心断电场景下的业务，可在市电断电时通过UPS临时供应电量，当UPS电量过低时，按照虚拟机优先级先将不重要的虚拟机进行软关机； </w:t>
            </w:r>
          </w:p>
          <w:p w14:paraId="6B9DA494">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7、★当扫描到物理主机的内存条出现ECC CE和UE错误时，能够将对应内存空间进行隔离并定位故障内存的槽位，减少硬件问题对业务的影响； </w:t>
            </w:r>
          </w:p>
          <w:p w14:paraId="1F94AFEA">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8、★为避免主机假死导致系列问题发生，支持识别假死主机并标签化为亚健康主机，通过邮件或短信告警提醒用户进行处理，并限制重要业务在亚健康主机上运行，规避风险； </w:t>
            </w:r>
          </w:p>
          <w:p w14:paraId="29D70C1B">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9、支持漏洞及版本信息巡检，推送补丁及升级信息，并支持补丁管理、更新、回滚；</w:t>
            </w:r>
          </w:p>
          <w:p w14:paraId="11B792DA">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10、每个虚拟机都可以安装独立的操作系统，应支持Windows、 Linux，并且支持国产操作系统包括：红旗linux、中标麒麟、中标普华、深度linux等；</w:t>
            </w:r>
          </w:p>
          <w:p w14:paraId="30ED6637">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11、支持虚拟机的HA功能，当物理服务器发生故障时，该物理服务器上的所有虚拟机，可以在集群之内的其它物理服务器上重新启动，以保障业务连续性；</w:t>
            </w:r>
          </w:p>
          <w:p w14:paraId="3B25A668">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12、支持动态资源扩展DRX，系统支持自动评估虚拟机的性能，当虚拟机性能不足时自动为虚拟机添加CPU和内存资源，确保业务持续高效运行；</w:t>
            </w:r>
          </w:p>
          <w:p w14:paraId="1A2B90EF">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13、支持集群动态资源调度DRS，系统支持自动评估物理主机的负载情况，当物理主机负载过高时，自动将该物理主机上的虚拟机迁移到其他负载较低的主机上，确保业务持续稳定和集群主机负载均衡；</w:t>
            </w:r>
          </w:p>
          <w:p w14:paraId="73EEDA34">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14、支持无代理跨物理主机的虚拟机USB映射，需要使用USB KEY时，无需在虚拟机上安装客户端插件，且虚拟机迁移到其它物理主机后，仍能正常使用迁移前所在物理主机上的USB资源；</w:t>
            </w:r>
          </w:p>
          <w:p w14:paraId="0B78D681">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15、为了更好的保护用户数据，虚拟化软件自带无代理备份功能，无需安装备份软件，支持设置定期全量备份、增量备份、差异备份，支持用户灵活配置备份策略，备份文件保留时间最高可以达到15年，支持将虚拟机的备份文件定期归档到第二存储；</w:t>
            </w:r>
          </w:p>
          <w:p w14:paraId="1A6EEEDF">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16、支持设置告警类型（紧急和普通）、告警内容（集群、主机、虚拟机、CPU、内存、磁盘），针对告警信息平台可自动给出告警处理建议，同时支持将告警信息以短信和邮件方式发送给管理员；</w:t>
            </w:r>
          </w:p>
          <w:p w14:paraId="223A128B">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17、★提供基于PowerShell的CLI命令行功能，通过PowerShell脚本可简化用户运维操作； </w:t>
            </w:r>
          </w:p>
          <w:p w14:paraId="400D232D">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18、支持点击还原按钮，还原回收站列表指定项，可恢复30天内已删除的虚拟机，可以查看回收站列表项信息，包括名称、描述、存储和删除时间和保留时间；</w:t>
            </w:r>
          </w:p>
          <w:p w14:paraId="6DA6F7C2">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三、网络虚拟化软件</w:t>
            </w:r>
          </w:p>
          <w:p w14:paraId="63DF9731">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配置2个CPU的网络虚拟化软件授权，同时应满足以下需求：</w:t>
            </w:r>
          </w:p>
          <w:p w14:paraId="0E14077B">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1、★在管理平台上可以通过拖拽虚拟设备图标和连线就能完成网络拓扑的构建，快速的实现整个业务逻辑，支持对整个平台虚拟设备实现统一的管理，提升运维管理的工作效率； </w:t>
            </w:r>
          </w:p>
          <w:p w14:paraId="1B1F8552">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2、支持管理网、业务网、数据通信网（VXLAN）和存储网复用相同物理网口。推荐两个或四个网口聚合，最多支持8个网口聚合。网口复用后，支持对不同网络平面进行流量控制和VLAN隔离，为网络中的每个虚拟机提供内置的网络故障切换和负载均衡能力，实现更高的硬件可用性和容错能力；</w:t>
            </w:r>
          </w:p>
          <w:p w14:paraId="03DBC441">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3、★支持创建分布式虚拟防火墙，可基于虚拟机、虚拟机组、虚拟机标签、IP、IP范围、IP组构建安全防火墙，当虚拟机在不同的物理节点之间迁移时，安全策略随之移动； </w:t>
            </w:r>
          </w:p>
          <w:p w14:paraId="0F6D687C">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4、分布式防火墙中可以进行创建策略操作，可以对已创建策略进行设置，包括源、目的和状态等信息，可以查看已创建的策略列表项信息，可以点击分布式防火墙中的实时拦截日志跳转到拦截日志和直通页面，可以进行实时拦截日志操作，可以查看实时拦截日志列表信息，包括时间、源、IP地址、协议（ICMP）、数据包大小和匹配策略名称，可以通过开启数据直通临时排查数据流量问题；</w:t>
            </w:r>
          </w:p>
          <w:p w14:paraId="099C4549">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5、虚拟路由器配置不限制个数，虚拟路由器支持HA功能，当虚拟路由器运行的主机出现故障时，可以实现故障自动恢复，保障业务的高可靠性；</w:t>
            </w:r>
          </w:p>
          <w:p w14:paraId="1CC42D60">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6、可以支持手动指定虚拟路由器运行在固定的物理主机上，可以自动将虚拟路由器规划到高性能和高吞吐的物理主机上；</w:t>
            </w:r>
          </w:p>
          <w:p w14:paraId="05D66092">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7、★支持跳转连通性探测页面，可以设置探测对象信息，包括网口、对象类型、IP地址，可以点击开始探测按钮查看探测页面信息，可以在网络连通性探测页面查看网络探测是否成功； </w:t>
            </w:r>
          </w:p>
          <w:p w14:paraId="3A9ED722">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8、★超融合需提供网络可视化组件，可在图形化界面上观察到所有虚拟机的流量走向与访问关系，包括源IP、目的IP、访问次数、服务类型等； </w:t>
            </w:r>
          </w:p>
          <w:p w14:paraId="543372FA">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9、超融合能够提供端口镜像功能，支持将超融合内部网络流量镜像到内部虚拟机、nfv、外部安全设备进行流量审计，可联动安全态势感知平台进行流量检测；</w:t>
            </w:r>
          </w:p>
          <w:p w14:paraId="57EA3466">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10、★为了保证设备的兼容性和稳定性，要求供应商所提供的产品与货物“计算服务器虚拟化软件”、“虚拟存储软件”“超融合一体机”“持续数据保护软件”“云计算管理软件”为同一品牌产品；</w:t>
            </w:r>
          </w:p>
          <w:p w14:paraId="3679C5A1">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四、虚拟存储软件</w:t>
            </w:r>
          </w:p>
          <w:p w14:paraId="58D6E849">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配置2个物理CPU的存储虚拟化软件授权，不限制硬盘容量，同时应满足以下需求：</w:t>
            </w:r>
          </w:p>
          <w:p w14:paraId="2DDC2DBD">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1、分布式存储能够提供超高性能，性能随着节点数增加而线性增长，三节点集群能够提供百万级IOPS和12GB/s以上的带宽能力；</w:t>
            </w:r>
          </w:p>
          <w:p w14:paraId="5B2E4216">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2、支持标准的iSCSI协议，允许外部物理主机或应用通过标准的iSCSI接口访问虚拟存储，实现Server SAN、IP-SAN、FC-SAN、NAS 的融合。通过iSCSI透传/非透传指令使虚拟机支持存储裸设备映射（RDM），可以将存储设备上的LUN 直接映射给虚拟机使用；</w:t>
            </w:r>
          </w:p>
          <w:p w14:paraId="1B6BFA9B">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3、支持以磁盘为单位创建分卷，可将集群内固态硬盘组成一个高性能全闪存存储池，满足高性能应用需求，将固态硬盘和机械硬盘组成一个大容量混合存储池，满足普通应用需求，以更低成本灵活满足不同业务对存储性能容量的不同需求，并降低故障影响范围；</w:t>
            </w:r>
          </w:p>
          <w:p w14:paraId="74A8D6E4">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4、★支持启动聚合副本后，将会有1个副本聚合在一台主机，虚拟机会优先在聚合主机运行，实现数据的本地读取，降低网络开销； </w:t>
            </w:r>
          </w:p>
          <w:p w14:paraId="35E2BC74">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5、支持条带化功能，实现分布式raid0的性能提升效果，并且支持以虚拟磁盘为单位设置不同的条带数；</w:t>
            </w:r>
          </w:p>
          <w:p w14:paraId="40507293">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6、支持多种硬盘状态检测监控及告警，包括“健康”状态、“亚健康”状态、“故障”状态，不同状态的硬盘在UI上呈现不同的特征或告警，方便用户能够区分处理；</w:t>
            </w:r>
          </w:p>
          <w:p w14:paraId="1A3A7C39">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7、★支持数据重建智能保护业务性能，可以对数据重建速度进行智能限速，避免数据重建过程中IO性能占用导致对业务的性能造成影响； </w:t>
            </w:r>
          </w:p>
          <w:p w14:paraId="1B73C9E6">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8、为了便于部署关键业务系统，虚拟存储可支持Oracle RAC，支持共享盘，及共享块设备，支持向导式安装，降低部署复杂度；</w:t>
            </w:r>
          </w:p>
          <w:p w14:paraId="47C258D0">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9、支持对虚拟机业务按照小时/天/周自定义设置定时快照策略，以便业务发生故障时可以快速回滚覆盖原虚拟机或者通过对快照进行克隆的方式生成全新虚拟机，进而恢复至业务健康状态；</w:t>
            </w:r>
          </w:p>
          <w:p w14:paraId="48EA3A30">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10、★支持呈现硬盘的状态，提供隔离硬盘、替换硬盘功能，消除硬盘异常对业务的影响； </w:t>
            </w:r>
          </w:p>
          <w:p w14:paraId="2B24257F">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11、支持坏道扫描及修复功能，发现坏道后，主动修复坏道区域的数据，及时恢复数据副本的冗余性；当硬盘的坏道数过多，系统能自动将该盘的数据迁移至其他健康的硬盘上，保障数据的安全；</w:t>
            </w:r>
          </w:p>
          <w:p w14:paraId="44FB9B1A">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12、支持磁盘亚健康监测，包括PCIE SSD寿命告警、硬盘卡、慢的检测和告警、IO错误告警、RAID卡错误告警等，支持邮件和短信告警；</w:t>
            </w:r>
          </w:p>
          <w:p w14:paraId="069F4DE8">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13、★支持选择多种克隆方式，包括快速全量克隆、全量克隆和链接克隆，可查看通过链接克隆的虚拟机是否运行正常，可以设置克隆完成后自动启动克隆虚拟机操作； </w:t>
            </w:r>
          </w:p>
          <w:p w14:paraId="3656FFB5">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14、★支持数据重建优先级调整，可以查看数据重建任务列表信息，包括对象名称、对象类型、数据量和优先级等信息，可以点击操作中的优先级对数据重建进行优先重建，保证重要的业务优先恢复数据的安全性； </w:t>
            </w:r>
          </w:p>
          <w:p w14:paraId="33BE3E44">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15、为保证集群业务或者oracle rac数据库业务的快照一致性，以便故障时业务可通过快照恢复，支持对虚拟机配置一致性组，对整个一致性组进行快照；</w:t>
            </w:r>
          </w:p>
          <w:p w14:paraId="576E4BE5">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16、支持对虚拟机或虚拟磁盘设置不同的分层QoS能力，区分出高性能虚拟机、普通性能虚拟机和低性能虚拟机；</w:t>
            </w:r>
          </w:p>
          <w:p w14:paraId="1F51DFED">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17、为了更好地进行运维，支持智能坏道预测，准确识别出接下来会出现坏道的硬盘，实现故障前预测并处理，规避故障风险；</w:t>
            </w:r>
          </w:p>
          <w:p w14:paraId="1D6D5FBE">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 xml:space="preserve">18、★支持硬盘寿命预测功能，可预估硬盘剩余可使用时间，进行实时预警，提醒用户在寿命到期之前可实现在对业务无影响的情况下安全更换硬盘； </w:t>
            </w:r>
          </w:p>
          <w:p w14:paraId="5707477B">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五、云计算管理软件</w:t>
            </w:r>
          </w:p>
          <w:p w14:paraId="384331D5">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1、支持查看资源池整体资源使用情况（CPU、内存、磁盘总容量及使用率，物理主机、云主机、集群的总数、运行状态等）；</w:t>
            </w:r>
          </w:p>
          <w:p w14:paraId="3086E90B">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2、支持查看物理主机、云主机（CPU、内存占用）资源占用排行榜Top5；</w:t>
            </w:r>
          </w:p>
          <w:p w14:paraId="27FD9AAD">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3、★支持纳管多版本超融合HCI和VMware资源池，应具备大规模资源池的纳管能力，可支持跨地域的多集群管理，多集群的物理节点纳管规模应超过1000台；</w:t>
            </w:r>
          </w:p>
          <w:p w14:paraId="4B64A742">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4、支持点击单个资源池后显示资源池计算资源的占用率和使用率、存储资源使用率、和监控概览；</w:t>
            </w:r>
          </w:p>
          <w:p w14:paraId="24A62717">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5、支持点击单个资源池后显示资源池物理主机的信息（管理口IP、规格、CPU使用率、内存使用率、资源数等）；</w:t>
            </w:r>
          </w:p>
          <w:p w14:paraId="539374AC">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6、支持点击单个资源池后显示资源池所有资源列表（物理主机、存储资源、云主机、NFV设备等）以及其对应的规格和资源使用率；</w:t>
            </w:r>
          </w:p>
          <w:p w14:paraId="5E5596C0">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7、支持点击单个超融合集群后显示集群中存储的名称、类型、性能标签、所属集群、总容量、使用率、IO速率、其上运行的云主机数；</w:t>
            </w:r>
          </w:p>
          <w:p w14:paraId="015B69C4">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8、支持异构纳管，支持同时纳管ARM\X86架构的HCI集群及资源管理；</w:t>
            </w:r>
          </w:p>
          <w:p w14:paraId="74497346">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9、支持单个或批量创建超融合HCI类型云主机，创建时支持选择镜像、资源池、计算规格（CPU、内存、插槽数、每个插槽核数、运行位置等）、存储规格（虚拟存储盘、物理磁盘等）、网络规格（支持添加网卡）、USB（添加USB设备）及其他高级选项（设定云主机自动开机、标记为重要虚拟机、自动异常重启、启用CPU热添加、内存热添加、UUID、内存回收机制）；</w:t>
            </w:r>
          </w:p>
          <w:p w14:paraId="6342C064">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10、支持删除、修改、查询云主机配置（设置基本信息、计算规格、存储规格、网络规格、引导顺序、物理机开机自动运行、标记重要云主机、异常重启、热添加、启用UUID等）；</w:t>
            </w:r>
          </w:p>
          <w:p w14:paraId="48B50D7F">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11、支持管理云主机（克隆、批量克隆、创建快照、迁移、开关机操作、挂起、设置IP、密码设置、绑定标签、绑定和解绑弹性IP、启用磁盘加密、制作镜像、导出、分配、回收、打开控制台等功能）；</w:t>
            </w:r>
          </w:p>
          <w:p w14:paraId="67E78412">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12、支持管理公共镜像（ISO、内置镜像），资源池可见范围，并通过镜像直接创建云主机；</w:t>
            </w:r>
          </w:p>
          <w:p w14:paraId="75369C17">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13、支持管理平台网络拓扑（云主机、网络设备、NFV设备的添加、删除、配置等），支持拖拽操作、所画即所得；</w:t>
            </w:r>
          </w:p>
          <w:p w14:paraId="633B55ED">
            <w:pPr>
              <w:widowControl/>
              <w:shd w:val="clear"/>
              <w:jc w:val="left"/>
              <w:textAlignment w:val="top"/>
              <w:rPr>
                <w:rFonts w:hint="eastAsia" w:ascii="Times New Roman" w:hAnsi="Times New Roman" w:eastAsia="Segoe UI" w:cs="Segoe UI"/>
                <w:b/>
                <w:bCs/>
                <w:i w:val="0"/>
                <w:iCs w:val="0"/>
                <w:caps w:val="0"/>
                <w:color w:val="0F1115"/>
                <w:spacing w:val="0"/>
                <w:sz w:val="22"/>
                <w:szCs w:val="22"/>
                <w:shd w:val="clear" w:fill="FFFFFF"/>
              </w:rPr>
            </w:pPr>
            <w:r>
              <w:rPr>
                <w:rFonts w:hint="eastAsia" w:ascii="Times New Roman" w:hAnsi="Times New Roman" w:eastAsia="Segoe UI" w:cs="Segoe UI"/>
                <w:b/>
                <w:bCs/>
                <w:i w:val="0"/>
                <w:iCs w:val="0"/>
                <w:caps w:val="0"/>
                <w:color w:val="0F1115"/>
                <w:spacing w:val="0"/>
                <w:sz w:val="22"/>
                <w:szCs w:val="22"/>
                <w:shd w:val="clear" w:fill="FFFFFF"/>
              </w:rPr>
              <w:t>14、支持将不同资源池组成连通域，添加资源池，移除资源池和删除连通域操作，最多可支持纳管1024台物理节点；</w:t>
            </w:r>
          </w:p>
          <w:p w14:paraId="69A49044">
            <w:pPr>
              <w:widowControl/>
              <w:shd w:val="clear"/>
              <w:jc w:val="left"/>
              <w:textAlignment w:val="top"/>
              <w:rPr>
                <w:rFonts w:hint="eastAsia" w:ascii="宋体" w:hAnsi="宋体" w:cs="宋体"/>
                <w:color w:val="000000"/>
                <w:sz w:val="18"/>
                <w:szCs w:val="18"/>
              </w:rPr>
            </w:pPr>
          </w:p>
        </w:tc>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3076">
            <w:pPr>
              <w:widowControl/>
              <w:shd w:val="clear"/>
              <w:jc w:val="center"/>
              <w:textAlignment w:val="center"/>
              <w:rPr>
                <w:rFonts w:hint="eastAsia" w:ascii="宋体" w:hAnsi="宋体" w:eastAsia="宋体" w:cs="宋体"/>
                <w:color w:val="000000"/>
                <w:sz w:val="18"/>
                <w:szCs w:val="18"/>
                <w:lang w:eastAsia="zh-CN"/>
              </w:rPr>
            </w:pPr>
            <w:r>
              <w:rPr>
                <w:rFonts w:hint="eastAsia" w:ascii="宋体" w:hAnsi="宋体" w:cs="宋体"/>
                <w:color w:val="000000"/>
                <w:kern w:val="0"/>
                <w:sz w:val="18"/>
                <w:szCs w:val="18"/>
                <w:lang w:val="en-US" w:eastAsia="zh-CN" w:bidi="ar"/>
              </w:rPr>
              <w:t>节点</w:t>
            </w:r>
          </w:p>
        </w:tc>
        <w:tc>
          <w:tcPr>
            <w:tcW w:w="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E4FA">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A33C2">
            <w:pPr>
              <w:widowControl/>
              <w:shd w:val="clear"/>
              <w:jc w:val="center"/>
              <w:textAlignment w:val="center"/>
              <w:rPr>
                <w:rFonts w:hint="default" w:ascii="宋体" w:hAnsi="宋体" w:cs="宋体"/>
                <w:color w:val="000000"/>
                <w:sz w:val="18"/>
                <w:szCs w:val="18"/>
                <w:lang w:val="en-US"/>
              </w:rPr>
            </w:pPr>
            <w:r>
              <w:rPr>
                <w:rFonts w:hint="eastAsia" w:ascii="宋体" w:hAnsi="宋体" w:cs="宋体"/>
                <w:color w:val="000000"/>
                <w:kern w:val="0"/>
                <w:sz w:val="18"/>
                <w:szCs w:val="18"/>
                <w:lang w:val="en-US" w:eastAsia="zh-CN" w:bidi="ar"/>
              </w:rPr>
              <w:t>238000</w:t>
            </w:r>
          </w:p>
        </w:tc>
      </w:tr>
      <w:tr w14:paraId="4367266D">
        <w:tblPrEx>
          <w:shd w:val="clear" w:color="auto" w:fill="auto"/>
          <w:tblCellMar>
            <w:top w:w="0" w:type="dxa"/>
            <w:left w:w="108" w:type="dxa"/>
            <w:bottom w:w="0" w:type="dxa"/>
            <w:right w:w="108" w:type="dxa"/>
          </w:tblCellMar>
        </w:tblPrEx>
        <w:trPr>
          <w:trHeight w:val="40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D4D5">
            <w:pPr>
              <w:widowControl/>
              <w:shd w:val="clear"/>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2C71">
            <w:pPr>
              <w:widowControl/>
              <w:shd w:val="clear"/>
              <w:jc w:val="center"/>
              <w:textAlignment w:val="center"/>
              <w:rPr>
                <w:rFonts w:hint="eastAsia" w:ascii="Times New Roman" w:hAnsi="Times New Roman" w:eastAsia="宋体" w:cs="宋体"/>
                <w:kern w:val="0"/>
                <w:sz w:val="20"/>
              </w:rPr>
            </w:pPr>
            <w:bookmarkStart w:id="0" w:name="_GoBack"/>
            <w:r>
              <w:rPr>
                <w:rFonts w:hint="eastAsia" w:ascii="Times New Roman" w:hAnsi="Times New Roman" w:eastAsia="宋体" w:cs="宋体"/>
                <w:kern w:val="0"/>
                <w:sz w:val="20"/>
              </w:rPr>
              <w:t>内存分层专用固态硬盘</w:t>
            </w:r>
            <w:bookmarkEnd w:id="0"/>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C992">
            <w:pPr>
              <w:widowControl/>
              <w:shd w:val="clear"/>
              <w:jc w:val="center"/>
              <w:textAlignment w:val="center"/>
              <w:rPr>
                <w:rFonts w:hint="eastAsia" w:ascii="Times New Roman" w:hAnsi="Times New Roman" w:eastAsia="宋体" w:cs="宋体"/>
                <w:kern w:val="0"/>
                <w:sz w:val="20"/>
              </w:rPr>
            </w:pPr>
            <w:r>
              <w:rPr>
                <w:rFonts w:hint="eastAsia" w:ascii="Times New Roman" w:hAnsi="Times New Roman" w:eastAsia="宋体" w:cs="宋体"/>
                <w:kern w:val="0"/>
                <w:sz w:val="20"/>
              </w:rPr>
              <w:t>深信服、华为、曙光或同档次以上品牌型号</w:t>
            </w:r>
          </w:p>
        </w:tc>
        <w:tc>
          <w:tcPr>
            <w:tcW w:w="7559" w:type="dxa"/>
            <w:tcBorders>
              <w:top w:val="single" w:color="000000" w:sz="4" w:space="0"/>
              <w:left w:val="single" w:color="000000" w:sz="4" w:space="0"/>
              <w:bottom w:val="single" w:color="000000" w:sz="4" w:space="0"/>
              <w:right w:val="single" w:color="000000" w:sz="4" w:space="0"/>
            </w:tcBorders>
            <w:shd w:val="clear" w:color="auto" w:fill="auto"/>
            <w:vAlign w:val="top"/>
          </w:tcPr>
          <w:p w14:paraId="7AA19DD5">
            <w:pPr>
              <w:widowControl/>
              <w:shd w:val="clear"/>
              <w:jc w:val="left"/>
              <w:textAlignment w:val="top"/>
              <w:rPr>
                <w:rFonts w:hint="eastAsia" w:ascii="宋体" w:hAnsi="宋体" w:cs="宋体"/>
                <w:color w:val="000000"/>
                <w:sz w:val="18"/>
                <w:szCs w:val="18"/>
              </w:rPr>
            </w:pPr>
            <w:r>
              <w:rPr>
                <w:rFonts w:hint="eastAsia" w:ascii="宋体" w:hAnsi="宋体" w:cs="宋体"/>
                <w:color w:val="000000"/>
                <w:sz w:val="18"/>
                <w:szCs w:val="18"/>
              </w:rPr>
              <w:t>内存分层专用固态硬盘-3.2T-U.2 NVME SSD（混合型），匹配深信服超融合aServer-W-2205，支持DRAM+高性能NVMe SSD内存分层技术，开启后超融合平台总可用内存可实现≥200%</w:t>
            </w:r>
          </w:p>
        </w:tc>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8318">
            <w:pPr>
              <w:widowControl/>
              <w:shd w:val="clear"/>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块</w:t>
            </w:r>
          </w:p>
        </w:tc>
        <w:tc>
          <w:tcPr>
            <w:tcW w:w="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F709">
            <w:pPr>
              <w:widowControl/>
              <w:shd w:val="clear"/>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w:t>
            </w:r>
          </w:p>
        </w:tc>
        <w:tc>
          <w:tcPr>
            <w:tcW w:w="1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E2C0">
            <w:pPr>
              <w:widowControl/>
              <w:shd w:val="clear"/>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42000</w:t>
            </w:r>
          </w:p>
        </w:tc>
      </w:tr>
      <w:tr w14:paraId="7427300A">
        <w:tblPrEx>
          <w:shd w:val="clear" w:color="auto" w:fill="auto"/>
          <w:tblCellMar>
            <w:top w:w="0" w:type="dxa"/>
            <w:left w:w="108" w:type="dxa"/>
            <w:bottom w:w="0" w:type="dxa"/>
            <w:right w:w="108" w:type="dxa"/>
          </w:tblCellMar>
        </w:tblPrEx>
        <w:trPr>
          <w:trHeight w:val="400" w:hRule="atLeast"/>
        </w:trPr>
        <w:tc>
          <w:tcPr>
            <w:tcW w:w="121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0657A5">
            <w:pPr>
              <w:widowControl/>
              <w:shd w:val="clear"/>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合计</w:t>
            </w:r>
          </w:p>
        </w:tc>
        <w:tc>
          <w:tcPr>
            <w:tcW w:w="1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63C0B">
            <w:pPr>
              <w:widowControl/>
              <w:shd w:val="clear"/>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280000</w:t>
            </w:r>
          </w:p>
        </w:tc>
      </w:tr>
    </w:tbl>
    <w:p w14:paraId="7ABD1868"/>
    <w:p w14:paraId="6CA02277"/>
    <w:p w14:paraId="6EBAA481"/>
    <w:p w14:paraId="51C8E66D"/>
    <w:p w14:paraId="378D1AC8"/>
    <w:p w14:paraId="47CA5161"/>
    <w:p w14:paraId="369B9561"/>
    <w:tbl>
      <w:tblPr>
        <w:tblStyle w:val="6"/>
        <w:tblpPr w:leftFromText="180" w:rightFromText="180" w:vertAnchor="text" w:horzAnchor="margin" w:tblpXSpec="center" w:tblpY="4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2234"/>
        <w:gridCol w:w="10885"/>
      </w:tblGrid>
      <w:tr w14:paraId="0039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127" w:type="dxa"/>
            <w:gridSpan w:val="3"/>
            <w:vAlign w:val="center"/>
          </w:tcPr>
          <w:p w14:paraId="6953D545">
            <w:pPr>
              <w:widowControl w:val="0"/>
              <w:jc w:val="center"/>
              <w:rPr>
                <w:rFonts w:hint="eastAsia" w:ascii="仿宋" w:hAnsi="仿宋" w:eastAsia="仿宋" w:cs="仿宋"/>
                <w:b/>
                <w:sz w:val="24"/>
                <w:szCs w:val="24"/>
                <w:highlight w:val="none"/>
              </w:rPr>
            </w:pPr>
            <w:r>
              <w:rPr>
                <w:rFonts w:hint="eastAsia" w:ascii="仿宋" w:hAnsi="仿宋" w:eastAsia="仿宋" w:cs="仿宋"/>
                <w:sz w:val="24"/>
                <w:szCs w:val="24"/>
                <w:highlight w:val="none"/>
              </w:rPr>
              <w:t>★</w:t>
            </w:r>
            <w:r>
              <w:rPr>
                <w:rFonts w:hint="eastAsia" w:ascii="仿宋" w:hAnsi="仿宋" w:eastAsia="仿宋" w:cs="仿宋"/>
                <w:b/>
                <w:sz w:val="24"/>
                <w:szCs w:val="24"/>
                <w:highlight w:val="none"/>
              </w:rPr>
              <w:t>商务条款</w:t>
            </w:r>
          </w:p>
        </w:tc>
      </w:tr>
      <w:tr w14:paraId="0140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1CFD9B2">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370" w:type="dxa"/>
            <w:vAlign w:val="center"/>
          </w:tcPr>
          <w:p w14:paraId="04131978">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报价要求</w:t>
            </w:r>
          </w:p>
        </w:tc>
        <w:tc>
          <w:tcPr>
            <w:tcW w:w="11656" w:type="dxa"/>
          </w:tcPr>
          <w:p w14:paraId="5FF5967D">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本次在线询价报价须为人民币报价，包含：产品价格、运输费（含装卸费）、税费、产品质保期内维护等费用。对于本文件中明确列明必须报价的货物或服务，供应商应分别报价。</w:t>
            </w:r>
            <w:r>
              <w:rPr>
                <w:rFonts w:hint="eastAsia" w:ascii="仿宋" w:hAnsi="仿宋" w:eastAsia="仿宋" w:cs="仿宋"/>
                <w:sz w:val="24"/>
                <w:szCs w:val="24"/>
                <w:highlight w:val="none"/>
                <w:lang w:val="en-US" w:eastAsia="zh-CN"/>
              </w:rPr>
              <w:t>文件</w:t>
            </w:r>
            <w:r>
              <w:rPr>
                <w:rFonts w:hint="eastAsia" w:ascii="仿宋" w:hAnsi="仿宋" w:eastAsia="仿宋" w:cs="仿宋"/>
                <w:sz w:val="24"/>
                <w:szCs w:val="24"/>
                <w:highlight w:val="none"/>
              </w:rPr>
              <w:t>未列明的货物或服务，不在供应商报价之内。注：</w:t>
            </w:r>
            <w:r>
              <w:rPr>
                <w:rFonts w:hint="eastAsia" w:ascii="仿宋" w:hAnsi="仿宋" w:eastAsia="仿宋" w:cs="仿宋"/>
                <w:w w:val="104"/>
                <w:sz w:val="24"/>
                <w:szCs w:val="24"/>
                <w:highlight w:val="none"/>
              </w:rPr>
              <w:t>竞标供应商的投标总报价≤采购预算。</w:t>
            </w:r>
          </w:p>
        </w:tc>
      </w:tr>
      <w:tr w14:paraId="1D73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101" w:type="dxa"/>
            <w:vAlign w:val="center"/>
          </w:tcPr>
          <w:p w14:paraId="3B38ECB3">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2370" w:type="dxa"/>
            <w:vAlign w:val="center"/>
          </w:tcPr>
          <w:p w14:paraId="08C9D3FC">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货物性能要求</w:t>
            </w:r>
          </w:p>
        </w:tc>
        <w:tc>
          <w:tcPr>
            <w:tcW w:w="11656" w:type="dxa"/>
          </w:tcPr>
          <w:p w14:paraId="30AFFB47">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本项目所有货物规格、技术参数已确定，不得做任何变更，否则视为不响应本采购要求；</w:t>
            </w:r>
          </w:p>
          <w:p w14:paraId="0C020A45">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对不能满足参数要求、虚假应标的，采购人将上报监督管理部门，由此所产生的后果由成交供应商自行承担。</w:t>
            </w:r>
          </w:p>
        </w:tc>
      </w:tr>
      <w:tr w14:paraId="47B6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D977E63">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2370" w:type="dxa"/>
            <w:vAlign w:val="center"/>
          </w:tcPr>
          <w:p w14:paraId="108E2A49">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交货要求</w:t>
            </w:r>
          </w:p>
        </w:tc>
        <w:tc>
          <w:tcPr>
            <w:tcW w:w="11656" w:type="dxa"/>
          </w:tcPr>
          <w:p w14:paraId="5CD2F484">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1.成交供应商应在签订合同之日起 14 日历天内到货安装调试完成并通过验收。</w:t>
            </w:r>
          </w:p>
          <w:p w14:paraId="58FAE743">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pacing w:val="-2"/>
                <w:w w:val="104"/>
                <w:sz w:val="24"/>
                <w:szCs w:val="24"/>
                <w:highlight w:val="none"/>
                <w:lang w:val="en-US" w:eastAsia="zh-CN"/>
              </w:rPr>
              <w:t>2.</w:t>
            </w:r>
            <w:r>
              <w:rPr>
                <w:rFonts w:hint="eastAsia" w:ascii="仿宋" w:hAnsi="仿宋" w:eastAsia="仿宋" w:cs="仿宋"/>
                <w:spacing w:val="-2"/>
                <w:w w:val="104"/>
                <w:sz w:val="24"/>
                <w:szCs w:val="24"/>
                <w:highlight w:val="none"/>
              </w:rPr>
              <w:t>成交供应商提供的货物必须是原</w:t>
            </w:r>
            <w:r>
              <w:rPr>
                <w:rFonts w:hint="eastAsia" w:ascii="仿宋" w:hAnsi="仿宋" w:eastAsia="仿宋" w:cs="仿宋"/>
                <w:spacing w:val="15"/>
                <w:w w:val="104"/>
                <w:sz w:val="24"/>
                <w:szCs w:val="24"/>
                <w:highlight w:val="none"/>
              </w:rPr>
              <w:t>厂</w:t>
            </w:r>
            <w:r>
              <w:rPr>
                <w:rFonts w:hint="eastAsia" w:ascii="仿宋" w:hAnsi="仿宋" w:eastAsia="仿宋" w:cs="仿宋"/>
                <w:spacing w:val="-3"/>
                <w:w w:val="104"/>
                <w:sz w:val="24"/>
                <w:szCs w:val="24"/>
                <w:highlight w:val="none"/>
              </w:rPr>
              <w:t>生产全新的</w:t>
            </w:r>
            <w:r>
              <w:rPr>
                <w:rFonts w:hint="eastAsia" w:ascii="仿宋" w:hAnsi="仿宋" w:eastAsia="仿宋" w:cs="仿宋"/>
                <w:spacing w:val="-25"/>
                <w:w w:val="104"/>
                <w:sz w:val="24"/>
                <w:szCs w:val="24"/>
                <w:highlight w:val="none"/>
              </w:rPr>
              <w:t>、</w:t>
            </w:r>
            <w:r>
              <w:rPr>
                <w:rFonts w:hint="eastAsia" w:ascii="仿宋" w:hAnsi="仿宋" w:eastAsia="仿宋" w:cs="仿宋"/>
                <w:w w:val="104"/>
                <w:sz w:val="24"/>
                <w:szCs w:val="24"/>
                <w:highlight w:val="none"/>
              </w:rPr>
              <w:t>完整的</w:t>
            </w:r>
            <w:r>
              <w:rPr>
                <w:rFonts w:hint="eastAsia" w:ascii="仿宋" w:hAnsi="仿宋" w:eastAsia="仿宋" w:cs="仿宋"/>
                <w:spacing w:val="-14"/>
                <w:w w:val="104"/>
                <w:sz w:val="24"/>
                <w:szCs w:val="24"/>
                <w:highlight w:val="none"/>
              </w:rPr>
              <w:t>、</w:t>
            </w:r>
            <w:r>
              <w:rPr>
                <w:rFonts w:hint="eastAsia" w:ascii="仿宋" w:hAnsi="仿宋" w:eastAsia="仿宋" w:cs="仿宋"/>
                <w:spacing w:val="-3"/>
                <w:w w:val="104"/>
                <w:sz w:val="24"/>
                <w:szCs w:val="24"/>
                <w:highlight w:val="none"/>
              </w:rPr>
              <w:t>未使用过的合格产品</w:t>
            </w:r>
            <w:r>
              <w:rPr>
                <w:rFonts w:hint="eastAsia" w:ascii="仿宋" w:hAnsi="仿宋" w:eastAsia="仿宋" w:cs="仿宋"/>
                <w:spacing w:val="-49"/>
                <w:w w:val="104"/>
                <w:sz w:val="24"/>
                <w:szCs w:val="24"/>
                <w:highlight w:val="none"/>
              </w:rPr>
              <w:t>，</w:t>
            </w:r>
            <w:r>
              <w:rPr>
                <w:rFonts w:hint="eastAsia" w:ascii="仿宋" w:hAnsi="仿宋" w:eastAsia="仿宋" w:cs="仿宋"/>
                <w:spacing w:val="-42"/>
                <w:w w:val="104"/>
                <w:sz w:val="24"/>
                <w:szCs w:val="24"/>
                <w:highlight w:val="none"/>
              </w:rPr>
              <w:t xml:space="preserve"> </w:t>
            </w:r>
            <w:r>
              <w:rPr>
                <w:rFonts w:hint="eastAsia" w:ascii="仿宋" w:hAnsi="仿宋" w:eastAsia="仿宋" w:cs="仿宋"/>
                <w:spacing w:val="-12"/>
                <w:w w:val="104"/>
                <w:sz w:val="24"/>
                <w:szCs w:val="24"/>
                <w:highlight w:val="none"/>
              </w:rPr>
              <w:t>具备正规合法经销渠道</w:t>
            </w:r>
            <w:r>
              <w:rPr>
                <w:rFonts w:hint="eastAsia" w:ascii="仿宋" w:hAnsi="仿宋" w:eastAsia="仿宋" w:cs="仿宋"/>
                <w:spacing w:val="-12"/>
                <w:w w:val="104"/>
                <w:sz w:val="24"/>
                <w:szCs w:val="24"/>
                <w:highlight w:val="none"/>
                <w:lang w:eastAsia="zh-CN"/>
              </w:rPr>
              <w:t>。</w:t>
            </w:r>
            <w:r>
              <w:rPr>
                <w:rFonts w:hint="eastAsia" w:ascii="仿宋" w:hAnsi="仿宋" w:eastAsia="仿宋" w:cs="仿宋"/>
                <w:spacing w:val="-49"/>
                <w:w w:val="104"/>
                <w:sz w:val="24"/>
                <w:szCs w:val="24"/>
                <w:highlight w:val="none"/>
              </w:rPr>
              <w:t xml:space="preserve"> </w:t>
            </w:r>
            <w:r>
              <w:rPr>
                <w:rFonts w:hint="eastAsia" w:ascii="仿宋" w:hAnsi="仿宋" w:eastAsia="仿宋" w:cs="仿宋"/>
                <w:spacing w:val="-12"/>
                <w:w w:val="104"/>
                <w:sz w:val="24"/>
                <w:szCs w:val="24"/>
                <w:highlight w:val="none"/>
              </w:rPr>
              <w:t>所有产品除满足</w:t>
            </w:r>
            <w:r>
              <w:rPr>
                <w:rFonts w:hint="eastAsia" w:ascii="仿宋" w:hAnsi="仿宋" w:eastAsia="仿宋" w:cs="仿宋"/>
                <w:spacing w:val="-14"/>
                <w:w w:val="104"/>
                <w:sz w:val="24"/>
                <w:szCs w:val="24"/>
                <w:highlight w:val="none"/>
              </w:rPr>
              <w:t>上</w:t>
            </w:r>
            <w:r>
              <w:rPr>
                <w:rFonts w:hint="eastAsia" w:ascii="仿宋" w:hAnsi="仿宋" w:eastAsia="仿宋" w:cs="仿宋"/>
                <w:spacing w:val="-5"/>
                <w:w w:val="104"/>
                <w:sz w:val="24"/>
                <w:szCs w:val="24"/>
                <w:highlight w:val="none"/>
              </w:rPr>
              <w:t>表要求的技术</w:t>
            </w:r>
            <w:r>
              <w:rPr>
                <w:rFonts w:hint="eastAsia" w:ascii="仿宋" w:hAnsi="仿宋" w:eastAsia="仿宋" w:cs="仿宋"/>
                <w:spacing w:val="-1"/>
                <w:w w:val="104"/>
                <w:sz w:val="24"/>
                <w:szCs w:val="24"/>
                <w:highlight w:val="none"/>
              </w:rPr>
              <w:t>参数外</w:t>
            </w:r>
            <w:r>
              <w:rPr>
                <w:rFonts w:hint="eastAsia" w:ascii="仿宋" w:hAnsi="仿宋" w:eastAsia="仿宋" w:cs="仿宋"/>
                <w:spacing w:val="5"/>
                <w:w w:val="104"/>
                <w:sz w:val="24"/>
                <w:szCs w:val="24"/>
                <w:highlight w:val="none"/>
              </w:rPr>
              <w:t>，</w:t>
            </w:r>
            <w:r>
              <w:rPr>
                <w:rFonts w:hint="eastAsia" w:ascii="仿宋" w:hAnsi="仿宋" w:eastAsia="仿宋" w:cs="仿宋"/>
                <w:spacing w:val="5"/>
                <w:w w:val="104"/>
                <w:sz w:val="24"/>
                <w:szCs w:val="24"/>
                <w:highlight w:val="none"/>
                <w:lang w:val="en-US" w:eastAsia="zh-CN"/>
              </w:rPr>
              <w:t>质量</w:t>
            </w:r>
            <w:r>
              <w:rPr>
                <w:rFonts w:hint="eastAsia" w:ascii="仿宋" w:hAnsi="仿宋" w:eastAsia="仿宋" w:cs="仿宋"/>
                <w:spacing w:val="-1"/>
                <w:w w:val="104"/>
                <w:sz w:val="24"/>
                <w:szCs w:val="24"/>
                <w:highlight w:val="none"/>
              </w:rPr>
              <w:t>符合国家标准和规范</w:t>
            </w:r>
            <w:r>
              <w:rPr>
                <w:rFonts w:hint="eastAsia" w:ascii="仿宋" w:hAnsi="仿宋" w:eastAsia="仿宋" w:cs="仿宋"/>
                <w:spacing w:val="-12"/>
                <w:w w:val="104"/>
                <w:sz w:val="24"/>
                <w:szCs w:val="24"/>
                <w:highlight w:val="none"/>
                <w:lang w:val="en-US" w:eastAsia="zh-CN"/>
              </w:rPr>
              <w:t>及</w:t>
            </w:r>
            <w:r>
              <w:rPr>
                <w:rFonts w:hint="eastAsia" w:ascii="仿宋" w:hAnsi="仿宋" w:eastAsia="仿宋" w:cs="仿宋"/>
                <w:spacing w:val="-9"/>
                <w:w w:val="104"/>
                <w:sz w:val="24"/>
                <w:szCs w:val="24"/>
                <w:highlight w:val="none"/>
              </w:rPr>
              <w:t>生产</w:t>
            </w:r>
            <w:r>
              <w:rPr>
                <w:rFonts w:hint="eastAsia" w:ascii="仿宋" w:hAnsi="仿宋" w:eastAsia="仿宋" w:cs="仿宋"/>
                <w:spacing w:val="2"/>
                <w:w w:val="104"/>
                <w:sz w:val="24"/>
                <w:szCs w:val="24"/>
                <w:highlight w:val="none"/>
              </w:rPr>
              <w:t>厂</w:t>
            </w:r>
            <w:r>
              <w:rPr>
                <w:rFonts w:hint="eastAsia" w:ascii="仿宋" w:hAnsi="仿宋" w:eastAsia="仿宋" w:cs="仿宋"/>
                <w:spacing w:val="5"/>
                <w:w w:val="104"/>
                <w:sz w:val="24"/>
                <w:szCs w:val="24"/>
                <w:highlight w:val="none"/>
              </w:rPr>
              <w:t>家出厂</w:t>
            </w:r>
            <w:r>
              <w:rPr>
                <w:rFonts w:hint="eastAsia" w:ascii="仿宋" w:hAnsi="仿宋" w:eastAsia="仿宋" w:cs="仿宋"/>
                <w:spacing w:val="-2"/>
                <w:w w:val="104"/>
                <w:sz w:val="24"/>
                <w:szCs w:val="24"/>
                <w:highlight w:val="none"/>
              </w:rPr>
              <w:t>标准配置。成交供应商提供的货物</w:t>
            </w:r>
            <w:r>
              <w:rPr>
                <w:rFonts w:hint="eastAsia" w:ascii="仿宋" w:hAnsi="仿宋" w:eastAsia="仿宋" w:cs="仿宋"/>
                <w:spacing w:val="10"/>
                <w:w w:val="104"/>
                <w:sz w:val="24"/>
                <w:szCs w:val="24"/>
                <w:highlight w:val="none"/>
              </w:rPr>
              <w:t>规格</w:t>
            </w:r>
            <w:r>
              <w:rPr>
                <w:rFonts w:hint="eastAsia" w:ascii="仿宋" w:hAnsi="仿宋" w:eastAsia="仿宋" w:cs="仿宋"/>
                <w:spacing w:val="16"/>
                <w:w w:val="104"/>
                <w:sz w:val="24"/>
                <w:szCs w:val="24"/>
                <w:highlight w:val="none"/>
              </w:rPr>
              <w:t>、</w:t>
            </w:r>
            <w:r>
              <w:rPr>
                <w:rFonts w:hint="eastAsia" w:ascii="仿宋" w:hAnsi="仿宋" w:eastAsia="仿宋" w:cs="仿宋"/>
                <w:spacing w:val="-2"/>
                <w:w w:val="104"/>
                <w:sz w:val="24"/>
                <w:szCs w:val="24"/>
                <w:highlight w:val="none"/>
              </w:rPr>
              <w:t>技术参数</w:t>
            </w:r>
            <w:r>
              <w:rPr>
                <w:rFonts w:hint="eastAsia" w:ascii="仿宋" w:hAnsi="仿宋" w:eastAsia="仿宋" w:cs="仿宋"/>
                <w:w w:val="104"/>
                <w:sz w:val="24"/>
                <w:szCs w:val="24"/>
                <w:highlight w:val="none"/>
              </w:rPr>
              <w:t>、质量不符合合同规定及采购需求</w:t>
            </w:r>
            <w:r>
              <w:rPr>
                <w:rFonts w:hint="eastAsia" w:ascii="仿宋" w:hAnsi="仿宋" w:eastAsia="仿宋" w:cs="仿宋"/>
                <w:spacing w:val="-30"/>
                <w:w w:val="104"/>
                <w:sz w:val="24"/>
                <w:szCs w:val="24"/>
                <w:highlight w:val="none"/>
              </w:rPr>
              <w:t>规定标准的</w:t>
            </w:r>
            <w:r>
              <w:rPr>
                <w:rFonts w:hint="eastAsia" w:ascii="仿宋" w:hAnsi="仿宋" w:eastAsia="仿宋" w:cs="仿宋"/>
                <w:spacing w:val="-30"/>
                <w:w w:val="104"/>
                <w:sz w:val="24"/>
                <w:szCs w:val="24"/>
                <w:highlight w:val="none"/>
                <w:lang w:eastAsia="zh-CN"/>
              </w:rPr>
              <w:t>，</w:t>
            </w:r>
            <w:r>
              <w:rPr>
                <w:rFonts w:hint="eastAsia" w:ascii="仿宋" w:hAnsi="仿宋" w:eastAsia="仿宋" w:cs="仿宋"/>
                <w:w w:val="104"/>
                <w:sz w:val="24"/>
                <w:szCs w:val="24"/>
                <w:highlight w:val="none"/>
              </w:rPr>
              <w:t>采购人有权拒收该货物。</w:t>
            </w:r>
            <w:r>
              <w:rPr>
                <w:rFonts w:hint="eastAsia" w:ascii="仿宋" w:hAnsi="仿宋" w:eastAsia="仿宋" w:cs="仿宋"/>
                <w:spacing w:val="1"/>
                <w:sz w:val="24"/>
                <w:szCs w:val="24"/>
                <w:highlight w:val="none"/>
              </w:rPr>
              <w:t>成交供应商拒绝更换</w:t>
            </w:r>
            <w:r>
              <w:rPr>
                <w:rFonts w:hint="eastAsia" w:ascii="仿宋" w:hAnsi="仿宋" w:eastAsia="仿宋" w:cs="仿宋"/>
                <w:spacing w:val="1"/>
                <w:sz w:val="24"/>
                <w:szCs w:val="24"/>
                <w:highlight w:val="none"/>
                <w:lang w:val="en-US" w:eastAsia="zh-CN"/>
              </w:rPr>
              <w:t>为合格</w:t>
            </w:r>
            <w:r>
              <w:rPr>
                <w:rFonts w:hint="eastAsia" w:ascii="仿宋" w:hAnsi="仿宋" w:eastAsia="仿宋" w:cs="仿宋"/>
                <w:spacing w:val="1"/>
                <w:sz w:val="24"/>
                <w:szCs w:val="24"/>
                <w:highlight w:val="none"/>
              </w:rPr>
              <w:t>货物的，</w:t>
            </w:r>
            <w:r>
              <w:rPr>
                <w:rFonts w:hint="eastAsia" w:ascii="仿宋" w:hAnsi="仿宋" w:eastAsia="仿宋" w:cs="仿宋"/>
                <w:spacing w:val="-2"/>
                <w:sz w:val="24"/>
                <w:szCs w:val="24"/>
                <w:highlight w:val="none"/>
              </w:rPr>
              <w:t>采购人可单方面解除合同</w:t>
            </w:r>
            <w:r>
              <w:rPr>
                <w:rFonts w:hint="eastAsia" w:ascii="仿宋" w:hAnsi="仿宋" w:eastAsia="仿宋" w:cs="仿宋"/>
                <w:spacing w:val="-2"/>
                <w:sz w:val="24"/>
                <w:szCs w:val="24"/>
                <w:highlight w:val="none"/>
                <w:lang w:eastAsia="zh-CN"/>
              </w:rPr>
              <w:t>，</w:t>
            </w:r>
            <w:r>
              <w:rPr>
                <w:rFonts w:hint="eastAsia" w:ascii="仿宋" w:hAnsi="仿宋" w:eastAsia="仿宋" w:cs="仿宋"/>
                <w:sz w:val="24"/>
                <w:szCs w:val="24"/>
                <w:highlight w:val="none"/>
              </w:rPr>
              <w:t>并有权要求成交供应商赔偿经济损失。</w:t>
            </w:r>
          </w:p>
          <w:p w14:paraId="7C5999C4">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如</w:t>
            </w:r>
            <w:r>
              <w:rPr>
                <w:rFonts w:hint="eastAsia" w:ascii="仿宋" w:hAnsi="仿宋" w:eastAsia="仿宋" w:cs="仿宋"/>
                <w:sz w:val="24"/>
                <w:szCs w:val="24"/>
                <w:highlight w:val="none"/>
                <w:lang w:val="en-US" w:eastAsia="zh-CN"/>
              </w:rPr>
              <w:t>成交供应商</w:t>
            </w:r>
            <w:r>
              <w:rPr>
                <w:rFonts w:hint="eastAsia" w:ascii="仿宋" w:hAnsi="仿宋" w:eastAsia="仿宋" w:cs="仿宋"/>
                <w:sz w:val="24"/>
                <w:szCs w:val="24"/>
                <w:highlight w:val="none"/>
              </w:rPr>
              <w:t>不能按期交货，则视为违约，造成的一切损失由成交供应商承担。成交供应商提供的货物及服务不满足在线询价文件要求而导致最终验收不合格的</w:t>
            </w:r>
            <w:r>
              <w:rPr>
                <w:rFonts w:hint="eastAsia" w:ascii="仿宋" w:hAnsi="仿宋" w:eastAsia="仿宋" w:cs="仿宋"/>
                <w:spacing w:val="7"/>
                <w:sz w:val="24"/>
                <w:szCs w:val="24"/>
                <w:highlight w:val="none"/>
              </w:rPr>
              <w:t>，</w:t>
            </w:r>
            <w:r>
              <w:rPr>
                <w:rFonts w:hint="eastAsia" w:ascii="仿宋" w:hAnsi="仿宋" w:eastAsia="仿宋" w:cs="仿宋"/>
                <w:spacing w:val="3"/>
                <w:sz w:val="24"/>
                <w:szCs w:val="24"/>
                <w:highlight w:val="none"/>
              </w:rPr>
              <w:t>采购人有权解除合同并追究成交供应商的法律责任。</w:t>
            </w:r>
          </w:p>
        </w:tc>
      </w:tr>
      <w:tr w14:paraId="2A4C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48F8BE2">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2370" w:type="dxa"/>
            <w:vAlign w:val="center"/>
          </w:tcPr>
          <w:p w14:paraId="472C56E5">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交货地点</w:t>
            </w:r>
          </w:p>
        </w:tc>
        <w:tc>
          <w:tcPr>
            <w:tcW w:w="11656" w:type="dxa"/>
          </w:tcPr>
          <w:p w14:paraId="01D02B6A">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采购人指定地点。</w:t>
            </w:r>
          </w:p>
        </w:tc>
      </w:tr>
      <w:tr w14:paraId="1F1D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5A2B72D">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w:t>
            </w:r>
          </w:p>
        </w:tc>
        <w:tc>
          <w:tcPr>
            <w:tcW w:w="2370" w:type="dxa"/>
            <w:vAlign w:val="center"/>
          </w:tcPr>
          <w:p w14:paraId="5D6CD516">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验收</w:t>
            </w:r>
          </w:p>
        </w:tc>
        <w:tc>
          <w:tcPr>
            <w:tcW w:w="11656" w:type="dxa"/>
          </w:tcPr>
          <w:p w14:paraId="69E810AB">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1.货物验收时由采购人对照采购文件的《技术参数及性能（配置）要求》进行全面核对检验，对所有要求出具的文件和材料的原件进行核查，如不符合采购文件要求或提供虚假承诺的，采购人有权拒绝验收并做违约处理，供应商承担所有责任和费用，采购人保留进一步追究责任的权利。</w:t>
            </w:r>
          </w:p>
          <w:p w14:paraId="423EAABD">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2.货物经过双方检验认可后，签署验收报告。由成交供应商提供产品保修文件。</w:t>
            </w:r>
          </w:p>
          <w:p w14:paraId="47DA15DE">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3.当满足以下条件时，采购人才向成交供应商签发货物验收报告：</w:t>
            </w:r>
          </w:p>
          <w:p w14:paraId="4307D0E8">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（1）成交供应商已按照合同规定提供了全部产品及完整的技术资料。</w:t>
            </w:r>
          </w:p>
          <w:p w14:paraId="21DB6F76">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（2）货物各项参数完全符合《技术参数及性能（配置）要求》的要求，性能满足要求。</w:t>
            </w:r>
          </w:p>
          <w:p w14:paraId="4F59BE4D">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（3）成交供应商需负责安装、调试（测试），并完成采购人的使用操作培训。</w:t>
            </w:r>
          </w:p>
          <w:p w14:paraId="4EB58560">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4.验收过程中所产生的一切费用均由成交供应商承担，报价时应考虑相关费用。</w:t>
            </w:r>
          </w:p>
          <w:p w14:paraId="008D0A22">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5.成交产品不能涉及任何法律纠纷。</w:t>
            </w:r>
          </w:p>
        </w:tc>
      </w:tr>
      <w:tr w14:paraId="7056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F9EE9AE">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6</w:t>
            </w:r>
          </w:p>
        </w:tc>
        <w:tc>
          <w:tcPr>
            <w:tcW w:w="2370" w:type="dxa"/>
            <w:vAlign w:val="center"/>
          </w:tcPr>
          <w:p w14:paraId="037AF411">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货款结算</w:t>
            </w:r>
          </w:p>
        </w:tc>
        <w:tc>
          <w:tcPr>
            <w:tcW w:w="11656" w:type="dxa"/>
          </w:tcPr>
          <w:p w14:paraId="48C78DA9">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一次性支付：本合同项下的全部货物经最终验收合格，采购人凭成交供应商开具的全额发票后 15 个工作日内向成交供应商支付全部合同价款。</w:t>
            </w:r>
          </w:p>
        </w:tc>
      </w:tr>
      <w:tr w14:paraId="74AE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DB0A572">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7</w:t>
            </w:r>
          </w:p>
        </w:tc>
        <w:tc>
          <w:tcPr>
            <w:tcW w:w="2370" w:type="dxa"/>
            <w:vAlign w:val="center"/>
          </w:tcPr>
          <w:p w14:paraId="0102BA7A">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质保期</w:t>
            </w:r>
          </w:p>
        </w:tc>
        <w:tc>
          <w:tcPr>
            <w:tcW w:w="11656" w:type="dxa"/>
          </w:tcPr>
          <w:p w14:paraId="154192AB">
            <w:pPr>
              <w:widowControl w:val="0"/>
              <w:tabs>
                <w:tab w:val="center" w:pos="4153"/>
                <w:tab w:val="right" w:pos="8306"/>
              </w:tabs>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1.按国家有关产品“三包”规定执行“三包”政策，质量保证期不少于 </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 xml:space="preserve"> 年（ 分项货物或配置有明确要求的按分项要求；生产厂家承诺的质量保证期更长的按生产厂家的承诺）， 交货验收合格之日起计。</w:t>
            </w:r>
          </w:p>
          <w:p w14:paraId="37804DCA">
            <w:pPr>
              <w:widowControl w:val="0"/>
              <w:tabs>
                <w:tab w:val="center" w:pos="4153"/>
                <w:tab w:val="right" w:pos="8306"/>
              </w:tabs>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2.在质量保证期内出现的任何故障及损失，成交供应商负责维修、更换配件，并负责软件更新升级、系统维护和远程服务。</w:t>
            </w:r>
          </w:p>
          <w:p w14:paraId="6F346AE7">
            <w:pPr>
              <w:widowControl w:val="0"/>
              <w:tabs>
                <w:tab w:val="center" w:pos="4153"/>
                <w:tab w:val="right" w:pos="8306"/>
              </w:tabs>
              <w:snapToGrid w:val="0"/>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3.质量保证期满后，终身维护，且以市场最优惠价格提供维修和备件更换、软件更新升级，且承诺为用户提供终身技术咨询服务。</w:t>
            </w:r>
          </w:p>
        </w:tc>
      </w:tr>
      <w:tr w14:paraId="299F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7CCF1D6">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8</w:t>
            </w:r>
          </w:p>
        </w:tc>
        <w:tc>
          <w:tcPr>
            <w:tcW w:w="2370" w:type="dxa"/>
            <w:vAlign w:val="center"/>
          </w:tcPr>
          <w:p w14:paraId="37FF5A57">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售后服务要求</w:t>
            </w:r>
          </w:p>
        </w:tc>
        <w:tc>
          <w:tcPr>
            <w:tcW w:w="11656" w:type="dxa"/>
          </w:tcPr>
          <w:p w14:paraId="38F4D473">
            <w:pPr>
              <w:pStyle w:val="8"/>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1.负责送货上门、提供产品原厂工程师现场安装、安装调试服务、技术培训和 48个月远程服务。</w:t>
            </w:r>
          </w:p>
          <w:p w14:paraId="4CB47A82">
            <w:pPr>
              <w:pStyle w:val="8"/>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2.维修响应：售后服务要求 7 天×8 小时工作制，成交供应商在接到用户维修电话后 1 小时内响应，3 小时内到达现场处理，一般情况下 24 小时内恢复正常使用。若不能修复须有合理应对方案。</w:t>
            </w:r>
          </w:p>
          <w:p w14:paraId="7DEC8DD5">
            <w:pPr>
              <w:pStyle w:val="8"/>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3.质量保证期内因设备性能故障检修三次仍不能正常使用的，更换新设备。在超出质量保证期后，如产品发生故障，可派技术员上门服务；如需更换配件，配件均按市场最优惠价格供应。</w:t>
            </w:r>
          </w:p>
          <w:p w14:paraId="395A816D">
            <w:pPr>
              <w:pStyle w:val="8"/>
              <w:widowControl w:val="0"/>
              <w:numPr>
                <w:ilvl w:val="0"/>
                <w:numId w:val="0"/>
              </w:numPr>
              <w:tabs>
                <w:tab w:val="center" w:pos="4153"/>
                <w:tab w:val="right" w:pos="8306"/>
              </w:tabs>
              <w:snapToGrid w:val="0"/>
              <w:ind w:leftChars="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4.终身提供技术协助服务。</w:t>
            </w:r>
          </w:p>
        </w:tc>
      </w:tr>
      <w:tr w14:paraId="7EEF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8A15D15">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9</w:t>
            </w:r>
          </w:p>
        </w:tc>
        <w:tc>
          <w:tcPr>
            <w:tcW w:w="2370" w:type="dxa"/>
            <w:vAlign w:val="center"/>
          </w:tcPr>
          <w:p w14:paraId="2085CE24">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违约责任</w:t>
            </w:r>
          </w:p>
        </w:tc>
        <w:tc>
          <w:tcPr>
            <w:tcW w:w="11656" w:type="dxa"/>
          </w:tcPr>
          <w:p w14:paraId="63C3F806">
            <w:pPr>
              <w:widowControl w:val="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本在线询价文件项下的货物在交货、验收及质保期等任何阶段内不符合合同约定的技术规范要求和验收标准的，采购人有权向成交供应商索赔并选择下列一项或多项补救措施：</w:t>
            </w:r>
          </w:p>
          <w:p w14:paraId="598C9642">
            <w:pPr>
              <w:widowControl w:val="0"/>
              <w:rPr>
                <w:rFonts w:ascii="仿宋" w:hAnsi="仿宋" w:eastAsia="仿宋" w:cs="仿宋"/>
                <w:sz w:val="24"/>
                <w:szCs w:val="24"/>
                <w:highlight w:val="none"/>
              </w:rPr>
            </w:pPr>
            <w:r>
              <w:rPr>
                <w:rFonts w:hint="eastAsia" w:ascii="仿宋" w:hAnsi="仿宋" w:eastAsia="仿宋" w:cs="仿宋"/>
                <w:sz w:val="24"/>
                <w:szCs w:val="24"/>
                <w:highlight w:val="none"/>
              </w:rPr>
              <w:t>（1）由成交供应商采取措施消除货物缺陷或不符合合同之处，如果成交供应商不能及时消除缺陷，采购人有权自行消除缺陷或不符合合同之处，由此产生的一切费用均由成交供应商承担。</w:t>
            </w:r>
          </w:p>
          <w:p w14:paraId="510B5250">
            <w:pPr>
              <w:widowControl w:val="0"/>
              <w:rPr>
                <w:rFonts w:hint="eastAsia" w:ascii="仿宋" w:hAnsi="仿宋" w:eastAsia="仿宋" w:cs="仿宋"/>
                <w:b w:val="0"/>
                <w:bCs w:val="0"/>
                <w:sz w:val="24"/>
                <w:szCs w:val="24"/>
                <w:highlight w:val="none"/>
              </w:rPr>
            </w:pPr>
            <w:r>
              <w:rPr>
                <w:rFonts w:hint="eastAsia" w:ascii="仿宋" w:hAnsi="仿宋" w:eastAsia="仿宋" w:cs="仿宋"/>
                <w:sz w:val="24"/>
                <w:szCs w:val="24"/>
                <w:highlight w:val="none"/>
              </w:rPr>
              <w:t>（2）由成交供应商在接到</w:t>
            </w:r>
            <w:r>
              <w:rPr>
                <w:rFonts w:hint="eastAsia" w:ascii="仿宋" w:hAnsi="仿宋" w:eastAsia="仿宋" w:cs="仿宋"/>
                <w:b w:val="0"/>
                <w:bCs w:val="0"/>
                <w:sz w:val="24"/>
                <w:szCs w:val="24"/>
                <w:highlight w:val="none"/>
              </w:rPr>
              <w:t>采购人通知后</w:t>
            </w: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日内用符合合同规定的规格、质量和</w:t>
            </w:r>
            <w:r>
              <w:rPr>
                <w:rFonts w:hint="eastAsia" w:ascii="仿宋" w:hAnsi="仿宋" w:eastAsia="仿宋" w:cs="仿宋"/>
                <w:b w:val="0"/>
                <w:bCs w:val="0"/>
                <w:sz w:val="24"/>
                <w:szCs w:val="24"/>
                <w:highlight w:val="none"/>
                <w:lang w:val="en-US" w:eastAsia="zh-CN"/>
              </w:rPr>
              <w:t>参数</w:t>
            </w:r>
            <w:r>
              <w:rPr>
                <w:rFonts w:hint="eastAsia" w:ascii="仿宋" w:hAnsi="仿宋" w:eastAsia="仿宋" w:cs="仿宋"/>
                <w:b w:val="0"/>
                <w:bCs w:val="0"/>
                <w:sz w:val="24"/>
                <w:szCs w:val="24"/>
                <w:highlight w:val="none"/>
              </w:rPr>
              <w:t>要求的</w:t>
            </w:r>
            <w:r>
              <w:rPr>
                <w:rFonts w:hint="eastAsia" w:ascii="仿宋" w:hAnsi="仿宋" w:eastAsia="仿宋" w:cs="仿宋"/>
                <w:b w:val="0"/>
                <w:bCs w:val="0"/>
                <w:sz w:val="24"/>
                <w:szCs w:val="24"/>
                <w:highlight w:val="none"/>
                <w:lang w:val="en-US" w:eastAsia="zh-CN"/>
              </w:rPr>
              <w:t>货物</w:t>
            </w:r>
            <w:r>
              <w:rPr>
                <w:rFonts w:hint="eastAsia" w:ascii="仿宋" w:hAnsi="仿宋" w:eastAsia="仿宋" w:cs="仿宋"/>
                <w:b w:val="0"/>
                <w:bCs w:val="0"/>
                <w:sz w:val="24"/>
                <w:szCs w:val="24"/>
                <w:highlight w:val="none"/>
              </w:rPr>
              <w:t>更换有缺陷的</w:t>
            </w:r>
            <w:r>
              <w:rPr>
                <w:rFonts w:hint="eastAsia" w:ascii="仿宋" w:hAnsi="仿宋" w:eastAsia="仿宋" w:cs="仿宋"/>
                <w:b w:val="0"/>
                <w:bCs w:val="0"/>
                <w:sz w:val="24"/>
                <w:szCs w:val="24"/>
                <w:highlight w:val="none"/>
                <w:lang w:val="en-US" w:eastAsia="zh-CN"/>
              </w:rPr>
              <w:t>或者错误的货物</w:t>
            </w:r>
            <w:r>
              <w:rPr>
                <w:rFonts w:hint="eastAsia" w:ascii="仿宋" w:hAnsi="仿宋" w:eastAsia="仿宋" w:cs="仿宋"/>
                <w:b w:val="0"/>
                <w:bCs w:val="0"/>
                <w:sz w:val="24"/>
                <w:szCs w:val="24"/>
                <w:highlight w:val="none"/>
              </w:rPr>
              <w:t>，成交供应商应承担一切费用和风险并负担给采购人造成的全部损失。</w:t>
            </w:r>
          </w:p>
          <w:p w14:paraId="744A2C9E">
            <w:pPr>
              <w:widowControl w:val="0"/>
              <w:rPr>
                <w:rFonts w:ascii="仿宋" w:hAnsi="仿宋" w:eastAsia="仿宋" w:cs="仿宋"/>
                <w:sz w:val="24"/>
                <w:szCs w:val="24"/>
                <w:highlight w:val="none"/>
              </w:rPr>
            </w:pPr>
            <w:r>
              <w:rPr>
                <w:rFonts w:hint="eastAsia" w:ascii="仿宋" w:hAnsi="仿宋" w:eastAsia="仿宋" w:cs="仿宋"/>
                <w:sz w:val="24"/>
                <w:szCs w:val="24"/>
                <w:highlight w:val="none"/>
              </w:rPr>
              <w:t>（3）退货，成交供应商应退还采购人支付的全部合同款，同时应承担该货物的直接费用（运输、保险、检验、</w:t>
            </w:r>
            <w:r>
              <w:rPr>
                <w:rFonts w:hint="eastAsia" w:ascii="仿宋" w:hAnsi="仿宋" w:eastAsia="仿宋" w:cs="仿宋"/>
                <w:sz w:val="24"/>
                <w:szCs w:val="24"/>
                <w:highlight w:val="none"/>
                <w:lang w:eastAsia="zh-CN"/>
              </w:rPr>
              <w:t>贷款利息</w:t>
            </w:r>
            <w:r>
              <w:rPr>
                <w:rFonts w:hint="eastAsia" w:ascii="仿宋" w:hAnsi="仿宋" w:eastAsia="仿宋" w:cs="仿宋"/>
                <w:sz w:val="24"/>
                <w:szCs w:val="24"/>
                <w:highlight w:val="none"/>
              </w:rPr>
              <w:t>及银行手续费等）。</w:t>
            </w:r>
          </w:p>
          <w:p w14:paraId="5B004A05">
            <w:pPr>
              <w:widowControl w:val="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成交供应商逾期交付货物的，每逾期一日，应按逾期交货总额3‰向采购人支付违约金。逾期超过约定日期</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日不能交货的，采购人有权解除本合同，并要求成交供应商支付合同总额 20 %的违约金。</w:t>
            </w:r>
          </w:p>
          <w:p w14:paraId="13904D73">
            <w:pPr>
              <w:widowControl w:val="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所交付的货物规格、技术参数、质量不符合合同规定及在线询价文件规定标准的，采购人有权拒收该货物，成交供应商愿意更换货物但逾期交货的，按成交供应商逾期交货处理。成交供应商拒绝更换货物的，采购人可单方面解除合同，并要求成交供应商支付合同总值 20 %的违约金，违约金不足以弥补采购人损失的，成交供应商还应负责赔偿</w:t>
            </w:r>
            <w:r>
              <w:rPr>
                <w:rFonts w:hint="eastAsia" w:ascii="仿宋" w:hAnsi="仿宋" w:eastAsia="仿宋" w:cs="仿宋"/>
                <w:sz w:val="24"/>
                <w:szCs w:val="24"/>
                <w:highlight w:val="none"/>
                <w:lang w:val="en-US" w:eastAsia="zh-CN"/>
              </w:rPr>
              <w:t>采购人的所有损失</w:t>
            </w:r>
            <w:r>
              <w:rPr>
                <w:rFonts w:hint="eastAsia" w:ascii="仿宋" w:hAnsi="仿宋" w:eastAsia="仿宋" w:cs="仿宋"/>
                <w:sz w:val="24"/>
                <w:szCs w:val="24"/>
                <w:highlight w:val="none"/>
              </w:rPr>
              <w:t>。</w:t>
            </w:r>
          </w:p>
          <w:p w14:paraId="25718EAC">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未能按约定要求履行保修义务的，每发生一次应向采购人支付合同金额的5%违约金，同时，采购人有权委托第三方进行保修，所产生的费用由成交供应商承担。若因货物缺陷或成交供应商服务质量等问题造成采购人或任何人员人身、财产损害的，成交供应商应承担有关责任并</w:t>
            </w:r>
            <w:r>
              <w:rPr>
                <w:rFonts w:hint="eastAsia" w:ascii="仿宋" w:hAnsi="仿宋" w:eastAsia="仿宋" w:cs="仿宋"/>
                <w:sz w:val="24"/>
                <w:szCs w:val="24"/>
                <w:highlight w:val="none"/>
                <w:lang w:eastAsia="zh-CN"/>
              </w:rPr>
              <w:t>做出</w:t>
            </w:r>
            <w:r>
              <w:rPr>
                <w:rFonts w:hint="eastAsia" w:ascii="仿宋" w:hAnsi="仿宋" w:eastAsia="仿宋" w:cs="仿宋"/>
                <w:sz w:val="24"/>
                <w:szCs w:val="24"/>
                <w:highlight w:val="none"/>
              </w:rPr>
              <w:t>相应赔偿。</w:t>
            </w:r>
          </w:p>
          <w:p w14:paraId="0684BE66">
            <w:pPr>
              <w:widowContro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应充分考虑供货成本及参数要求再进行报价，如</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恶意竞价</w:t>
            </w:r>
            <w:r>
              <w:rPr>
                <w:rFonts w:hint="eastAsia" w:ascii="仿宋" w:hAnsi="仿宋" w:eastAsia="仿宋" w:cs="仿宋"/>
                <w:color w:val="000000" w:themeColor="text1"/>
                <w:sz w:val="24"/>
                <w:highlight w:val="none"/>
                <w:lang w:eastAsia="zh-CN"/>
                <w14:textFill>
                  <w14:solidFill>
                    <w14:schemeClr w14:val="tx1"/>
                  </w14:solidFill>
                </w14:textFill>
              </w:rPr>
              <w:t>且</w:t>
            </w:r>
            <w:r>
              <w:rPr>
                <w:rFonts w:hint="eastAsia" w:ascii="仿宋" w:hAnsi="仿宋" w:eastAsia="仿宋" w:cs="仿宋"/>
                <w:color w:val="000000" w:themeColor="text1"/>
                <w:sz w:val="24"/>
                <w:highlight w:val="none"/>
                <w14:textFill>
                  <w14:solidFill>
                    <w14:schemeClr w14:val="tx1"/>
                  </w14:solidFill>
                </w14:textFill>
              </w:rPr>
              <w:t>成交后无法按要求提供货物或者所供货物及资质要求无法满足参数要求的，采购人将按虚假竞标处理，并保留因耽误采购人使用时间造成的损失进行赔偿的权利，通过报备</w:t>
            </w:r>
            <w:r>
              <w:rPr>
                <w:rFonts w:hint="eastAsia" w:ascii="仿宋" w:hAnsi="仿宋" w:eastAsia="仿宋" w:cs="仿宋"/>
                <w:color w:val="000000" w:themeColor="text1"/>
                <w:sz w:val="24"/>
                <w:highlight w:val="none"/>
                <w:lang w:val="en-US" w:eastAsia="zh-CN"/>
                <w14:textFill>
                  <w14:solidFill>
                    <w14:schemeClr w14:val="tx1"/>
                  </w14:solidFill>
                </w14:textFill>
              </w:rPr>
              <w:t>政府采购</w:t>
            </w:r>
            <w:r>
              <w:rPr>
                <w:rFonts w:hint="eastAsia" w:ascii="仿宋" w:hAnsi="仿宋" w:eastAsia="仿宋" w:cs="仿宋"/>
                <w:color w:val="000000" w:themeColor="text1"/>
                <w:sz w:val="24"/>
                <w:highlight w:val="none"/>
                <w14:textFill>
                  <w14:solidFill>
                    <w14:schemeClr w14:val="tx1"/>
                  </w14:solidFill>
                </w14:textFill>
              </w:rPr>
              <w:t>云平台及财政厅监管部门，并按规定对投标人公司予以处罚和进行网上通报处理，追究投标人的法律责任，由此引发的一切后果由</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承担。</w:t>
            </w:r>
          </w:p>
        </w:tc>
      </w:tr>
      <w:tr w14:paraId="5E78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1101" w:type="dxa"/>
            <w:vAlign w:val="center"/>
          </w:tcPr>
          <w:p w14:paraId="6D80016E">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10</w:t>
            </w:r>
          </w:p>
        </w:tc>
        <w:tc>
          <w:tcPr>
            <w:tcW w:w="2370" w:type="dxa"/>
            <w:vAlign w:val="center"/>
          </w:tcPr>
          <w:p w14:paraId="6454A96F">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其他要求</w:t>
            </w:r>
          </w:p>
        </w:tc>
        <w:tc>
          <w:tcPr>
            <w:tcW w:w="11656" w:type="dxa"/>
          </w:tcPr>
          <w:p w14:paraId="28170A5D">
            <w:pPr>
              <w:pStyle w:val="3"/>
              <w:widowControl w:val="0"/>
              <w:kinsoku w:val="0"/>
              <w:overflowPunct w:val="0"/>
              <w:spacing w:before="49"/>
              <w:ind w:left="20"/>
              <w:rPr>
                <w:rFonts w:hint="eastAsia" w:ascii="仿宋" w:hAnsi="仿宋" w:eastAsia="仿宋" w:cs="仿宋"/>
                <w:color w:val="000000" w:themeColor="text1"/>
                <w:spacing w:val="-11"/>
                <w:sz w:val="24"/>
                <w:highlight w:val="none"/>
                <w14:textFill>
                  <w14:solidFill>
                    <w14:schemeClr w14:val="tx1"/>
                  </w14:solidFill>
                </w14:textFill>
              </w:rPr>
            </w:pPr>
            <w:r>
              <w:rPr>
                <w:rFonts w:hint="eastAsia" w:ascii="仿宋" w:hAnsi="仿宋" w:eastAsia="仿宋" w:cs="仿宋"/>
                <w:color w:val="000000" w:themeColor="text1"/>
                <w:spacing w:val="-11"/>
                <w:sz w:val="24"/>
                <w:highlight w:val="none"/>
                <w14:textFill>
                  <w14:solidFill>
                    <w14:schemeClr w14:val="tx1"/>
                  </w14:solidFill>
                </w14:textFill>
              </w:rPr>
              <w:t>1.要求供货产品是全新的、未经改装的、合格的、满足本项目技术需求及要求的货物。所有零部件、配件必须是未经使用的全新的并符合国家有关质量安全标准的产品。提供设备使用培训、操作技能训练等；提供相关设备说明书、管理和配置指南手册、使用手册和故障定位/排除指南手册等。</w:t>
            </w:r>
          </w:p>
          <w:p w14:paraId="491ECD33">
            <w:pPr>
              <w:pStyle w:val="3"/>
              <w:widowControl w:val="0"/>
              <w:kinsoku w:val="0"/>
              <w:overflowPunct w:val="0"/>
              <w:spacing w:before="49"/>
              <w:ind w:left="20"/>
              <w:rPr>
                <w:rFonts w:hint="eastAsia" w:ascii="仿宋" w:hAnsi="仿宋" w:eastAsia="仿宋" w:cs="仿宋"/>
                <w:color w:val="000000" w:themeColor="text1"/>
                <w:spacing w:val="-11"/>
                <w:sz w:val="24"/>
                <w:highlight w:val="none"/>
                <w14:textFill>
                  <w14:solidFill>
                    <w14:schemeClr w14:val="tx1"/>
                  </w14:solidFill>
                </w14:textFill>
              </w:rPr>
            </w:pPr>
            <w:r>
              <w:rPr>
                <w:rFonts w:hint="eastAsia" w:ascii="仿宋" w:hAnsi="仿宋" w:eastAsia="仿宋" w:cs="仿宋"/>
                <w:color w:val="000000" w:themeColor="text1"/>
                <w:spacing w:val="-11"/>
                <w:sz w:val="24"/>
                <w:highlight w:val="none"/>
                <w14:textFill>
                  <w14:solidFill>
                    <w14:schemeClr w14:val="tx1"/>
                  </w14:solidFill>
                </w14:textFill>
              </w:rPr>
              <w:t>2.本项目实行总价包干制，报价包含设备、随配附件、备品备件、辅助材料、工具、运抵指定交货地点、材料运输及人工搬运费、垃圾清理及排放、保险、现场安装、培训、调试及验收的各种费用和质量保证期内服务、售后服务、人工费、税费及其他所有成本费用的总和，成交供应商必须自行考虑项目需要的其他设备和材料，合同履行过程中，采购人不再支付合同以外的其他费用。</w:t>
            </w:r>
          </w:p>
          <w:p w14:paraId="18FA42EC">
            <w:pPr>
              <w:pStyle w:val="3"/>
              <w:widowControl w:val="0"/>
              <w:kinsoku w:val="0"/>
              <w:overflowPunct w:val="0"/>
              <w:spacing w:before="49"/>
              <w:ind w:left="20"/>
              <w:rPr>
                <w:rFonts w:hint="default" w:ascii="仿宋" w:hAnsi="仿宋" w:eastAsia="仿宋" w:cs="仿宋"/>
                <w:spacing w:val="-11"/>
                <w:kern w:val="2"/>
                <w:sz w:val="24"/>
                <w:highlight w:val="none"/>
                <w:lang w:val="en-US" w:eastAsia="zh-CN"/>
              </w:rPr>
            </w:pPr>
            <w:r>
              <w:rPr>
                <w:rFonts w:hint="eastAsia" w:ascii="仿宋" w:hAnsi="仿宋" w:eastAsia="仿宋" w:cs="仿宋"/>
                <w:color w:val="000000" w:themeColor="text1"/>
                <w:spacing w:val="-11"/>
                <w:sz w:val="24"/>
                <w:highlight w:val="none"/>
                <w14:textFill>
                  <w14:solidFill>
                    <w14:schemeClr w14:val="tx1"/>
                  </w14:solidFill>
                </w14:textFill>
              </w:rPr>
              <w:t>3.成交供应商承担货物交付验收前的运输、安装等作业工人人身、设备安全责任。验收前，如果设备丢失、因供应商自身原因及第三方原因导致损坏，成交供应商应自行负责并承担不能交付货物的责任。</w:t>
            </w:r>
          </w:p>
        </w:tc>
      </w:tr>
    </w:tbl>
    <w:p w14:paraId="587EE092"/>
    <w:p w14:paraId="4C8AC46B"/>
    <w:p w14:paraId="45E15B8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2E648C"/>
    <w:rsid w:val="006C4128"/>
    <w:rsid w:val="1E6B40F2"/>
    <w:rsid w:val="1F1F4218"/>
    <w:rsid w:val="25862ED5"/>
    <w:rsid w:val="312E648C"/>
    <w:rsid w:val="44C23F37"/>
    <w:rsid w:val="45553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Body Text"/>
    <w:basedOn w:val="1"/>
    <w:next w:val="4"/>
    <w:qFormat/>
    <w:uiPriority w:val="1"/>
    <w:pPr>
      <w:autoSpaceDE w:val="0"/>
      <w:autoSpaceDN w:val="0"/>
      <w:adjustRightInd w:val="0"/>
      <w:jc w:val="left"/>
    </w:pPr>
    <w:rPr>
      <w:rFonts w:ascii="宋体" w:hAnsi="宋体" w:cs="Times New Roman"/>
      <w:kern w:val="0"/>
      <w:sz w:val="20"/>
      <w:szCs w:val="24"/>
    </w:rPr>
  </w:style>
  <w:style w:type="paragraph" w:styleId="4">
    <w:name w:val="Title"/>
    <w:basedOn w:val="1"/>
    <w:next w:val="1"/>
    <w:qFormat/>
    <w:uiPriority w:val="0"/>
    <w:pPr>
      <w:spacing w:before="240" w:after="60"/>
      <w:jc w:val="center"/>
      <w:outlineLvl w:val="0"/>
    </w:pPr>
    <w:rPr>
      <w:rFonts w:ascii="Cambria" w:hAnsi="Cambria" w:eastAsia="宋体" w:cs="Times New Roman"/>
      <w:b/>
      <w:bCs/>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rPr>
      <w:rFonts w:ascii="Times New Roman" w:hAnsi="Times New Roman" w:cs="Times New Roman"/>
      <w:szCs w:val="24"/>
    </w:rPr>
  </w:style>
  <w:style w:type="paragraph" w:customStyle="1" w:styleId="9">
    <w:name w:val="Table Text"/>
    <w:basedOn w:val="1"/>
    <w:semiHidden/>
    <w:qFormat/>
    <w:uiPriority w:val="0"/>
    <w:rPr>
      <w:rFonts w:ascii="等线" w:hAnsi="等线" w:eastAsia="等线" w:cs="等线"/>
      <w:sz w:val="21"/>
      <w:szCs w:val="21"/>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7700</Words>
  <Characters>8243</Characters>
  <Lines>0</Lines>
  <Paragraphs>0</Paragraphs>
  <TotalTime>7</TotalTime>
  <ScaleCrop>false</ScaleCrop>
  <LinksUpToDate>false</LinksUpToDate>
  <CharactersWithSpaces>8356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2026-09-02T07:41:00Z</dcterms:created>
  <dc:creator>杨志鹏</dc:creator>
  <cp:lastModifiedBy>杨志鹏</cp:lastModifiedBy>
  <dcterms:modified xsi:type="dcterms:W3CDTF">2026-09-03T02:18:51Z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5C18201E8B614C729AC076A5475AE427_11</vt:lpwstr>
  </property>
  <property fmtid="{D5CDD505-2E9C-101B-9397-08002B2CF9AE}" pid="4" name="KSOTemplateDocerSaveRecord">
    <vt:lpwstr>eyJoZGlkIjoiMWM3YjAzMWUwZjA2MGU3NjRlMjE5ZGRkNzYwODMxZDkiLCJ1c2VySWQiOiI1NjA2OTk2NjcifQ==</vt:lpwstr>
  </property>
</Properties>
</file>