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 w:hAnsi="仿宋" w:eastAsia="仿宋_GB2312" w:cs="仿宋"/>
          <w:lang w:val="en-US" w:eastAsia="zh-CN"/>
        </w:rPr>
      </w:pPr>
      <w:r>
        <w:rPr>
          <w:rFonts w:hint="eastAsia" w:ascii="仿宋_GB2312" w:hAnsi="宋体" w:eastAsia="仿宋_GB2312"/>
          <w:b/>
          <w:sz w:val="44"/>
          <w:szCs w:val="44"/>
        </w:rPr>
        <w:t>融媒体AIGC数</w:t>
      </w:r>
      <w:r>
        <w:rPr>
          <w:rFonts w:hint="eastAsia" w:ascii="仿宋_GB2312" w:hAnsi="宋体" w:eastAsia="仿宋_GB2312"/>
          <w:b/>
          <w:sz w:val="44"/>
          <w:szCs w:val="44"/>
          <w:lang w:val="en-US" w:eastAsia="zh-CN"/>
        </w:rPr>
        <w:t>字</w:t>
      </w:r>
      <w:r>
        <w:rPr>
          <w:rFonts w:hint="eastAsia" w:ascii="仿宋_GB2312" w:hAnsi="宋体" w:eastAsia="仿宋_GB2312"/>
          <w:b/>
          <w:sz w:val="44"/>
          <w:szCs w:val="44"/>
        </w:rPr>
        <w:t>化实训室建设采购项目</w:t>
      </w:r>
      <w:r>
        <w:rPr>
          <w:rFonts w:hint="eastAsia" w:ascii="仿宋_GB2312" w:hAnsi="宋体" w:eastAsia="仿宋_GB2312"/>
          <w:b/>
          <w:sz w:val="44"/>
          <w:szCs w:val="44"/>
          <w:lang w:val="en-US" w:eastAsia="zh-CN"/>
        </w:rPr>
        <w:t>商务需求</w:t>
      </w:r>
    </w:p>
    <w:p>
      <w:pPr>
        <w:rPr>
          <w:rFonts w:ascii="仿宋" w:hAnsi="仿宋" w:eastAsia="仿宋" w:cs="仿宋"/>
        </w:rPr>
      </w:pPr>
      <w:r>
        <w:rPr>
          <w:rFonts w:hint="eastAsia" w:ascii="仿宋" w:hAnsi="仿宋" w:eastAsia="仿宋" w:cs="仿宋"/>
        </w:rPr>
        <w:t>一、报价要求:</w:t>
      </w:r>
    </w:p>
    <w:p>
      <w:pPr>
        <w:rPr>
          <w:rFonts w:ascii="仿宋" w:hAnsi="仿宋" w:eastAsia="仿宋" w:cs="仿宋"/>
        </w:rPr>
      </w:pPr>
      <w:r>
        <w:rPr>
          <w:rFonts w:hint="eastAsia" w:ascii="仿宋" w:hAnsi="仿宋" w:eastAsia="仿宋" w:cs="仿宋"/>
        </w:rPr>
        <w:t>1、本采购需求-览表中，凡标注“</w:t>
      </w:r>
      <w:r>
        <w:rPr>
          <w:rFonts w:ascii="宋体" w:hAnsi="宋体"/>
          <w:sz w:val="20"/>
          <w:szCs w:val="24"/>
        </w:rPr>
        <w:t>▲</w:t>
      </w:r>
      <w:r>
        <w:rPr>
          <w:rFonts w:hint="eastAsia" w:ascii="仿宋" w:hAnsi="仿宋" w:eastAsia="仿宋" w:cs="仿宋"/>
        </w:rPr>
        <w:t>”号的条款为关键指标或要求，不允许有负偏离，否则竞价无效。</w:t>
      </w:r>
    </w:p>
    <w:p>
      <w:pPr>
        <w:rPr>
          <w:rFonts w:ascii="仿宋" w:hAnsi="仿宋" w:eastAsia="仿宋" w:cs="仿宋"/>
        </w:rPr>
      </w:pPr>
      <w:r>
        <w:rPr>
          <w:rFonts w:hint="eastAsia" w:ascii="仿宋" w:hAnsi="仿宋" w:eastAsia="仿宋" w:cs="仿宋"/>
        </w:rPr>
        <w:t>2、竞标人在竞价时参考响应文件格式上传报价清单附件，清单中必须明确写明品牌、型号、技术参数、数量、单位</w:t>
      </w:r>
      <w:r>
        <w:rPr>
          <w:rFonts w:hint="eastAsia" w:ascii="仿宋" w:hAnsi="仿宋" w:eastAsia="仿宋" w:cs="仿宋"/>
          <w:lang w:val="en-US" w:eastAsia="zh-CN"/>
        </w:rPr>
        <w:t>等</w:t>
      </w:r>
      <w:r>
        <w:rPr>
          <w:rFonts w:hint="eastAsia" w:ascii="仿宋" w:hAnsi="仿宋" w:eastAsia="仿宋" w:cs="仿宋"/>
        </w:rPr>
        <w:t>。</w:t>
      </w:r>
    </w:p>
    <w:p>
      <w:pPr>
        <w:rPr>
          <w:rFonts w:ascii="仿宋" w:hAnsi="仿宋" w:eastAsia="仿宋" w:cs="仿宋"/>
        </w:rPr>
      </w:pPr>
      <w:r>
        <w:rPr>
          <w:rFonts w:hint="eastAsia" w:ascii="仿宋" w:hAnsi="仿宋" w:eastAsia="仿宋" w:cs="仿宋"/>
        </w:rPr>
        <w:t>3、竞标人必须认真审核采购文件所有要求，若发现竞标人存在未实质性响应采购文件行为，将视为无效报价处理;如明知不满足在线询价文</w:t>
      </w:r>
      <w:bookmarkStart w:id="0" w:name="_GoBack"/>
      <w:bookmarkEnd w:id="0"/>
      <w:r>
        <w:rPr>
          <w:rFonts w:hint="eastAsia" w:ascii="仿宋" w:hAnsi="仿宋" w:eastAsia="仿宋" w:cs="仿宋"/>
        </w:rPr>
        <w:t>件对于品牌、型号、单位资质等要求而进行恶意竞争的，或因竞标人虚假竞标导致竞标无效造成的工期延误及损失，将根据《政采云平台电子卖场权益维护及纠纷处理规则》的规定报有关部门处理，并在税务采购网平台列为失信供应商记录备案。</w:t>
      </w:r>
    </w:p>
    <w:p>
      <w:pPr>
        <w:rPr>
          <w:rFonts w:hint="eastAsia" w:ascii="宋体" w:hAnsi="宋体" w:cs="Courier New"/>
          <w:sz w:val="72"/>
          <w:szCs w:val="72"/>
        </w:rPr>
      </w:pPr>
      <w:r>
        <w:rPr>
          <w:rFonts w:hint="eastAsia" w:ascii="仿宋" w:hAnsi="仿宋" w:eastAsia="仿宋" w:cs="仿宋"/>
        </w:rPr>
        <w:t>二、商务要求：</w:t>
      </w:r>
    </w:p>
    <w:tbl>
      <w:tblPr>
        <w:tblStyle w:val="13"/>
        <w:tblW w:w="10867" w:type="dxa"/>
        <w:jc w:val="center"/>
        <w:tblLayout w:type="autofit"/>
        <w:tblCellMar>
          <w:top w:w="0" w:type="dxa"/>
          <w:left w:w="0" w:type="dxa"/>
          <w:bottom w:w="0" w:type="dxa"/>
          <w:right w:w="0" w:type="dxa"/>
        </w:tblCellMar>
      </w:tblPr>
      <w:tblGrid>
        <w:gridCol w:w="2303"/>
        <w:gridCol w:w="8564"/>
      </w:tblGrid>
      <w:tr>
        <w:tblPrEx>
          <w:tblCellMar>
            <w:top w:w="0" w:type="dxa"/>
            <w:left w:w="0" w:type="dxa"/>
            <w:bottom w:w="0" w:type="dxa"/>
            <w:right w:w="0" w:type="dxa"/>
          </w:tblCellMar>
        </w:tblPrEx>
        <w:trPr>
          <w:trHeight w:val="555" w:hRule="atLeast"/>
          <w:jc w:val="center"/>
        </w:trPr>
        <w:tc>
          <w:tcPr>
            <w:tcW w:w="10867"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ind w:left="105" w:leftChars="50"/>
              <w:textAlignment w:val="center"/>
              <w:rPr>
                <w:rFonts w:ascii="仿宋" w:hAnsi="仿宋" w:eastAsia="仿宋" w:cs="仿宋"/>
                <w:color w:val="auto"/>
                <w:kern w:val="0"/>
                <w:sz w:val="24"/>
              </w:rPr>
            </w:pPr>
            <w:r>
              <w:rPr>
                <w:rFonts w:hint="eastAsia" w:ascii="仿宋" w:hAnsi="仿宋" w:eastAsia="仿宋" w:cs="仿宋"/>
                <w:color w:val="auto"/>
                <w:sz w:val="24"/>
              </w:rPr>
              <w:t>▲</w:t>
            </w:r>
            <w:r>
              <w:rPr>
                <w:rFonts w:hint="eastAsia" w:ascii="仿宋" w:hAnsi="仿宋" w:eastAsia="仿宋" w:cs="仿宋"/>
                <w:b/>
                <w:color w:val="auto"/>
                <w:sz w:val="24"/>
              </w:rPr>
              <w:t>二、商务要求</w:t>
            </w:r>
          </w:p>
        </w:tc>
      </w:tr>
      <w:tr>
        <w:tblPrEx>
          <w:tblCellMar>
            <w:top w:w="0" w:type="dxa"/>
            <w:left w:w="0" w:type="dxa"/>
            <w:bottom w:w="0" w:type="dxa"/>
            <w:right w:w="0" w:type="dxa"/>
          </w:tblCellMar>
        </w:tblPrEx>
        <w:trPr>
          <w:trHeight w:val="555" w:hRule="atLeast"/>
          <w:jc w:val="center"/>
        </w:trPr>
        <w:tc>
          <w:tcPr>
            <w:tcW w:w="230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 w:hAnsi="仿宋" w:eastAsia="仿宋" w:cs="仿宋"/>
                <w:b/>
                <w:color w:val="auto"/>
                <w:sz w:val="24"/>
              </w:rPr>
            </w:pPr>
            <w:r>
              <w:rPr>
                <w:rFonts w:hint="eastAsia" w:ascii="仿宋" w:hAnsi="仿宋" w:eastAsia="仿宋" w:cs="仿宋"/>
                <w:b/>
                <w:color w:val="auto"/>
                <w:sz w:val="24"/>
              </w:rPr>
              <w:t>合同签订期</w:t>
            </w:r>
          </w:p>
        </w:tc>
        <w:tc>
          <w:tcPr>
            <w:tcW w:w="8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自成成交公告发布之日起25日内签订合同。</w:t>
            </w:r>
          </w:p>
        </w:tc>
      </w:tr>
      <w:tr>
        <w:tblPrEx>
          <w:tblCellMar>
            <w:top w:w="0" w:type="dxa"/>
            <w:left w:w="0" w:type="dxa"/>
            <w:bottom w:w="0" w:type="dxa"/>
            <w:right w:w="0" w:type="dxa"/>
          </w:tblCellMar>
        </w:tblPrEx>
        <w:trPr>
          <w:trHeight w:val="555" w:hRule="atLeast"/>
          <w:jc w:val="center"/>
        </w:trPr>
        <w:tc>
          <w:tcPr>
            <w:tcW w:w="2303" w:type="dxa"/>
            <w:tcBorders>
              <w:top w:val="single" w:color="000000" w:sz="4" w:space="0"/>
              <w:left w:val="single" w:color="000000" w:sz="4" w:space="0"/>
              <w:bottom w:val="single" w:color="000000" w:sz="4" w:space="0"/>
              <w:right w:val="single" w:color="000000" w:sz="4" w:space="0"/>
            </w:tcBorders>
            <w:vAlign w:val="center"/>
          </w:tcPr>
          <w:p>
            <w:pPr>
              <w:widowControl/>
              <w:tabs>
                <w:tab w:val="left" w:pos="318"/>
              </w:tabs>
              <w:snapToGrid w:val="0"/>
              <w:spacing w:line="360" w:lineRule="auto"/>
              <w:ind w:left="105" w:leftChars="50" w:right="105" w:rightChars="50"/>
              <w:jc w:val="center"/>
              <w:textAlignment w:val="center"/>
              <w:rPr>
                <w:rFonts w:ascii="仿宋" w:hAnsi="仿宋" w:eastAsia="仿宋" w:cs="仿宋"/>
                <w:b/>
                <w:color w:val="auto"/>
                <w:sz w:val="24"/>
              </w:rPr>
            </w:pPr>
            <w:r>
              <w:rPr>
                <w:rFonts w:hint="eastAsia" w:ascii="仿宋" w:hAnsi="仿宋" w:eastAsia="仿宋" w:cs="仿宋"/>
                <w:b/>
                <w:color w:val="auto"/>
                <w:sz w:val="24"/>
              </w:rPr>
              <w:t>交货时间</w:t>
            </w:r>
          </w:p>
        </w:tc>
        <w:tc>
          <w:tcPr>
            <w:tcW w:w="8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360" w:lineRule="auto"/>
              <w:ind w:right="105" w:rightChars="50"/>
              <w:jc w:val="left"/>
              <w:rPr>
                <w:rFonts w:hint="eastAsia" w:ascii="仿宋" w:hAnsi="仿宋" w:eastAsia="仿宋" w:cs="仿宋"/>
                <w:color w:val="auto"/>
                <w:lang w:eastAsia="zh-CN"/>
              </w:rPr>
            </w:pPr>
            <w:r>
              <w:rPr>
                <w:rFonts w:hint="eastAsia" w:ascii="仿宋" w:hAnsi="仿宋" w:eastAsia="仿宋" w:cs="仿宋"/>
                <w:color w:val="auto"/>
              </w:rPr>
              <w:t>时间：自合同签订之日起7个工作日内送货</w:t>
            </w:r>
            <w:r>
              <w:rPr>
                <w:rFonts w:hint="eastAsia" w:ascii="仿宋" w:hAnsi="仿宋" w:eastAsia="仿宋" w:cs="仿宋"/>
                <w:color w:val="auto"/>
                <w:lang w:eastAsia="zh-CN"/>
              </w:rPr>
              <w:t>，</w:t>
            </w:r>
            <w:r>
              <w:rPr>
                <w:rFonts w:hint="eastAsia" w:ascii="仿宋" w:hAnsi="仿宋" w:eastAsia="仿宋" w:cs="仿宋"/>
                <w:color w:val="auto"/>
                <w:lang w:val="en-US" w:eastAsia="zh-CN"/>
              </w:rPr>
              <w:t>20</w:t>
            </w:r>
            <w:r>
              <w:rPr>
                <w:rFonts w:hint="eastAsia" w:ascii="仿宋" w:hAnsi="仿宋" w:eastAsia="仿宋" w:cs="仿宋"/>
                <w:color w:val="auto"/>
              </w:rPr>
              <w:t>个工作日内安装</w:t>
            </w:r>
            <w:r>
              <w:rPr>
                <w:rFonts w:hint="eastAsia" w:ascii="仿宋" w:hAnsi="仿宋" w:eastAsia="仿宋" w:cs="仿宋"/>
                <w:color w:val="auto"/>
                <w:lang w:val="en-US" w:eastAsia="zh-CN"/>
              </w:rPr>
              <w:t>调试</w:t>
            </w:r>
            <w:r>
              <w:rPr>
                <w:rFonts w:hint="eastAsia" w:ascii="仿宋" w:hAnsi="仿宋" w:eastAsia="仿宋" w:cs="仿宋"/>
                <w:color w:val="auto"/>
              </w:rPr>
              <w:t>完毕</w:t>
            </w:r>
            <w:r>
              <w:rPr>
                <w:rFonts w:hint="eastAsia" w:ascii="仿宋" w:hAnsi="仿宋" w:eastAsia="仿宋" w:cs="仿宋"/>
                <w:color w:val="auto"/>
                <w:lang w:eastAsia="zh-CN"/>
              </w:rPr>
              <w:t>并交付使用，超期未安装调试完毕则视为违约。</w:t>
            </w:r>
          </w:p>
        </w:tc>
      </w:tr>
      <w:tr>
        <w:tblPrEx>
          <w:tblCellMar>
            <w:top w:w="0" w:type="dxa"/>
            <w:left w:w="0" w:type="dxa"/>
            <w:bottom w:w="0" w:type="dxa"/>
            <w:right w:w="0" w:type="dxa"/>
          </w:tblCellMar>
        </w:tblPrEx>
        <w:trPr>
          <w:trHeight w:val="555" w:hRule="atLeast"/>
          <w:jc w:val="center"/>
        </w:trPr>
        <w:tc>
          <w:tcPr>
            <w:tcW w:w="2303" w:type="dxa"/>
            <w:tcBorders>
              <w:top w:val="single" w:color="000000" w:sz="4" w:space="0"/>
              <w:left w:val="single" w:color="000000" w:sz="4" w:space="0"/>
              <w:bottom w:val="single" w:color="000000" w:sz="4" w:space="0"/>
              <w:right w:val="single" w:color="000000" w:sz="4" w:space="0"/>
            </w:tcBorders>
            <w:vAlign w:val="center"/>
          </w:tcPr>
          <w:p>
            <w:pPr>
              <w:widowControl/>
              <w:tabs>
                <w:tab w:val="left" w:pos="318"/>
              </w:tabs>
              <w:snapToGrid w:val="0"/>
              <w:spacing w:line="360" w:lineRule="auto"/>
              <w:ind w:left="105" w:leftChars="50" w:right="105" w:rightChars="50"/>
              <w:jc w:val="center"/>
              <w:textAlignment w:val="center"/>
              <w:rPr>
                <w:rFonts w:hint="eastAsia" w:ascii="仿宋" w:hAnsi="仿宋" w:eastAsia="仿宋" w:cs="仿宋"/>
                <w:b/>
                <w:color w:val="auto"/>
                <w:sz w:val="24"/>
                <w:lang w:bidi="ar"/>
              </w:rPr>
            </w:pPr>
            <w:r>
              <w:rPr>
                <w:rFonts w:hint="eastAsia" w:ascii="仿宋" w:hAnsi="仿宋" w:eastAsia="仿宋" w:cs="仿宋"/>
                <w:b/>
                <w:color w:val="auto"/>
                <w:sz w:val="24"/>
              </w:rPr>
              <w:t>交货地点</w:t>
            </w:r>
          </w:p>
        </w:tc>
        <w:tc>
          <w:tcPr>
            <w:tcW w:w="8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广西区内采购人指定地点。</w:t>
            </w:r>
          </w:p>
        </w:tc>
      </w:tr>
      <w:tr>
        <w:tblPrEx>
          <w:tblCellMar>
            <w:top w:w="0" w:type="dxa"/>
            <w:left w:w="0" w:type="dxa"/>
            <w:bottom w:w="0" w:type="dxa"/>
            <w:right w:w="0" w:type="dxa"/>
          </w:tblCellMar>
        </w:tblPrEx>
        <w:trPr>
          <w:trHeight w:val="555" w:hRule="atLeast"/>
          <w:jc w:val="center"/>
        </w:trPr>
        <w:tc>
          <w:tcPr>
            <w:tcW w:w="230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ind w:left="105" w:leftChars="50" w:right="105" w:rightChars="50"/>
              <w:jc w:val="center"/>
              <w:textAlignment w:val="center"/>
              <w:rPr>
                <w:rFonts w:ascii="仿宋" w:hAnsi="仿宋" w:eastAsia="仿宋" w:cs="仿宋"/>
                <w:b/>
                <w:color w:val="auto"/>
                <w:kern w:val="0"/>
                <w:sz w:val="24"/>
              </w:rPr>
            </w:pPr>
            <w:r>
              <w:rPr>
                <w:rFonts w:hint="eastAsia" w:ascii="仿宋" w:hAnsi="仿宋" w:eastAsia="仿宋" w:cs="仿宋"/>
                <w:b/>
                <w:color w:val="auto"/>
                <w:sz w:val="24"/>
                <w:lang w:bidi="ar"/>
              </w:rPr>
              <w:t>质保期限</w:t>
            </w:r>
          </w:p>
        </w:tc>
        <w:tc>
          <w:tcPr>
            <w:tcW w:w="8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自验收</w:t>
            </w:r>
            <w:r>
              <w:rPr>
                <w:rFonts w:hint="eastAsia" w:ascii="仿宋" w:hAnsi="仿宋" w:eastAsia="仿宋" w:cs="宋体"/>
                <w:color w:val="auto"/>
              </w:rPr>
              <w:t>合格之日起</w:t>
            </w:r>
            <w:r>
              <w:rPr>
                <w:rFonts w:hint="eastAsia" w:ascii="仿宋" w:hAnsi="仿宋" w:eastAsia="仿宋" w:cs="仿宋"/>
                <w:color w:val="auto"/>
              </w:rPr>
              <w:t>1年。整机原厂免费质保期（全保，包含人工费、零配件更换、软件升级、更换模块等各项费用）</w:t>
            </w:r>
            <w:r>
              <w:rPr>
                <w:rFonts w:hint="eastAsia" w:ascii="仿宋" w:hAnsi="仿宋" w:eastAsia="仿宋" w:cs="仿宋"/>
                <w:color w:val="auto"/>
                <w:lang w:val="en-US" w:eastAsia="zh-CN"/>
              </w:rPr>
              <w:t>3</w:t>
            </w:r>
            <w:r>
              <w:rPr>
                <w:rFonts w:hint="eastAsia" w:ascii="仿宋" w:hAnsi="仿宋" w:eastAsia="仿宋" w:cs="仿宋"/>
                <w:color w:val="auto"/>
              </w:rPr>
              <w:t>年，部分产品质保期按厂家承诺时间执行。质保期后免费提供软件升级、更换模块服务，如需更换零配件按厂家出厂价提供。</w:t>
            </w:r>
            <w:r>
              <w:rPr>
                <w:rFonts w:hint="eastAsia" w:ascii="仿宋" w:hAnsi="仿宋" w:eastAsia="仿宋" w:cs="仿宋"/>
                <w:color w:val="auto"/>
                <w:lang w:val="en-US" w:eastAsia="zh-CN"/>
              </w:rPr>
              <w:t>整体设备每月按需至少检修一次。</w:t>
            </w:r>
            <w:r>
              <w:rPr>
                <w:rFonts w:hint="eastAsia" w:ascii="仿宋" w:hAnsi="仿宋" w:eastAsia="仿宋" w:cs="仿宋"/>
                <w:color w:val="auto"/>
              </w:rPr>
              <w:t>（“项目要求及技术需求”中如有特殊要求的，按其要求执行）。</w:t>
            </w:r>
          </w:p>
        </w:tc>
      </w:tr>
      <w:tr>
        <w:tblPrEx>
          <w:tblCellMar>
            <w:top w:w="0" w:type="dxa"/>
            <w:left w:w="0" w:type="dxa"/>
            <w:bottom w:w="0" w:type="dxa"/>
            <w:right w:w="0" w:type="dxa"/>
          </w:tblCellMar>
        </w:tblPrEx>
        <w:trPr>
          <w:trHeight w:val="555" w:hRule="atLeast"/>
          <w:jc w:val="center"/>
        </w:trPr>
        <w:tc>
          <w:tcPr>
            <w:tcW w:w="2303" w:type="dxa"/>
            <w:tcBorders>
              <w:top w:val="single" w:color="000000" w:sz="4" w:space="0"/>
              <w:left w:val="single" w:color="000000" w:sz="4" w:space="0"/>
              <w:bottom w:val="single" w:color="000000" w:sz="4" w:space="0"/>
              <w:right w:val="single" w:color="000000" w:sz="4" w:space="0"/>
            </w:tcBorders>
            <w:vAlign w:val="center"/>
          </w:tcPr>
          <w:p>
            <w:pPr>
              <w:tabs>
                <w:tab w:val="left" w:pos="132"/>
              </w:tabs>
              <w:snapToGrid w:val="0"/>
              <w:spacing w:line="360" w:lineRule="auto"/>
              <w:ind w:left="157" w:leftChars="50" w:hanging="52"/>
              <w:jc w:val="center"/>
              <w:rPr>
                <w:rFonts w:ascii="仿宋" w:hAnsi="仿宋" w:eastAsia="仿宋" w:cs="仿宋"/>
                <w:b/>
                <w:color w:val="auto"/>
                <w:sz w:val="24"/>
              </w:rPr>
            </w:pPr>
            <w:r>
              <w:rPr>
                <w:rFonts w:hint="eastAsia" w:ascii="仿宋" w:hAnsi="仿宋" w:eastAsia="仿宋" w:cs="仿宋"/>
                <w:b/>
                <w:color w:val="auto"/>
                <w:sz w:val="24"/>
              </w:rPr>
              <w:t>售后服务</w:t>
            </w:r>
          </w:p>
          <w:p>
            <w:pPr>
              <w:widowControl/>
              <w:snapToGrid w:val="0"/>
              <w:spacing w:line="360" w:lineRule="auto"/>
              <w:ind w:left="105" w:leftChars="50"/>
              <w:jc w:val="center"/>
              <w:textAlignment w:val="center"/>
              <w:rPr>
                <w:rFonts w:ascii="仿宋" w:hAnsi="仿宋" w:eastAsia="仿宋" w:cs="仿宋"/>
                <w:b/>
                <w:color w:val="auto"/>
                <w:kern w:val="0"/>
                <w:sz w:val="24"/>
              </w:rPr>
            </w:pPr>
            <w:r>
              <w:rPr>
                <w:rFonts w:hint="eastAsia" w:ascii="仿宋" w:hAnsi="仿宋" w:eastAsia="仿宋" w:cs="仿宋"/>
                <w:b/>
                <w:color w:val="auto"/>
                <w:sz w:val="24"/>
              </w:rPr>
              <w:t>要求</w:t>
            </w:r>
          </w:p>
        </w:tc>
        <w:tc>
          <w:tcPr>
            <w:tcW w:w="8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1.成交供应商负责送货到采购人现场</w:t>
            </w:r>
            <w:r>
              <w:rPr>
                <w:rFonts w:hint="eastAsia" w:ascii="仿宋" w:hAnsi="仿宋" w:eastAsia="仿宋" w:cs="仿宋"/>
                <w:color w:val="auto"/>
                <w:lang w:val="en-US" w:eastAsia="zh-CN"/>
              </w:rPr>
              <w:t>并进行安装调试</w:t>
            </w:r>
            <w:r>
              <w:rPr>
                <w:rFonts w:hint="eastAsia" w:ascii="仿宋" w:hAnsi="仿宋" w:eastAsia="仿宋" w:cs="仿宋"/>
                <w:color w:val="auto"/>
              </w:rPr>
              <w:t>，负责《采购需求》中所列产品的售后服务。</w:t>
            </w:r>
          </w:p>
          <w:p>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3.为采购人负责提供操作及维护培训，培训人数不少于4人，在响应文件中提供技术培训方案。</w:t>
            </w:r>
          </w:p>
          <w:p>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val="en-US" w:eastAsia="zh-CN"/>
              </w:rPr>
              <w:t>质保期满后，</w:t>
            </w:r>
            <w:r>
              <w:rPr>
                <w:rFonts w:hint="eastAsia" w:ascii="仿宋" w:hAnsi="仿宋" w:eastAsia="仿宋" w:cs="仿宋"/>
                <w:color w:val="auto"/>
              </w:rPr>
              <w:t>提供终身</w:t>
            </w:r>
            <w:r>
              <w:rPr>
                <w:rFonts w:hint="eastAsia" w:ascii="仿宋" w:hAnsi="仿宋" w:eastAsia="仿宋" w:cs="仿宋"/>
                <w:color w:val="auto"/>
                <w:lang w:val="en-US" w:eastAsia="zh-CN"/>
              </w:rPr>
              <w:t>付费</w:t>
            </w:r>
            <w:r>
              <w:rPr>
                <w:rFonts w:hint="eastAsia" w:ascii="仿宋" w:hAnsi="仿宋" w:eastAsia="仿宋" w:cs="仿宋"/>
                <w:color w:val="auto"/>
              </w:rPr>
              <w:t>维修、保养服务，在响应文件中提供保养计划。</w:t>
            </w:r>
          </w:p>
          <w:p>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lang w:val="en-US" w:eastAsia="zh-CN"/>
              </w:rPr>
              <w:t>5</w:t>
            </w:r>
            <w:r>
              <w:rPr>
                <w:rFonts w:hint="eastAsia" w:ascii="仿宋" w:hAnsi="仿宋" w:eastAsia="仿宋" w:cs="仿宋"/>
                <w:color w:val="auto"/>
              </w:rPr>
              <w:t>.主要设备生产厂家应有充足的备品备件。</w:t>
            </w:r>
          </w:p>
          <w:p>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lang w:val="en-US" w:eastAsia="zh-CN"/>
              </w:rPr>
              <w:t>6</w:t>
            </w:r>
            <w:r>
              <w:rPr>
                <w:rFonts w:hint="eastAsia" w:ascii="仿宋" w:hAnsi="仿宋" w:eastAsia="仿宋" w:cs="仿宋"/>
                <w:color w:val="auto"/>
              </w:rPr>
              <w:t>.成交供应商为本项目系统设备建立档案。</w:t>
            </w:r>
          </w:p>
          <w:p>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lang w:val="en-US" w:eastAsia="zh-CN"/>
              </w:rPr>
              <w:t>7</w:t>
            </w:r>
            <w:r>
              <w:rPr>
                <w:rFonts w:hint="eastAsia" w:ascii="仿宋" w:hAnsi="仿宋" w:eastAsia="仿宋" w:cs="仿宋"/>
                <w:color w:val="auto"/>
              </w:rPr>
              <w:t>.设备应该是全新整套的，符合国家各项有关质量标准制造的产品。</w:t>
            </w:r>
          </w:p>
          <w:p>
            <w:pPr>
              <w:widowControl/>
              <w:snapToGrid w:val="0"/>
              <w:spacing w:line="360" w:lineRule="auto"/>
              <w:ind w:right="105" w:rightChars="50"/>
              <w:rPr>
                <w:rFonts w:hint="default" w:eastAsia="仿宋"/>
                <w:color w:val="auto"/>
                <w:lang w:val="en-US" w:eastAsia="zh-CN"/>
              </w:rPr>
            </w:pPr>
            <w:r>
              <w:rPr>
                <w:rFonts w:hint="eastAsia" w:ascii="仿宋" w:hAnsi="仿宋" w:eastAsia="仿宋" w:cs="仿宋"/>
                <w:color w:val="auto"/>
                <w:lang w:val="en-US" w:eastAsia="zh-CN"/>
              </w:rPr>
              <w:t>8</w:t>
            </w:r>
            <w:r>
              <w:rPr>
                <w:rFonts w:hint="eastAsia" w:ascii="仿宋" w:hAnsi="仿宋" w:eastAsia="仿宋" w:cs="仿宋"/>
                <w:color w:val="auto"/>
              </w:rPr>
              <w:t>.在安装调试过程中，成交供应商应派专业技术人员进行同步指导。</w:t>
            </w:r>
          </w:p>
        </w:tc>
      </w:tr>
      <w:tr>
        <w:tblPrEx>
          <w:tblCellMar>
            <w:top w:w="0" w:type="dxa"/>
            <w:left w:w="0" w:type="dxa"/>
            <w:bottom w:w="0" w:type="dxa"/>
            <w:right w:w="0" w:type="dxa"/>
          </w:tblCellMar>
        </w:tblPrEx>
        <w:trPr>
          <w:trHeight w:val="555" w:hRule="atLeast"/>
          <w:jc w:val="center"/>
        </w:trPr>
        <w:tc>
          <w:tcPr>
            <w:tcW w:w="230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ind w:left="105" w:leftChars="50"/>
              <w:jc w:val="center"/>
              <w:textAlignment w:val="center"/>
              <w:rPr>
                <w:rFonts w:ascii="仿宋" w:hAnsi="仿宋" w:eastAsia="仿宋" w:cs="仿宋"/>
                <w:b/>
                <w:color w:val="auto"/>
                <w:kern w:val="0"/>
                <w:sz w:val="24"/>
              </w:rPr>
            </w:pPr>
            <w:r>
              <w:rPr>
                <w:rFonts w:hint="eastAsia" w:ascii="仿宋" w:hAnsi="仿宋" w:eastAsia="仿宋" w:cs="仿宋"/>
                <w:b/>
                <w:color w:val="auto"/>
                <w:sz w:val="24"/>
              </w:rPr>
              <w:t>付款方式</w:t>
            </w:r>
          </w:p>
        </w:tc>
        <w:tc>
          <w:tcPr>
            <w:tcW w:w="8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lang w:val="en-US" w:eastAsia="zh-CN"/>
              </w:rPr>
              <w:t>成交供应商交货且安装调试完并经采购人验收合格无异议后五个工作日内开具发票给采购人，采购人自收到成交供应商发票之日起十五个工作日内，由采购人一次性付清成交供应商的全部货款（无预付款）。</w:t>
            </w:r>
          </w:p>
        </w:tc>
      </w:tr>
      <w:tr>
        <w:tblPrEx>
          <w:tblCellMar>
            <w:top w:w="0" w:type="dxa"/>
            <w:left w:w="0" w:type="dxa"/>
            <w:bottom w:w="0" w:type="dxa"/>
            <w:right w:w="0" w:type="dxa"/>
          </w:tblCellMar>
        </w:tblPrEx>
        <w:trPr>
          <w:trHeight w:val="575" w:hRule="atLeast"/>
          <w:jc w:val="center"/>
        </w:trPr>
        <w:tc>
          <w:tcPr>
            <w:tcW w:w="230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jc w:val="center"/>
              <w:textAlignment w:val="center"/>
              <w:rPr>
                <w:rFonts w:ascii="仿宋" w:hAnsi="仿宋" w:eastAsia="仿宋" w:cs="仿宋"/>
                <w:b/>
                <w:color w:val="auto"/>
                <w:sz w:val="24"/>
              </w:rPr>
            </w:pPr>
            <w:r>
              <w:rPr>
                <w:rFonts w:hint="eastAsia" w:ascii="仿宋" w:hAnsi="仿宋" w:eastAsia="仿宋" w:cs="仿宋"/>
                <w:b/>
                <w:color w:val="auto"/>
                <w:sz w:val="24"/>
              </w:rPr>
              <w:t>履约保证金</w:t>
            </w:r>
          </w:p>
        </w:tc>
        <w:tc>
          <w:tcPr>
            <w:tcW w:w="8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360" w:lineRule="auto"/>
              <w:ind w:right="105" w:rightChars="50"/>
              <w:rPr>
                <w:rFonts w:hint="eastAsia"/>
                <w:color w:val="auto"/>
              </w:rPr>
            </w:pPr>
            <w:r>
              <w:rPr>
                <w:rFonts w:hint="eastAsia" w:ascii="仿宋" w:hAnsi="仿宋" w:eastAsia="仿宋" w:cs="仿宋"/>
                <w:color w:val="auto"/>
              </w:rPr>
              <w:t>成交供应商在签订采购合同前，须提交合同总价3%的银行履约保函作为履约担保，保函须符合采购人担保时效要求，未按规定提交保函的，采购人有权取消中标资格。</w:t>
            </w:r>
          </w:p>
        </w:tc>
      </w:tr>
      <w:tr>
        <w:tblPrEx>
          <w:tblCellMar>
            <w:top w:w="0" w:type="dxa"/>
            <w:left w:w="0" w:type="dxa"/>
            <w:bottom w:w="0" w:type="dxa"/>
            <w:right w:w="0" w:type="dxa"/>
          </w:tblCellMar>
        </w:tblPrEx>
        <w:trPr>
          <w:trHeight w:val="794" w:hRule="atLeast"/>
          <w:jc w:val="center"/>
        </w:trPr>
        <w:tc>
          <w:tcPr>
            <w:tcW w:w="230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b/>
                <w:color w:val="auto"/>
                <w:sz w:val="24"/>
                <w:shd w:val="clear" w:color="auto" w:fill="FFFFFF"/>
              </w:rPr>
            </w:pPr>
            <w:r>
              <w:rPr>
                <w:rFonts w:hint="eastAsia" w:ascii="仿宋" w:hAnsi="仿宋" w:eastAsia="仿宋" w:cs="仿宋"/>
                <w:b/>
                <w:color w:val="auto"/>
                <w:sz w:val="24"/>
                <w:shd w:val="clear" w:color="auto" w:fill="FFFFFF"/>
              </w:rPr>
              <w:t>安装、调试要求</w:t>
            </w:r>
          </w:p>
          <w:p>
            <w:pPr>
              <w:widowControl/>
              <w:snapToGrid w:val="0"/>
              <w:spacing w:line="360" w:lineRule="auto"/>
              <w:ind w:left="105" w:leftChars="50"/>
              <w:jc w:val="center"/>
              <w:textAlignment w:val="center"/>
              <w:rPr>
                <w:rFonts w:ascii="仿宋" w:hAnsi="仿宋" w:eastAsia="仿宋" w:cs="仿宋"/>
                <w:b/>
                <w:color w:val="auto"/>
                <w:sz w:val="24"/>
              </w:rPr>
            </w:pPr>
          </w:p>
        </w:tc>
        <w:tc>
          <w:tcPr>
            <w:tcW w:w="8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 xml:space="preserve"> 在安装调试过程中，成交供应商应派专业技术人员进行同步指导。</w:t>
            </w:r>
          </w:p>
        </w:tc>
      </w:tr>
      <w:tr>
        <w:tblPrEx>
          <w:tblCellMar>
            <w:top w:w="0" w:type="dxa"/>
            <w:left w:w="0" w:type="dxa"/>
            <w:bottom w:w="0" w:type="dxa"/>
            <w:right w:w="0" w:type="dxa"/>
          </w:tblCellMar>
        </w:tblPrEx>
        <w:trPr>
          <w:trHeight w:val="555" w:hRule="atLeast"/>
          <w:jc w:val="center"/>
        </w:trPr>
        <w:tc>
          <w:tcPr>
            <w:tcW w:w="230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ind w:left="105" w:leftChars="50"/>
              <w:jc w:val="center"/>
              <w:textAlignment w:val="center"/>
              <w:rPr>
                <w:rFonts w:ascii="仿宋" w:hAnsi="仿宋" w:eastAsia="仿宋" w:cs="仿宋"/>
                <w:b/>
                <w:color w:val="auto"/>
                <w:kern w:val="0"/>
                <w:sz w:val="24"/>
              </w:rPr>
            </w:pPr>
            <w:r>
              <w:rPr>
                <w:rFonts w:hint="eastAsia" w:ascii="仿宋" w:hAnsi="仿宋" w:eastAsia="仿宋" w:cs="仿宋"/>
                <w:b/>
                <w:color w:val="auto"/>
                <w:sz w:val="24"/>
              </w:rPr>
              <w:t>报价要求</w:t>
            </w:r>
          </w:p>
        </w:tc>
        <w:tc>
          <w:tcPr>
            <w:tcW w:w="8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竞标报价为采购人指定地点的现场交货价，包括：</w:t>
            </w:r>
          </w:p>
          <w:p>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1.货物的价格；</w:t>
            </w:r>
          </w:p>
          <w:p>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2.货物的标准附件、备品备件、专用工具的价格；</w:t>
            </w:r>
          </w:p>
          <w:p>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3.运输、装卸、调试、培训、技术支持、售后服务等费用；</w:t>
            </w:r>
          </w:p>
          <w:p>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4.必要的保险费用和各项税费；</w:t>
            </w:r>
          </w:p>
          <w:p>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5.货物的价格及货物的损耗费、机械费、增值税、运费、安装费、管理费、利润等费用；</w:t>
            </w:r>
          </w:p>
          <w:p>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6.在施工期间，供货商与其他施工单位产生施工配合费，由供货商自行承担。</w:t>
            </w:r>
          </w:p>
          <w:p>
            <w:pPr>
              <w:widowControl/>
              <w:snapToGrid w:val="0"/>
              <w:spacing w:line="360" w:lineRule="auto"/>
              <w:ind w:right="105" w:rightChars="50"/>
              <w:jc w:val="left"/>
              <w:rPr>
                <w:rFonts w:ascii="仿宋" w:hAnsi="仿宋" w:eastAsia="仿宋" w:cs="仿宋"/>
                <w:color w:val="auto"/>
              </w:rPr>
            </w:pPr>
            <w:r>
              <w:rPr>
                <w:rFonts w:hint="eastAsia" w:ascii="仿宋" w:hAnsi="仿宋" w:eastAsia="仿宋" w:cs="仿宋"/>
                <w:color w:val="auto"/>
              </w:rPr>
              <w:t>对于本文件中明确列明必须报价的货物或服务，供应商分别报价。对于本文件中未列明，而供应商认为必需的费用也需列入总报价。在合同实施时，采购人将不予支付成交供应商没有列入的项目费用，并认为此项目的费用已包括在竞标总报价中。</w:t>
            </w:r>
          </w:p>
        </w:tc>
      </w:tr>
      <w:tr>
        <w:tblPrEx>
          <w:tblCellMar>
            <w:top w:w="0" w:type="dxa"/>
            <w:left w:w="0" w:type="dxa"/>
            <w:bottom w:w="0" w:type="dxa"/>
            <w:right w:w="0" w:type="dxa"/>
          </w:tblCellMar>
        </w:tblPrEx>
        <w:trPr>
          <w:trHeight w:val="555" w:hRule="atLeast"/>
          <w:jc w:val="center"/>
        </w:trPr>
        <w:tc>
          <w:tcPr>
            <w:tcW w:w="230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ind w:left="105" w:leftChars="50" w:firstLine="8" w:firstLineChars="4"/>
              <w:jc w:val="center"/>
              <w:rPr>
                <w:rFonts w:ascii="仿宋" w:hAnsi="仿宋" w:eastAsia="仿宋" w:cs="仿宋"/>
                <w:b/>
                <w:color w:val="auto"/>
                <w:sz w:val="24"/>
              </w:rPr>
            </w:pPr>
            <w:r>
              <w:rPr>
                <w:rFonts w:hint="eastAsia" w:ascii="宋体" w:hAnsi="宋体" w:cs="宋体"/>
                <w:b/>
                <w:bCs/>
                <w:color w:val="auto"/>
              </w:rPr>
              <w:t>产权</w:t>
            </w:r>
          </w:p>
        </w:tc>
        <w:tc>
          <w:tcPr>
            <w:tcW w:w="8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1.如采购项目涉及采购标的的知识产权归属的，产权归属为采购人；</w:t>
            </w:r>
          </w:p>
          <w:p>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2.处理方式：采购人在中华人民共和国境内使用中标人提供的产品及服务时免受第三方提出的侵犯其专利权或其它知识产权的起诉。如果第三方提出侵权指控，成交供应商应承担由此而引起的一切法律责任和费用。</w:t>
            </w:r>
          </w:p>
        </w:tc>
      </w:tr>
      <w:tr>
        <w:tblPrEx>
          <w:tblCellMar>
            <w:top w:w="0" w:type="dxa"/>
            <w:left w:w="0" w:type="dxa"/>
            <w:bottom w:w="0" w:type="dxa"/>
            <w:right w:w="0" w:type="dxa"/>
          </w:tblCellMar>
        </w:tblPrEx>
        <w:trPr>
          <w:trHeight w:val="555" w:hRule="atLeast"/>
          <w:jc w:val="center"/>
        </w:trPr>
        <w:tc>
          <w:tcPr>
            <w:tcW w:w="230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ind w:left="105" w:leftChars="50"/>
              <w:jc w:val="center"/>
              <w:textAlignment w:val="center"/>
              <w:rPr>
                <w:rFonts w:ascii="仿宋" w:hAnsi="仿宋" w:eastAsia="仿宋" w:cs="仿宋"/>
                <w:b/>
                <w:color w:val="auto"/>
                <w:kern w:val="0"/>
                <w:sz w:val="24"/>
              </w:rPr>
            </w:pPr>
            <w:r>
              <w:rPr>
                <w:rFonts w:hint="eastAsia" w:ascii="仿宋" w:hAnsi="仿宋" w:eastAsia="仿宋" w:cs="仿宋"/>
                <w:b/>
                <w:color w:val="auto"/>
                <w:sz w:val="24"/>
                <w:shd w:val="clear" w:color="auto" w:fill="FFFFFF"/>
              </w:rPr>
              <w:t>免费培训</w:t>
            </w:r>
          </w:p>
        </w:tc>
        <w:tc>
          <w:tcPr>
            <w:tcW w:w="8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供应商对其提供产品或服务的使用和操作应尽培训义务。供应商应提供对采购人的基本培训，使采购人使用人员熟练掌握所培训内容，熟练掌握全部功能，培训的相关费用包括在投标报价中，采购人不再另行支付；</w:t>
            </w:r>
          </w:p>
        </w:tc>
      </w:tr>
      <w:tr>
        <w:tblPrEx>
          <w:tblCellMar>
            <w:top w:w="0" w:type="dxa"/>
            <w:left w:w="0" w:type="dxa"/>
            <w:bottom w:w="0" w:type="dxa"/>
            <w:right w:w="0" w:type="dxa"/>
          </w:tblCellMar>
        </w:tblPrEx>
        <w:trPr>
          <w:trHeight w:val="555" w:hRule="atLeast"/>
          <w:jc w:val="center"/>
        </w:trPr>
        <w:tc>
          <w:tcPr>
            <w:tcW w:w="2303" w:type="dxa"/>
            <w:tcBorders>
              <w:top w:val="single" w:color="000000" w:sz="4" w:space="0"/>
              <w:left w:val="single" w:color="000000" w:sz="4" w:space="0"/>
              <w:bottom w:val="single" w:color="000000" w:sz="4" w:space="0"/>
              <w:right w:val="single" w:color="000000" w:sz="4" w:space="0"/>
            </w:tcBorders>
            <w:vAlign w:val="center"/>
          </w:tcPr>
          <w:p>
            <w:pPr>
              <w:tabs>
                <w:tab w:val="left" w:pos="132"/>
              </w:tabs>
              <w:snapToGrid w:val="0"/>
              <w:spacing w:line="360" w:lineRule="auto"/>
              <w:ind w:left="105" w:leftChars="50"/>
              <w:jc w:val="center"/>
              <w:rPr>
                <w:rFonts w:ascii="仿宋" w:hAnsi="仿宋" w:eastAsia="仿宋" w:cs="仿宋"/>
                <w:b/>
                <w:color w:val="auto"/>
                <w:sz w:val="24"/>
              </w:rPr>
            </w:pPr>
            <w:r>
              <w:rPr>
                <w:rFonts w:hint="eastAsia" w:ascii="仿宋" w:hAnsi="仿宋" w:eastAsia="仿宋" w:cs="仿宋"/>
                <w:b/>
                <w:color w:val="auto"/>
                <w:sz w:val="24"/>
              </w:rPr>
              <w:t>验收标准</w:t>
            </w:r>
          </w:p>
          <w:p>
            <w:pPr>
              <w:widowControl/>
              <w:snapToGrid w:val="0"/>
              <w:spacing w:line="360" w:lineRule="auto"/>
              <w:ind w:left="105" w:leftChars="50"/>
              <w:jc w:val="center"/>
              <w:textAlignment w:val="center"/>
              <w:rPr>
                <w:rFonts w:ascii="仿宋" w:hAnsi="仿宋" w:eastAsia="仿宋" w:cs="仿宋"/>
                <w:b/>
                <w:color w:val="auto"/>
                <w:kern w:val="0"/>
                <w:sz w:val="24"/>
              </w:rPr>
            </w:pPr>
            <w:r>
              <w:rPr>
                <w:rFonts w:hint="eastAsia" w:ascii="仿宋" w:hAnsi="仿宋" w:eastAsia="仿宋" w:cs="仿宋"/>
                <w:b/>
                <w:color w:val="auto"/>
                <w:sz w:val="24"/>
              </w:rPr>
              <w:t>及要求</w:t>
            </w:r>
          </w:p>
        </w:tc>
        <w:tc>
          <w:tcPr>
            <w:tcW w:w="8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1.验收标准：货物验收标准，伴随工程、服务验收标准（符合现行国家相关标准、行业标准、地方标准或者其他标准、规范）。</w:t>
            </w:r>
          </w:p>
          <w:p>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2.成交供应商</w:t>
            </w:r>
            <w:r>
              <w:rPr>
                <w:rFonts w:hint="eastAsia" w:ascii="仿宋" w:hAnsi="仿宋" w:eastAsia="仿宋" w:cs="仿宋"/>
                <w:color w:val="auto"/>
                <w:lang w:eastAsia="zh-CN"/>
              </w:rPr>
              <w:t>供货时提供相关的检测报告及相关材料</w:t>
            </w:r>
            <w:r>
              <w:rPr>
                <w:rFonts w:hint="eastAsia" w:ascii="仿宋" w:hAnsi="仿宋" w:eastAsia="仿宋" w:cs="仿宋"/>
                <w:color w:val="auto"/>
              </w:rPr>
              <w:t>，由采购单位对照招标文件的项目要求及技术需求及响应文件承诺、合同条款等，全面核对检验。如不符合谈判文件的技术需求及要求以及提供虚假承诺的，按相关规定做违约处理，成交供应商承担所有责任和费用，采购人保留进一步追究责任的权利。采购人可委托第三方单位验收，费用由成交供应商支付。</w:t>
            </w:r>
          </w:p>
          <w:p>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3.验收时间:采购人收到成交供应商验收申请之日起</w:t>
            </w:r>
            <w:r>
              <w:rPr>
                <w:rFonts w:hint="eastAsia" w:ascii="仿宋" w:hAnsi="仿宋" w:eastAsia="仿宋" w:cs="仿宋"/>
                <w:color w:val="auto"/>
                <w:lang w:val="en-US" w:eastAsia="zh-CN"/>
              </w:rPr>
              <w:t>10</w:t>
            </w:r>
            <w:r>
              <w:rPr>
                <w:rFonts w:hint="eastAsia" w:ascii="仿宋" w:hAnsi="仿宋" w:eastAsia="仿宋" w:cs="仿宋"/>
                <w:color w:val="auto"/>
              </w:rPr>
              <w:t>个工作日进行验收（或按采购人指定的时间，另行验收）。</w:t>
            </w:r>
          </w:p>
          <w:p>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4.验收地点：采购人指定交货地点。</w:t>
            </w:r>
          </w:p>
          <w:p>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5.验收方式：</w:t>
            </w:r>
          </w:p>
          <w:p>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1）成交供应商完成货物安装调试和培训后，书面向采购人提交验收申请。</w:t>
            </w:r>
          </w:p>
          <w:p>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2）采购人收到成交供应商验收申请之日起</w:t>
            </w:r>
            <w:r>
              <w:rPr>
                <w:rFonts w:hint="eastAsia" w:ascii="仿宋" w:hAnsi="仿宋" w:eastAsia="仿宋" w:cs="仿宋"/>
                <w:color w:val="auto"/>
                <w:lang w:val="en-US" w:eastAsia="zh-CN"/>
              </w:rPr>
              <w:t>10</w:t>
            </w:r>
            <w:r>
              <w:rPr>
                <w:rFonts w:hint="eastAsia" w:ascii="仿宋" w:hAnsi="仿宋" w:eastAsia="仿宋" w:cs="仿宋"/>
                <w:color w:val="auto"/>
              </w:rPr>
              <w:t>个工作日进行验收（或按采购人指定的时间，另行验收）。</w:t>
            </w:r>
          </w:p>
          <w:p>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3）本项目验收由验收小组按照采购合同约定对每一项技术和商务要求的履约情况及响应文件承诺、合同条款等进行确认。</w:t>
            </w:r>
          </w:p>
          <w:p>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4）验收结束后，验收小组出具采购验收书，验收书由验收小组、采购人和成交供应商共同签署。</w:t>
            </w:r>
          </w:p>
          <w:p>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5）验收过程中所产生的一切费用均由成交供应商承担。</w:t>
            </w:r>
          </w:p>
          <w:p>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6）验收结论不合格的，成交供应商应自收到验收书后5日内及时予以解决。经成交供应商对验收结论不合格的货物进行整改后，仍然达不到要求的，经双方协商，可按以下办法处理：</w:t>
            </w:r>
          </w:p>
          <w:p>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①更换：由成交供应商承担所发生的全部费用。</w:t>
            </w:r>
          </w:p>
          <w:p>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②贬值处理：由采购人、成交供应商双方合议定价。</w:t>
            </w:r>
          </w:p>
        </w:tc>
      </w:tr>
      <w:tr>
        <w:tblPrEx>
          <w:tblCellMar>
            <w:top w:w="0" w:type="dxa"/>
            <w:left w:w="0" w:type="dxa"/>
            <w:bottom w:w="0" w:type="dxa"/>
            <w:right w:w="0" w:type="dxa"/>
          </w:tblCellMar>
        </w:tblPrEx>
        <w:trPr>
          <w:trHeight w:val="555" w:hRule="atLeast"/>
          <w:jc w:val="center"/>
        </w:trPr>
        <w:tc>
          <w:tcPr>
            <w:tcW w:w="230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仿宋" w:hAnsi="仿宋" w:eastAsia="仿宋" w:cs="仿宋"/>
                <w:b/>
                <w:color w:val="auto"/>
                <w:sz w:val="24"/>
              </w:rPr>
            </w:pPr>
            <w:r>
              <w:rPr>
                <w:rFonts w:hint="eastAsia" w:ascii="仿宋" w:hAnsi="仿宋" w:eastAsia="仿宋" w:cs="仿宋"/>
                <w:b/>
                <w:bCs/>
                <w:color w:val="auto"/>
                <w:sz w:val="24"/>
              </w:rPr>
              <w:t>▲</w:t>
            </w:r>
            <w:r>
              <w:rPr>
                <w:rFonts w:hint="eastAsia" w:ascii="仿宋" w:hAnsi="仿宋" w:eastAsia="仿宋" w:cs="仿宋"/>
                <w:b/>
                <w:color w:val="auto"/>
                <w:sz w:val="24"/>
              </w:rPr>
              <w:t>其他要求</w:t>
            </w:r>
          </w:p>
        </w:tc>
        <w:tc>
          <w:tcPr>
            <w:tcW w:w="8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1、不接受进口产品（即通过中国海关报关验放进入中国境内且产自关境外的产品）参与投标，如有此类产品参与投标的做无效标处理。</w:t>
            </w:r>
          </w:p>
          <w:p>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2、供应商必须满足全部商务要求及技术要求，否则投标无效。一旦发现虚假响应，即使成交也将被取消成交资格，采购人有权追加供应商责任并向监管部门投诉</w:t>
            </w:r>
          </w:p>
          <w:p>
            <w:pPr>
              <w:widowControl/>
              <w:snapToGrid w:val="0"/>
              <w:spacing w:line="360" w:lineRule="auto"/>
              <w:ind w:right="105" w:rightChars="50"/>
              <w:jc w:val="left"/>
              <w:rPr>
                <w:rFonts w:ascii="仿宋" w:hAnsi="仿宋" w:eastAsia="仿宋" w:cs="仿宋"/>
                <w:color w:val="auto"/>
              </w:rPr>
            </w:pPr>
            <w:r>
              <w:rPr>
                <w:rFonts w:hint="eastAsia" w:ascii="仿宋" w:hAnsi="仿宋" w:eastAsia="仿宋" w:cs="仿宋"/>
                <w:color w:val="auto"/>
              </w:rPr>
              <w:t>3、标注“▲”的商务需求必须满足，标注“▲”的技术参数必须满足，否则竞标无效。</w:t>
            </w:r>
          </w:p>
        </w:tc>
      </w:tr>
    </w:tbl>
    <w:p>
      <w:pPr>
        <w:jc w:val="center"/>
        <w:rPr>
          <w:rFonts w:hint="eastAsia" w:ascii="宋体" w:hAnsi="宋体" w:cs="Courier New"/>
          <w:sz w:val="72"/>
          <w:szCs w:val="72"/>
        </w:rPr>
      </w:pPr>
    </w:p>
    <w:p>
      <w:pPr>
        <w:spacing w:line="500" w:lineRule="exact"/>
        <w:ind w:firstLine="420"/>
        <w:rPr>
          <w:rFonts w:ascii="宋体" w:hAnsi="宋体"/>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172A27"/>
    <w:rsid w:val="00004B87"/>
    <w:rsid w:val="000539A9"/>
    <w:rsid w:val="00073AF3"/>
    <w:rsid w:val="0008029A"/>
    <w:rsid w:val="0009166C"/>
    <w:rsid w:val="000F0F61"/>
    <w:rsid w:val="00172A27"/>
    <w:rsid w:val="001B17C1"/>
    <w:rsid w:val="00235690"/>
    <w:rsid w:val="00285085"/>
    <w:rsid w:val="00292536"/>
    <w:rsid w:val="002E0580"/>
    <w:rsid w:val="002E4D02"/>
    <w:rsid w:val="00323A11"/>
    <w:rsid w:val="003C44D8"/>
    <w:rsid w:val="00447481"/>
    <w:rsid w:val="004569D2"/>
    <w:rsid w:val="00467F80"/>
    <w:rsid w:val="0049213F"/>
    <w:rsid w:val="0049412B"/>
    <w:rsid w:val="004E362A"/>
    <w:rsid w:val="005430B6"/>
    <w:rsid w:val="005C237A"/>
    <w:rsid w:val="005E149D"/>
    <w:rsid w:val="005E3CA0"/>
    <w:rsid w:val="00610FE6"/>
    <w:rsid w:val="007223FF"/>
    <w:rsid w:val="00784D41"/>
    <w:rsid w:val="008563B1"/>
    <w:rsid w:val="008B6A42"/>
    <w:rsid w:val="00963541"/>
    <w:rsid w:val="00A07B94"/>
    <w:rsid w:val="00A12010"/>
    <w:rsid w:val="00AD6793"/>
    <w:rsid w:val="00AE2148"/>
    <w:rsid w:val="00B212C6"/>
    <w:rsid w:val="00B3119B"/>
    <w:rsid w:val="00B53F6E"/>
    <w:rsid w:val="00BE379E"/>
    <w:rsid w:val="00CD3CAB"/>
    <w:rsid w:val="00D049F2"/>
    <w:rsid w:val="00D371C3"/>
    <w:rsid w:val="00D55BF4"/>
    <w:rsid w:val="00DD5009"/>
    <w:rsid w:val="00DD719D"/>
    <w:rsid w:val="00DE569A"/>
    <w:rsid w:val="00E03A7A"/>
    <w:rsid w:val="00EF5362"/>
    <w:rsid w:val="01745B63"/>
    <w:rsid w:val="01755412"/>
    <w:rsid w:val="01857805"/>
    <w:rsid w:val="02230AF2"/>
    <w:rsid w:val="05370E0C"/>
    <w:rsid w:val="084A03E3"/>
    <w:rsid w:val="09BE795D"/>
    <w:rsid w:val="0A096BD7"/>
    <w:rsid w:val="0A5D5F30"/>
    <w:rsid w:val="0BD005D0"/>
    <w:rsid w:val="0CE95B9C"/>
    <w:rsid w:val="0E002722"/>
    <w:rsid w:val="0F434789"/>
    <w:rsid w:val="0FF22FB9"/>
    <w:rsid w:val="103A61E9"/>
    <w:rsid w:val="11CF73E8"/>
    <w:rsid w:val="131E40C5"/>
    <w:rsid w:val="1444583F"/>
    <w:rsid w:val="14A5684C"/>
    <w:rsid w:val="152F47B3"/>
    <w:rsid w:val="15763F57"/>
    <w:rsid w:val="16182198"/>
    <w:rsid w:val="167A3BEB"/>
    <w:rsid w:val="19605858"/>
    <w:rsid w:val="19822961"/>
    <w:rsid w:val="19BF24F6"/>
    <w:rsid w:val="1B7926D6"/>
    <w:rsid w:val="1DE745FD"/>
    <w:rsid w:val="1E7C2FE8"/>
    <w:rsid w:val="1EEB4414"/>
    <w:rsid w:val="1F1864FE"/>
    <w:rsid w:val="1F5D01EE"/>
    <w:rsid w:val="20DF0472"/>
    <w:rsid w:val="21172411"/>
    <w:rsid w:val="230B0B8F"/>
    <w:rsid w:val="23487B36"/>
    <w:rsid w:val="23FC3FAF"/>
    <w:rsid w:val="24DD36AB"/>
    <w:rsid w:val="27AA0B3A"/>
    <w:rsid w:val="29686D10"/>
    <w:rsid w:val="2A96501A"/>
    <w:rsid w:val="2AA36589"/>
    <w:rsid w:val="2D114186"/>
    <w:rsid w:val="2DB91F13"/>
    <w:rsid w:val="2FA43123"/>
    <w:rsid w:val="2FC30380"/>
    <w:rsid w:val="31AA0FF7"/>
    <w:rsid w:val="31E06CBE"/>
    <w:rsid w:val="32C03D43"/>
    <w:rsid w:val="35C74C21"/>
    <w:rsid w:val="36867536"/>
    <w:rsid w:val="38C43B0D"/>
    <w:rsid w:val="39964FA9"/>
    <w:rsid w:val="39F11ADC"/>
    <w:rsid w:val="3BE50162"/>
    <w:rsid w:val="3C5755A0"/>
    <w:rsid w:val="3D190AC8"/>
    <w:rsid w:val="3D3E7233"/>
    <w:rsid w:val="3EA77A4B"/>
    <w:rsid w:val="3F6466DD"/>
    <w:rsid w:val="3F8A6AF2"/>
    <w:rsid w:val="40221658"/>
    <w:rsid w:val="42B23D5F"/>
    <w:rsid w:val="433429C6"/>
    <w:rsid w:val="43880C83"/>
    <w:rsid w:val="438F3771"/>
    <w:rsid w:val="44497E42"/>
    <w:rsid w:val="470B0CE7"/>
    <w:rsid w:val="497A0209"/>
    <w:rsid w:val="4CC44163"/>
    <w:rsid w:val="4DCE1EB5"/>
    <w:rsid w:val="4ED21F96"/>
    <w:rsid w:val="4F605256"/>
    <w:rsid w:val="52BB0165"/>
    <w:rsid w:val="54DD0366"/>
    <w:rsid w:val="55315446"/>
    <w:rsid w:val="55AE1598"/>
    <w:rsid w:val="56AD5788"/>
    <w:rsid w:val="56B258E8"/>
    <w:rsid w:val="58374EF4"/>
    <w:rsid w:val="5AC435AB"/>
    <w:rsid w:val="5B506C0C"/>
    <w:rsid w:val="60787860"/>
    <w:rsid w:val="61AC38F2"/>
    <w:rsid w:val="6501461E"/>
    <w:rsid w:val="65766A16"/>
    <w:rsid w:val="69631002"/>
    <w:rsid w:val="69F134E0"/>
    <w:rsid w:val="6C8B7E37"/>
    <w:rsid w:val="6E9F6EF5"/>
    <w:rsid w:val="712832BA"/>
    <w:rsid w:val="714A2741"/>
    <w:rsid w:val="74292677"/>
    <w:rsid w:val="74AC6CAB"/>
    <w:rsid w:val="75B328B1"/>
    <w:rsid w:val="75ED6880"/>
    <w:rsid w:val="7662101C"/>
    <w:rsid w:val="76B61368"/>
    <w:rsid w:val="784B67EB"/>
    <w:rsid w:val="7EDE3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rFonts w:ascii="Calibri" w:hAnsi="Calibri"/>
      <w:b/>
      <w:kern w:val="44"/>
      <w:sz w:val="44"/>
      <w:szCs w:val="22"/>
    </w:rPr>
  </w:style>
  <w:style w:type="paragraph" w:styleId="4">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annotation text"/>
    <w:basedOn w:val="1"/>
    <w:qFormat/>
    <w:uiPriority w:val="0"/>
    <w:pPr>
      <w:jc w:val="left"/>
    </w:pPr>
  </w:style>
  <w:style w:type="paragraph" w:styleId="6">
    <w:name w:val="Body Text"/>
    <w:basedOn w:val="1"/>
    <w:next w:val="7"/>
    <w:qFormat/>
    <w:uiPriority w:val="0"/>
  </w:style>
  <w:style w:type="paragraph" w:styleId="7">
    <w:name w:val="Plain Text"/>
    <w:basedOn w:val="1"/>
    <w:next w:val="4"/>
    <w:qFormat/>
    <w:uiPriority w:val="0"/>
    <w:rPr>
      <w:rFonts w:ascii="宋体" w:hAnsi="Courier New"/>
      <w:szCs w:val="20"/>
    </w:rPr>
  </w:style>
  <w:style w:type="paragraph" w:styleId="8">
    <w:name w:val="Balloon Text"/>
    <w:basedOn w:val="1"/>
    <w:link w:val="28"/>
    <w:qFormat/>
    <w:uiPriority w:val="0"/>
    <w:rPr>
      <w:sz w:val="18"/>
      <w:szCs w:val="18"/>
    </w:rPr>
  </w:style>
  <w:style w:type="paragraph" w:styleId="9">
    <w:name w:val="footer"/>
    <w:basedOn w:val="1"/>
    <w:link w:val="16"/>
    <w:qFormat/>
    <w:uiPriority w:val="99"/>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2">
    <w:name w:val="Normal (Web)"/>
    <w:basedOn w:val="1"/>
    <w:qFormat/>
    <w:uiPriority w:val="0"/>
    <w:rPr>
      <w:sz w:val="24"/>
    </w:rPr>
  </w:style>
  <w:style w:type="table" w:styleId="14">
    <w:name w:val="Table Grid"/>
    <w:basedOn w:val="13"/>
    <w:unhideWhenUsed/>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页脚 Char"/>
    <w:basedOn w:val="15"/>
    <w:link w:val="9"/>
    <w:qFormat/>
    <w:uiPriority w:val="99"/>
    <w:rPr>
      <w:kern w:val="2"/>
      <w:sz w:val="18"/>
      <w:szCs w:val="18"/>
    </w:rPr>
  </w:style>
  <w:style w:type="character" w:customStyle="1" w:styleId="17">
    <w:name w:val="页眉 Char"/>
    <w:basedOn w:val="15"/>
    <w:link w:val="10"/>
    <w:qFormat/>
    <w:uiPriority w:val="0"/>
    <w:rPr>
      <w:kern w:val="2"/>
      <w:sz w:val="18"/>
      <w:szCs w:val="18"/>
    </w:rPr>
  </w:style>
  <w:style w:type="paragraph" w:customStyle="1" w:styleId="18">
    <w:name w:val="正文正"/>
    <w:basedOn w:val="1"/>
    <w:qFormat/>
    <w:uiPriority w:val="0"/>
    <w:pPr>
      <w:spacing w:line="560" w:lineRule="exact"/>
      <w:ind w:firstLine="561"/>
    </w:pPr>
    <w:rPr>
      <w:rFonts w:eastAsia="仿宋_GB2312"/>
      <w:sz w:val="28"/>
      <w:szCs w:val="24"/>
    </w:rPr>
  </w:style>
  <w:style w:type="paragraph" w:styleId="19">
    <w:name w:val="List Paragraph"/>
    <w:basedOn w:val="1"/>
    <w:qFormat/>
    <w:uiPriority w:val="34"/>
    <w:pPr>
      <w:ind w:firstLine="420" w:firstLineChars="200"/>
    </w:pPr>
    <w:rPr>
      <w:rFonts w:ascii="Calibri" w:hAnsi="Calibri"/>
    </w:rPr>
  </w:style>
  <w:style w:type="paragraph" w:customStyle="1" w:styleId="20">
    <w:name w:val="正文 New New New New"/>
    <w:qFormat/>
    <w:uiPriority w:val="99"/>
    <w:pPr>
      <w:widowControl w:val="0"/>
      <w:jc w:val="both"/>
    </w:pPr>
    <w:rPr>
      <w:rFonts w:ascii="Times New Roman" w:hAnsi="Times New Roman" w:eastAsia="宋体" w:cs="Times New Roman"/>
      <w:sz w:val="21"/>
      <w:szCs w:val="24"/>
      <w:lang w:val="en-US" w:eastAsia="zh-CN" w:bidi="ar-SA"/>
    </w:rPr>
  </w:style>
  <w:style w:type="character" w:customStyle="1" w:styleId="21">
    <w:name w:val="font51"/>
    <w:basedOn w:val="15"/>
    <w:qFormat/>
    <w:uiPriority w:val="0"/>
    <w:rPr>
      <w:rFonts w:hint="eastAsia" w:ascii="宋体" w:hAnsi="宋体" w:eastAsia="宋体"/>
      <w:color w:val="000000"/>
      <w:sz w:val="18"/>
      <w:szCs w:val="18"/>
      <w:u w:val="none"/>
    </w:rPr>
  </w:style>
  <w:style w:type="character" w:customStyle="1" w:styleId="22">
    <w:name w:val="font11"/>
    <w:basedOn w:val="15"/>
    <w:qFormat/>
    <w:uiPriority w:val="0"/>
    <w:rPr>
      <w:rFonts w:hint="eastAsia" w:ascii="宋体" w:hAnsi="宋体" w:eastAsia="宋体" w:cs="宋体"/>
      <w:color w:val="666666"/>
      <w:sz w:val="20"/>
      <w:szCs w:val="20"/>
      <w:u w:val="none"/>
    </w:rPr>
  </w:style>
  <w:style w:type="character" w:customStyle="1" w:styleId="23">
    <w:name w:val="font41"/>
    <w:basedOn w:val="15"/>
    <w:qFormat/>
    <w:uiPriority w:val="0"/>
    <w:rPr>
      <w:rFonts w:hint="eastAsia" w:ascii="宋体" w:hAnsi="宋体" w:eastAsia="宋体" w:cs="宋体"/>
      <w:color w:val="000000"/>
      <w:sz w:val="20"/>
      <w:szCs w:val="20"/>
      <w:u w:val="none"/>
    </w:rPr>
  </w:style>
  <w:style w:type="character" w:customStyle="1" w:styleId="24">
    <w:name w:val="font21"/>
    <w:basedOn w:val="15"/>
    <w:qFormat/>
    <w:uiPriority w:val="0"/>
    <w:rPr>
      <w:rFonts w:hint="eastAsia" w:ascii="宋体" w:hAnsi="宋体" w:eastAsia="宋体" w:cs="宋体"/>
      <w:color w:val="000000"/>
      <w:sz w:val="20"/>
      <w:szCs w:val="20"/>
      <w:u w:val="none"/>
    </w:rPr>
  </w:style>
  <w:style w:type="character" w:customStyle="1" w:styleId="25">
    <w:name w:val="font61"/>
    <w:basedOn w:val="15"/>
    <w:qFormat/>
    <w:uiPriority w:val="0"/>
    <w:rPr>
      <w:rFonts w:hint="eastAsia" w:ascii="微软雅黑" w:hAnsi="微软雅黑" w:eastAsia="微软雅黑" w:cs="微软雅黑"/>
      <w:color w:val="000000"/>
      <w:sz w:val="16"/>
      <w:szCs w:val="16"/>
      <w:u w:val="none"/>
    </w:rPr>
  </w:style>
  <w:style w:type="character" w:customStyle="1" w:styleId="26">
    <w:name w:val="font31"/>
    <w:basedOn w:val="15"/>
    <w:qFormat/>
    <w:uiPriority w:val="0"/>
    <w:rPr>
      <w:rFonts w:ascii="Arial Unicode MS" w:hAnsi="Arial Unicode MS" w:eastAsia="Arial Unicode MS" w:cs="Arial Unicode MS"/>
      <w:color w:val="000000"/>
      <w:sz w:val="22"/>
      <w:szCs w:val="22"/>
      <w:u w:val="none"/>
    </w:rPr>
  </w:style>
  <w:style w:type="character" w:customStyle="1" w:styleId="27">
    <w:name w:val="font121"/>
    <w:basedOn w:val="15"/>
    <w:qFormat/>
    <w:uiPriority w:val="0"/>
    <w:rPr>
      <w:rFonts w:ascii="微软雅黑" w:hAnsi="微软雅黑" w:eastAsia="微软雅黑" w:cs="微软雅黑"/>
      <w:color w:val="000000"/>
      <w:sz w:val="20"/>
      <w:szCs w:val="20"/>
      <w:u w:val="none"/>
    </w:rPr>
  </w:style>
  <w:style w:type="character" w:customStyle="1" w:styleId="28">
    <w:name w:val="批注框文本 Char"/>
    <w:basedOn w:val="15"/>
    <w:link w:val="8"/>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2350</Words>
  <Characters>2379</Characters>
  <Lines>181</Lines>
  <Paragraphs>51</Paragraphs>
  <TotalTime>39</TotalTime>
  <ScaleCrop>false</ScaleCrop>
  <LinksUpToDate>false</LinksUpToDate>
  <CharactersWithSpaces>2380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2024-08-16T03:26:00Z</dcterms:created>
  <dc:creator>hhyl</dc:creator>
  <cp:lastModifiedBy>HP</cp:lastModifiedBy>
  <dcterms:modified xsi:type="dcterms:W3CDTF">2026-06-18T00:57:42Z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52B6421B112A4615BA2D9D8FAF893C8D_13</vt:lpwstr>
  </property>
  <property fmtid="{D5CDD505-2E9C-101B-9397-08002B2CF9AE}" pid="4" name="KSOTemplateDocerSaveRecord">
    <vt:lpwstr>eyJoZGlkIjoiZDgwOGZjNGE1MDgxMjgyMmE2NTUwMzdjM2FhNTBmZDEiLCJ1c2VySWQiOiIxNzY4NzgxODg5In0=</vt:lpwstr>
  </property>
</Properties>
</file>