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里建校区教研综合楼会议室设备购置项目购置清单</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24"/>
        <w:gridCol w:w="1077"/>
        <w:gridCol w:w="9310"/>
        <w:gridCol w:w="656"/>
        <w:gridCol w:w="656"/>
        <w:gridCol w:w="1037"/>
        <w:gridCol w:w="115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693" w:type="dxa"/>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1024" w:type="dxa"/>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1077" w:type="dxa"/>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cs="宋体"/>
                <w:b/>
                <w:bCs/>
                <w:color w:val="auto"/>
                <w:kern w:val="2"/>
                <w:sz w:val="20"/>
                <w:szCs w:val="20"/>
                <w:highlight w:val="none"/>
                <w:lang w:val="en-US" w:eastAsia="zh-CN" w:bidi="ar-SA"/>
              </w:rPr>
              <w:t>推荐</w:t>
            </w:r>
            <w:r>
              <w:rPr>
                <w:rFonts w:hint="eastAsia" w:ascii="宋体" w:hAnsi="宋体" w:eastAsia="宋体" w:cs="宋体"/>
                <w:b/>
                <w:bCs/>
                <w:color w:val="auto"/>
                <w:kern w:val="2"/>
                <w:sz w:val="20"/>
                <w:szCs w:val="20"/>
                <w:highlight w:val="none"/>
                <w:lang w:val="en-US" w:eastAsia="zh-CN" w:bidi="ar-SA"/>
              </w:rPr>
              <w:t>品牌</w:t>
            </w:r>
            <w:r>
              <w:rPr>
                <w:rFonts w:hint="eastAsia" w:ascii="宋体" w:hAnsi="宋体" w:cs="宋体"/>
                <w:b/>
                <w:bCs/>
                <w:color w:val="auto"/>
                <w:kern w:val="2"/>
                <w:sz w:val="20"/>
                <w:szCs w:val="20"/>
                <w:highlight w:val="none"/>
                <w:lang w:val="en-US" w:eastAsia="zh-CN" w:bidi="ar-SA"/>
              </w:rPr>
              <w:t>及型号</w:t>
            </w:r>
          </w:p>
        </w:tc>
        <w:tc>
          <w:tcPr>
            <w:tcW w:w="9310" w:type="dxa"/>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656" w:type="dxa"/>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656" w:type="dxa"/>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1037" w:type="dxa"/>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1155" w:type="dxa"/>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3" w:type="dxa"/>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1024" w:type="dxa"/>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室内 LED 显示屏</w:t>
            </w:r>
          </w:p>
        </w:tc>
        <w:tc>
          <w:tcPr>
            <w:tcW w:w="1077" w:type="dxa"/>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BBDF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p>
          <w:p w14:paraId="2D552D2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1C0F4FF">
            <w:pPr>
              <w:keepNext w:val="0"/>
              <w:keepLines w:val="0"/>
              <w:pageBreakBefore w:val="0"/>
              <w:kinsoku/>
              <w:wordWrap/>
              <w:overflowPunct/>
              <w:topLinePunct w:val="0"/>
              <w:autoSpaceDE/>
              <w:autoSpaceDN/>
              <w:bidi w:val="0"/>
              <w:spacing w:line="288" w:lineRule="auto"/>
              <w:jc w:val="left"/>
              <w:textAlignment w:val="auto"/>
              <w:rPr>
                <w:rFonts w:hint="default" w:ascii="宋体" w:hAnsi="宋体" w:eastAsia="宋体" w:cs="宋体"/>
                <w:b w:val="0"/>
                <w:bCs w:val="0"/>
                <w:color w:val="auto"/>
                <w:sz w:val="20"/>
                <w:szCs w:val="20"/>
                <w:highlight w:val="none"/>
                <w:lang w:val="en-US"/>
              </w:rPr>
            </w:pPr>
            <w:r>
              <w:rPr>
                <w:rFonts w:hint="eastAsia" w:ascii="宋体" w:hAnsi="宋体" w:cs="宋体"/>
                <w:b w:val="0"/>
                <w:bCs w:val="0"/>
                <w:color w:val="auto"/>
                <w:sz w:val="20"/>
                <w:szCs w:val="20"/>
                <w:highlight w:val="none"/>
                <w:lang w:val="en-US" w:eastAsia="zh-CN"/>
              </w:rPr>
              <w:t>雷曼 LM-P2 、统创 TC-LP2、 青象 QX-P2</w:t>
            </w:r>
          </w:p>
          <w:p w14:paraId="7003496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9310" w:type="dxa"/>
          </w:tcPr>
          <w:p w14:paraId="70FFE02D">
            <w:pPr>
              <w:keepNext w:val="0"/>
              <w:keepLines w:val="0"/>
              <w:pageBreakBefore w:val="0"/>
              <w:widowControl w:val="0"/>
              <w:numPr>
                <w:ilvl w:val="0"/>
                <w:numId w:val="1"/>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bCs/>
                <w:color w:val="auto"/>
                <w:kern w:val="0"/>
                <w:sz w:val="20"/>
                <w:szCs w:val="20"/>
                <w:highlight w:val="none"/>
                <w:lang w:val="en-US" w:eastAsia="zh-CN"/>
              </w:rPr>
              <w:t>室内 LED 显示屏</w:t>
            </w:r>
          </w:p>
          <w:p w14:paraId="4F9322C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▲1.屏体尺寸宽度≥6.08米，高度≥3.04米，屏体分辨率宽≥3040点，高≥1520点；</w:t>
            </w:r>
          </w:p>
          <w:p w14:paraId="27525D4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2.点间距≤2mm，像素密度≤250000 点/㎡；</w:t>
            </w:r>
          </w:p>
          <w:p w14:paraId="1B158DA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3.▲因屏幕安装在公共场所，模组应具有防坠落安全绳设计，安全绳的材料选择机构耐久性等需通过GB 24543-2009标准的安全绳设计，在突发情况下提供可靠的安全保护防止掉落；</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cs="宋体"/>
                <w:b w:val="0"/>
                <w:bCs w:val="0"/>
                <w:color w:val="auto"/>
                <w:kern w:val="0"/>
                <w:sz w:val="20"/>
                <w:szCs w:val="20"/>
                <w:highlight w:val="none"/>
                <w:lang w:val="en-US" w:eastAsia="zh-CN"/>
              </w:rPr>
              <w:t>；</w:t>
            </w:r>
          </w:p>
          <w:p w14:paraId="02A0A4D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4.▲亮度：显示单元亮度≥600nits，亮度调节0～100%无极可调，白平衡亮度≥1000cd/㎡；（6500K校正后）；</w:t>
            </w:r>
          </w:p>
          <w:p w14:paraId="13637D8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5.可视角度：水平角度≥178°、垂直角度≥178°；</w:t>
            </w:r>
          </w:p>
          <w:p w14:paraId="3F1533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6.亮度均匀性：≥99.5%；</w:t>
            </w:r>
          </w:p>
          <w:p w14:paraId="279C802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7.色度均匀性：±0.001Cx,Cy之内；</w:t>
            </w:r>
          </w:p>
          <w:p w14:paraId="2A95680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8.对比度：≥16000:1；</w:t>
            </w:r>
          </w:p>
          <w:p w14:paraId="38443BD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9.换帧频率：50/60/120Hz；</w:t>
            </w:r>
          </w:p>
          <w:p w14:paraId="5B29B89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10.刷新率：支持740Hz-4880Hz调节，直接通过配套控制软件调节刷新率设置；</w:t>
            </w:r>
          </w:p>
          <w:p w14:paraId="2A936FC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11.▲白场色坐标：白场色坐标符合SJ/T11141-2017 5.10.5规定范围；</w:t>
            </w:r>
          </w:p>
          <w:p w14:paraId="3E3426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12.▲亮度鉴别等级：符合SJ/T 11141-2017标准C级，BJ≥20；</w:t>
            </w:r>
          </w:p>
          <w:p w14:paraId="5D03917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13.▲灰度等级：红，绿，蓝各256级；支持EPWM灰阶控制技术，支持软件实现0-100%不同亮度情况下，灰度10-22bits任意灰度设置：100%亮度22bit灰度；提升低灰视觉效果；</w:t>
            </w:r>
          </w:p>
          <w:p w14:paraId="594DA4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14.功耗（W/㎡）：峰值≤400W/㎡，平均≤135W/㎡；</w:t>
            </w:r>
          </w:p>
          <w:p w14:paraId="27EA102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15.休眠模式功耗(W/m²）：显示屏黑屏不点亮时，功耗≤40W/m²；</w:t>
            </w:r>
          </w:p>
          <w:p w14:paraId="39ECBAD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16.▲平均使用寿命：≥150000小时；</w:t>
            </w:r>
          </w:p>
          <w:p w14:paraId="4A1A66F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17.▲MTBF平均失效间隔时间：≥150000小时；</w:t>
            </w:r>
          </w:p>
          <w:p w14:paraId="4F1709A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18.基板要求：符合GB4588.3-2002环氧玻璃布层压板，机械性能、电性能、耐高湿性能以及耐焊接性能符合要求，使用温度130℃；</w:t>
            </w:r>
          </w:p>
          <w:p w14:paraId="3491237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19.▲防护等级：≥IP65；</w:t>
            </w:r>
          </w:p>
          <w:p w14:paraId="451DB04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20.噪音测试：显示屏工作时应保持低噪状态。屏体球面半径1米处，整屏噪声≤5db；1.5米处，整屏噪声≤4db；</w:t>
            </w:r>
          </w:p>
          <w:p w14:paraId="0B1D754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21.用户级模组维护：模组支持带电维护，热插拔不超过10秒，更换模组；支待自动校正。模组工作电压＜4.5V。模组底壳采用高强度塑胶大件，防护性能大大提高；模组采用磁吸固定方式，模组磁吸固定点≥8个；</w:t>
            </w:r>
          </w:p>
          <w:p w14:paraId="79E5D11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22.智能节电：具备自动关机节能功能，支持自动检测屏幕前是否有人，当有人时屏幕正常点亮；当无人时，一段时间后（可设置)屏幕自动调暗或黑屏，智能(黑屏)节电功能开启智能节电功能比没有开启节能80%以上；</w:t>
            </w:r>
          </w:p>
          <w:p w14:paraId="22670D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23.▲低亮高灰：具备低亮高灰功能，亮度调节至500cd/m²灰度等级为16bit；刷新率不低于3200Hz；亮度调节至300cd/m²灰度等级为15bit:刷新率不低于3100Hz；亮度在200cd/m²时，灰度等级在14bit以上，刷新率不低于3000Hz；亮度在100cd/m²时，灰度等级在14bit以上，刷新率不低于2800Hz；</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p>
          <w:p w14:paraId="6CDAF6E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24.▲色温误差：色温为6500K时，100%，75%，50%，25%四档电平白场调节色温误差≤200K；</w:t>
            </w:r>
          </w:p>
          <w:p w14:paraId="77600A3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25.摩尔纹抑制：支持抑制摩尔纹功能。减轻摩尔纹视觉主观效果80%；</w:t>
            </w:r>
          </w:p>
          <w:p w14:paraId="79C0DCB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26.电源要求：供电开关电源采用宽动态电源，电压具有高适应性，在一定范围内不同等级的电压都能应用。电源采用无风扇设计，带主动PFC功能的高效率电源，功率因数＞0.99,带同步镇流功能，转换效率≥0.92；</w:t>
            </w:r>
          </w:p>
          <w:p w14:paraId="2EE646B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27.▲抗风安全性能：LED显示屏满足抗风荷载试验各项参数正常使用的安全要求，抗拉力≥15kN；</w:t>
            </w:r>
          </w:p>
          <w:p w14:paraId="534BBEE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28.图像增强：采用先进的γ校正技术，可通过调整γ曲线提升图像清晰度、对比度、饱和度、色度和流畅度等视觉效果；</w:t>
            </w:r>
          </w:p>
          <w:p w14:paraId="664DD8A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29.图像处理：具有视频降噪、增强、运动补偿、色彩变换、色坐标变换、钝化、消除鬼影拖尾等图像处理功能；具有亮度、对比度、色度调节、视觉修正等图像调整功能；LED图像无失真现象；LED图像显示画面无重影、毛毛虫及鬼影现象，无几何失真和非线性失真；</w:t>
            </w:r>
          </w:p>
          <w:p w14:paraId="720AFD8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30.沙尘试验：通过GB/T2423.37-2006 4.2沙尘试验，粒子尺寸＜75μm的滑石粉，尘降量600g/（㎡·d)，自由降尘，试验时间8h，产品未发现尘沉积及侵入；</w:t>
            </w:r>
          </w:p>
          <w:p w14:paraId="6D95344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35.▲LED显示屏通过CCC中国强制性产品认证（需提供CCC认证证书）；</w:t>
            </w:r>
          </w:p>
          <w:p w14:paraId="7EBA29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36.▲LED显示屏制造商具有中国质量认证中心颁发的中国节能产品认证证书；</w:t>
            </w:r>
          </w:p>
          <w:p w14:paraId="7448DAB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37</w:t>
            </w:r>
            <w:r>
              <w:rPr>
                <w:rFonts w:hint="default" w:ascii="宋体" w:hAnsi="宋体" w:cs="宋体"/>
                <w:b w:val="0"/>
                <w:bCs w:val="0"/>
                <w:color w:val="auto"/>
                <w:kern w:val="0"/>
                <w:sz w:val="20"/>
                <w:szCs w:val="20"/>
                <w:highlight w:val="none"/>
                <w:lang w:val="en-US" w:eastAsia="zh-CN"/>
              </w:rPr>
              <w:t>.▲考虑屏幕兼容与后期维护钢结构支架需与LED大屏为同一品牌。</w:t>
            </w:r>
          </w:p>
          <w:p w14:paraId="41BC788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38</w:t>
            </w:r>
            <w:r>
              <w:rPr>
                <w:rFonts w:hint="default" w:ascii="宋体" w:hAnsi="宋体" w:cs="宋体"/>
                <w:b w:val="0"/>
                <w:bCs w:val="0"/>
                <w:color w:val="auto"/>
                <w:kern w:val="0"/>
                <w:sz w:val="20"/>
                <w:szCs w:val="20"/>
                <w:highlight w:val="none"/>
                <w:lang w:val="en-US" w:eastAsia="zh-CN"/>
              </w:rPr>
              <w:t>.室内挂墙安装方式，采用钢材料结构框架，四周不锈钢材料包边。</w:t>
            </w:r>
          </w:p>
          <w:p w14:paraId="443FDCB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39</w:t>
            </w:r>
            <w:r>
              <w:rPr>
                <w:rFonts w:hint="default" w:ascii="宋体" w:hAnsi="宋体" w:cs="宋体"/>
                <w:b w:val="0"/>
                <w:bCs w:val="0"/>
                <w:color w:val="auto"/>
                <w:kern w:val="0"/>
                <w:sz w:val="20"/>
                <w:szCs w:val="20"/>
                <w:highlight w:val="none"/>
                <w:lang w:val="en-US" w:eastAsia="zh-CN"/>
              </w:rPr>
              <w:t>.▲镀锌钢管，型号包括：40*80*2.0、40*40*2.0、20*40*2.0、30*40*2.0、40*40*3.0、20*40*3.0、30*40*3.0、40*40*5.0、20*40*5.0、30*40*5.0符合中国ROHS GB/T26572-2011电子电气产品中限用物质的限量要求。</w:t>
            </w:r>
          </w:p>
          <w:p w14:paraId="3B45A25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40</w:t>
            </w:r>
            <w:r>
              <w:rPr>
                <w:rFonts w:hint="default" w:ascii="宋体" w:hAnsi="宋体" w:cs="宋体"/>
                <w:b w:val="0"/>
                <w:bCs w:val="0"/>
                <w:color w:val="auto"/>
                <w:kern w:val="0"/>
                <w:sz w:val="20"/>
                <w:szCs w:val="20"/>
                <w:highlight w:val="none"/>
                <w:lang w:val="en-US" w:eastAsia="zh-CN"/>
              </w:rPr>
              <w:t>.▲结构检测结果：铅（Pb）含量不超5mg/kg，镉（Cd）含量不超5mg/kg，汞（Hg）含量不超5mg/kg，六价铬（Cr VI）非金属含量不超10mg/kg、金属呈阴性，多溴联苯、多溴二苯醚单类均不超5mg/kg，均未超限；</w:t>
            </w:r>
          </w:p>
          <w:p w14:paraId="389E362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w:t>
            </w:r>
            <w:r>
              <w:rPr>
                <w:rFonts w:hint="eastAsia" w:ascii="宋体" w:hAnsi="宋体" w:cs="宋体"/>
                <w:b w:val="0"/>
                <w:bCs w:val="0"/>
                <w:color w:val="auto"/>
                <w:kern w:val="0"/>
                <w:sz w:val="20"/>
                <w:szCs w:val="20"/>
                <w:highlight w:val="none"/>
                <w:lang w:val="en-US" w:eastAsia="zh-CN"/>
              </w:rPr>
              <w:t>1</w:t>
            </w:r>
            <w:r>
              <w:rPr>
                <w:rFonts w:hint="default" w:ascii="宋体" w:hAnsi="宋体" w:cs="宋体"/>
                <w:b w:val="0"/>
                <w:bCs w:val="0"/>
                <w:color w:val="auto"/>
                <w:kern w:val="0"/>
                <w:sz w:val="20"/>
                <w:szCs w:val="20"/>
                <w:highlight w:val="none"/>
                <w:lang w:val="en-US" w:eastAsia="zh-CN"/>
              </w:rPr>
              <w:t>.▲中性盐雾测试，满足GB/T 2423.17-2008测试标准，测试后样品外观无明显腐蚀；</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cs="宋体"/>
                <w:b/>
                <w:bCs/>
                <w:color w:val="auto"/>
                <w:kern w:val="0"/>
                <w:sz w:val="18"/>
                <w:szCs w:val="18"/>
                <w:highlight w:val="none"/>
                <w:lang w:val="en-US" w:eastAsia="zh-CN"/>
              </w:rPr>
              <w:t>；</w:t>
            </w:r>
          </w:p>
          <w:p w14:paraId="693718B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二、</w:t>
            </w:r>
            <w:r>
              <w:rPr>
                <w:rFonts w:hint="eastAsia" w:ascii="宋体" w:hAnsi="宋体" w:cs="宋体"/>
                <w:b/>
                <w:bCs/>
                <w:color w:val="auto"/>
                <w:kern w:val="0"/>
                <w:sz w:val="20"/>
                <w:szCs w:val="20"/>
                <w:highlight w:val="none"/>
                <w:lang w:val="en-US" w:eastAsia="zh-CN"/>
              </w:rPr>
              <w:t>视频处理器</w:t>
            </w:r>
          </w:p>
          <w:p w14:paraId="799F4C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1.支持 4 路输入接口，包括 2 路 HDMI1.4，1 路 DVI（HDMI1.4），1 路AUDIO。</w:t>
            </w:r>
          </w:p>
          <w:p w14:paraId="093576C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2.支持 10个网口输出，最大带载650 万像素，最大宽度 10240 像素，最大高度8192 像素。</w:t>
            </w:r>
          </w:p>
          <w:p w14:paraId="3A2A642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3.支持 HDR 高动态范围显示，能够极大地增强显示屏的画质，使画面色彩更加真实生动，细节更加清晰。</w:t>
            </w:r>
          </w:p>
          <w:p w14:paraId="4B4C76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4.支持创建 10 个用户场景作为模板保存，方便快速调用。</w:t>
            </w:r>
          </w:p>
          <w:p w14:paraId="0207A1D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5.无需电脑，支持一键将优先级最低的窗口全屏自动缩放。</w:t>
            </w:r>
          </w:p>
          <w:p w14:paraId="68B7205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6.支持监视，可以设置为预监编辑画面或预监显示屏画面。</w:t>
            </w:r>
          </w:p>
          <w:p w14:paraId="1311C9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7.支持逐点亮度校正，可以对每个灯点的亮度和色度进行校正，有效消除色差，使整屏的亮度和色度达到高度均匀一致，提高显示屏的画质。</w:t>
            </w:r>
          </w:p>
          <w:p w14:paraId="7696A52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 8 .液晶面板可实时显示型号、IP地址，窗口及信号源的分辨率以及状态信息，输出网口的状态，屏幕大小及帧频信息，设备同步模式展示，USB 连线或网线状态，屏体亮度。</w:t>
            </w:r>
          </w:p>
          <w:p w14:paraId="246BAA0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9.支持全屏缩放、点对点显示和自定义缩放三种缩放模式。以画面左上角的参考点，设置输入截取</w:t>
            </w:r>
          </w:p>
          <w:p w14:paraId="49BD263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10.发送卡和视频处理器二合一 ，连线更加少 ，稳定性兼容性大大提升。</w:t>
            </w:r>
          </w:p>
          <w:p w14:paraId="03C158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11.符合 GB 4943.1-2022 音视频、信息技术和通信技术设备安全标准对设备进行跌落试验的要求，跌落高度 750mm±10mm，试验三次，试验后外观、功能应正常。</w:t>
            </w:r>
          </w:p>
          <w:p w14:paraId="01361B0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12.▲通过耐压试验，电源输入端对外壳施加1500V，测试1 分钟，试验后无击穿、飞弧或 超漏现象</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p>
          <w:p w14:paraId="6E386D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13.为确保项目整体兼容性和稳定性，视频处理器与LED显示屏必须为同一品牌，并提供CCC认证证书。</w:t>
            </w:r>
          </w:p>
          <w:p w14:paraId="1DA76BC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三、</w:t>
            </w:r>
            <w:r>
              <w:rPr>
                <w:rFonts w:hint="eastAsia" w:ascii="宋体" w:hAnsi="宋体" w:cs="宋体"/>
                <w:b/>
                <w:bCs/>
                <w:color w:val="auto"/>
                <w:kern w:val="0"/>
                <w:sz w:val="20"/>
                <w:szCs w:val="20"/>
                <w:highlight w:val="none"/>
                <w:lang w:val="en-US" w:eastAsia="zh-CN"/>
              </w:rPr>
              <w:t>配电柜</w:t>
            </w:r>
          </w:p>
          <w:p w14:paraId="7E7F9A7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1.配电功率≥15KW；</w:t>
            </w:r>
          </w:p>
          <w:p w14:paraId="7A1D41F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default" w:ascii="宋体" w:hAnsi="宋体" w:cs="宋体"/>
                <w:b w:val="0"/>
                <w:bCs w:val="0"/>
                <w:color w:val="auto"/>
                <w:kern w:val="0"/>
                <w:sz w:val="20"/>
                <w:szCs w:val="20"/>
                <w:highlight w:val="none"/>
                <w:lang w:val="en-US" w:eastAsia="zh-CN"/>
              </w:rPr>
              <w:t>2.▲配电箱壳体外表面喷涂无眩目反光的覆盖层，表面无起泡、裂紋或流痕等缺陷;面板能在不小于90度的角度内灵活启闭；母线无毛刺、锤痕，接触面平整，主辅电路接线正确，导线截面、颜色、标志及相序符合要求:标志、符号及铭牌应正确、清晰、齐全且易于辨认，安装的位置正确;室内电柜防护外壳防护等级IP30;户外电柜防护外壳防护</w:t>
            </w:r>
            <w:r>
              <w:rPr>
                <w:rFonts w:hint="eastAsia" w:ascii="宋体" w:hAnsi="宋体" w:cs="宋体"/>
                <w:b w:val="0"/>
                <w:bCs w:val="0"/>
                <w:color w:val="auto"/>
                <w:kern w:val="0"/>
                <w:sz w:val="20"/>
                <w:szCs w:val="20"/>
                <w:highlight w:val="none"/>
                <w:lang w:val="en-US" w:eastAsia="zh-CN"/>
              </w:rPr>
              <w:t>等级</w:t>
            </w:r>
            <w:r>
              <w:rPr>
                <w:rFonts w:hint="default" w:ascii="宋体" w:hAnsi="宋体" w:cs="宋体"/>
                <w:b w:val="0"/>
                <w:bCs w:val="0"/>
                <w:color w:val="auto"/>
                <w:kern w:val="0"/>
                <w:sz w:val="20"/>
                <w:szCs w:val="20"/>
                <w:highlight w:val="none"/>
                <w:lang w:val="en-US" w:eastAsia="zh-CN"/>
              </w:rPr>
              <w:t>IP65；机械碰撞等级IK10;灰色钣金箱体，外壳板材厚度2mm;布线合理规格、操作性能和功能安全可靠；</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p>
          <w:p w14:paraId="10101C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3.空气开关、断路器、刀闸、接线端子、保护设备(避雷器、热继电器、时间继电器、熔断器等)、测量设备(电压表、电流表、频率表、功率表等)所有硬件设备符合相关国家标准；</w:t>
            </w:r>
          </w:p>
          <w:p w14:paraId="472072A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4.额定工作电压AC380V+5%(三相五线)；</w:t>
            </w:r>
          </w:p>
          <w:p w14:paraId="6E61EB7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5.额定频率50Hz；</w:t>
            </w:r>
          </w:p>
          <w:p w14:paraId="5BBD101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6.绝缘电阻测量：A+B+C+N-地≧5МΩ、A+B+C-N≧5МΩ、A-B≧5МΩ、B-C≧5МΩ、C-A≧5МΩ；</w:t>
            </w:r>
          </w:p>
          <w:p w14:paraId="4FE64B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7.保护措施和保护电路连续性检查：骨架对地≤0.1Ω、仪表门对地≤0.1Ω、电路安装板对地≤0.1Ω、功能单元对地≤0.1Ω</w:t>
            </w:r>
          </w:p>
          <w:p w14:paraId="4673EC1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8.额定绝缘电压：660V；</w:t>
            </w:r>
          </w:p>
          <w:p w14:paraId="1E3C4DA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9.爬电距离相与相之间≥12.5mm；</w:t>
            </w:r>
          </w:p>
          <w:p w14:paraId="5E2404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10.▲电气间隙相与相之间：≥5.5mm</w:t>
            </w:r>
          </w:p>
          <w:p w14:paraId="7FCE03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11.▲带电部件与裸露导电部件之间：≥5.5mm</w:t>
            </w:r>
          </w:p>
          <w:p w14:paraId="2C66C87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12.试验电压：1.89KV</w:t>
            </w:r>
          </w:p>
          <w:p w14:paraId="70958F9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13.▲支持温感、烟感接入，当超过预设阈值时，启动应急机制，自动切断电源保护配电柜及接入设备，实现PLC功能；</w:t>
            </w:r>
          </w:p>
          <w:p w14:paraId="5F2615F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14.▲支持GSM、GPRS、3G、4G、5G等RTU物联网终端远程控制，实现手机、PAD等移动智能云端控制</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p>
          <w:p w14:paraId="3206468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15.▲选定“启用定时计划”后,经过用户预先设定，即可以对显示屏进行定时自动开关控制，无需人工值守；</w:t>
            </w:r>
          </w:p>
          <w:p w14:paraId="25217E4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16.具有过流、短路等保护功能</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符合成套设备的防护等级要求</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符合短路耐受强度验证要求</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符合绝缘材料耐受内部电效应引起的非正常发热和着火验证要求；</w:t>
            </w:r>
          </w:p>
          <w:p w14:paraId="33B3E40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17.支持分布式自动逐级上电功能；</w:t>
            </w:r>
          </w:p>
          <w:p w14:paraId="676644C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strike/>
                <w:dstrike w:val="0"/>
                <w:color w:val="auto"/>
                <w:kern w:val="0"/>
                <w:sz w:val="20"/>
                <w:szCs w:val="20"/>
                <w:highlight w:val="none"/>
                <w:lang w:val="en-US" w:eastAsia="zh-CN"/>
              </w:rPr>
              <w:t>1</w:t>
            </w:r>
            <w:r>
              <w:rPr>
                <w:rFonts w:hint="eastAsia" w:ascii="宋体" w:hAnsi="宋体" w:cs="宋体"/>
                <w:b w:val="0"/>
                <w:bCs w:val="0"/>
                <w:strike w:val="0"/>
                <w:dstrike w:val="0"/>
                <w:color w:val="auto"/>
                <w:kern w:val="0"/>
                <w:sz w:val="20"/>
                <w:szCs w:val="20"/>
                <w:highlight w:val="none"/>
                <w:lang w:val="en-US" w:eastAsia="zh-CN"/>
              </w:rPr>
              <w:t>8</w:t>
            </w:r>
            <w:r>
              <w:rPr>
                <w:rFonts w:hint="default" w:ascii="宋体" w:hAnsi="宋体" w:cs="宋体"/>
                <w:b w:val="0"/>
                <w:bCs w:val="0"/>
                <w:strike w:val="0"/>
                <w:dstrike w:val="0"/>
                <w:color w:val="auto"/>
                <w:kern w:val="0"/>
                <w:sz w:val="20"/>
                <w:szCs w:val="20"/>
                <w:highlight w:val="none"/>
                <w:lang w:val="en-US" w:eastAsia="zh-CN"/>
              </w:rPr>
              <w:t>.▲与显示屏同一品牌</w:t>
            </w:r>
            <w:r>
              <w:rPr>
                <w:rFonts w:hint="eastAsia" w:ascii="宋体" w:hAnsi="宋体" w:cs="宋体"/>
                <w:b w:val="0"/>
                <w:bCs w:val="0"/>
                <w:strike w:val="0"/>
                <w:dstrike w:val="0"/>
                <w:color w:val="auto"/>
                <w:kern w:val="0"/>
                <w:sz w:val="20"/>
                <w:szCs w:val="20"/>
                <w:highlight w:val="none"/>
                <w:lang w:val="en-US" w:eastAsia="zh-CN"/>
              </w:rPr>
              <w:t>。</w:t>
            </w:r>
          </w:p>
        </w:tc>
        <w:tc>
          <w:tcPr>
            <w:tcW w:w="656" w:type="dxa"/>
            <w:vAlign w:val="center"/>
          </w:tcPr>
          <w:p w14:paraId="5E486287">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套</w:t>
            </w:r>
          </w:p>
        </w:tc>
        <w:tc>
          <w:tcPr>
            <w:tcW w:w="656" w:type="dxa"/>
            <w:vAlign w:val="center"/>
          </w:tcPr>
          <w:p w14:paraId="4456A230">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1</w:t>
            </w:r>
          </w:p>
        </w:tc>
        <w:tc>
          <w:tcPr>
            <w:tcW w:w="1037" w:type="dxa"/>
            <w:shd w:val="clear" w:color="auto" w:fill="auto"/>
            <w:vAlign w:val="center"/>
          </w:tcPr>
          <w:p w14:paraId="74167A3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106022</w:t>
            </w:r>
          </w:p>
        </w:tc>
        <w:tc>
          <w:tcPr>
            <w:tcW w:w="1155" w:type="dxa"/>
            <w:shd w:val="clear" w:color="auto" w:fill="auto"/>
            <w:vAlign w:val="center"/>
          </w:tcPr>
          <w:p w14:paraId="37E15E3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106022</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53" w:type="dxa"/>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b/>
                <w:bCs/>
                <w:color w:val="auto"/>
                <w:kern w:val="0"/>
                <w:sz w:val="20"/>
                <w:szCs w:val="20"/>
                <w:highlight w:val="none"/>
                <w:lang w:val="en-US" w:eastAsia="zh-CN"/>
              </w:rPr>
              <w:t>合计</w:t>
            </w:r>
          </w:p>
        </w:tc>
        <w:tc>
          <w:tcPr>
            <w:tcW w:w="1155" w:type="dxa"/>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106022</w:t>
            </w:r>
          </w:p>
        </w:tc>
      </w:tr>
    </w:tbl>
    <w:p w14:paraId="07E7AC7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64D6C9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1FB8901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85F4AD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color w:val="auto"/>
                <w:highlight w:val="none"/>
                <w:vertAlign w:val="baseline"/>
              </w:rPr>
            </w:pPr>
            <w:r>
              <w:rPr>
                <w:rFonts w:hint="eastAsia" w:ascii="宋体" w:hAnsi="宋体" w:eastAsia="宋体" w:cs="Calibri"/>
                <w:b/>
                <w:bCs/>
                <w:color w:val="auto"/>
                <w:kern w:val="0"/>
                <w:sz w:val="20"/>
                <w:szCs w:val="20"/>
                <w:highlight w:val="none"/>
                <w:lang w:val="en-US" w:eastAsia="zh-CN"/>
              </w:rPr>
              <w:t>▲</w:t>
            </w:r>
            <w:r>
              <w:rPr>
                <w:rFonts w:hint="eastAsia" w:ascii="宋体" w:hAnsi="宋体" w:eastAsia="宋体" w:cs="宋体"/>
                <w:b/>
                <w:bCs/>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1、合同签订日期：中标通知书发出后</w:t>
            </w:r>
            <w:r>
              <w:rPr>
                <w:rFonts w:hint="eastAsia" w:asciiTheme="minorEastAsia" w:hAnsiTheme="minorEastAsia" w:cstheme="minorEastAsia"/>
                <w:kern w:val="0"/>
                <w:szCs w:val="21"/>
                <w:highlight w:val="none"/>
                <w:lang w:val="en-US" w:eastAsia="zh-CN"/>
              </w:rPr>
              <w:t>7</w:t>
            </w:r>
            <w:r>
              <w:rPr>
                <w:rFonts w:hint="eastAsia" w:asciiTheme="minorEastAsia" w:hAnsiTheme="minorEastAsia" w:cstheme="minorEastAsia"/>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2、交货（实施）时间：合同签订之日起</w:t>
            </w:r>
            <w:r>
              <w:rPr>
                <w:rFonts w:hint="eastAsia" w:asciiTheme="minorEastAsia" w:hAnsiTheme="minorEastAsia" w:cstheme="minorEastAsia"/>
                <w:kern w:val="0"/>
                <w:szCs w:val="21"/>
                <w:highlight w:val="none"/>
                <w:lang w:val="en-US" w:eastAsia="zh-CN"/>
              </w:rPr>
              <w:t>10</w:t>
            </w:r>
            <w:r>
              <w:rPr>
                <w:rFonts w:hint="eastAsia" w:asciiTheme="minorEastAsia" w:hAnsiTheme="minorEastAsia" w:cstheme="minorEastAsia"/>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Style w:val="16"/>
                <w:rFonts w:hint="eastAsia" w:asciiTheme="minorEastAsia" w:hAnsiTheme="minorEastAsia" w:eastAsiaTheme="minorEastAsia" w:cstheme="minorEastAsia"/>
                <w:color w:val="auto"/>
                <w:sz w:val="21"/>
                <w:szCs w:val="21"/>
                <w:highlight w:val="none"/>
                <w:lang w:val="en-US" w:eastAsia="zh-CN"/>
              </w:rPr>
              <w:t>3</w:t>
            </w:r>
            <w:r>
              <w:rPr>
                <w:rStyle w:val="16"/>
                <w:rFonts w:hint="eastAsia" w:asciiTheme="minorEastAsia" w:hAnsiTheme="minorEastAsia" w:eastAsiaTheme="minorEastAsia" w:cstheme="minorEastAsia"/>
                <w:color w:val="auto"/>
                <w:sz w:val="21"/>
                <w:szCs w:val="21"/>
                <w:highlight w:val="none"/>
                <w:lang w:eastAsia="zh-CN"/>
              </w:rPr>
              <w:t>、</w:t>
            </w:r>
            <w:r>
              <w:rPr>
                <w:rStyle w:val="16"/>
                <w:rFonts w:hint="default" w:asciiTheme="minorEastAsia" w:hAnsiTheme="minorEastAsia" w:eastAsiaTheme="minorEastAsia" w:cstheme="minorEastAsia"/>
                <w:color w:val="auto"/>
                <w:sz w:val="21"/>
                <w:szCs w:val="21"/>
                <w:highlight w:val="none"/>
              </w:rPr>
              <w:t>交货地点：</w:t>
            </w:r>
            <w:r>
              <w:rPr>
                <w:rFonts w:hint="eastAsia" w:asciiTheme="minorEastAsia" w:hAnsiTheme="minorEastAsia" w:cstheme="minorEastAsia"/>
                <w:szCs w:val="21"/>
                <w:highlight w:val="none"/>
              </w:rPr>
              <w:t>广西南宁市采购人指定地点（广西水利电力职业技术学院）</w:t>
            </w:r>
            <w:r>
              <w:rPr>
                <w:rStyle w:val="16"/>
                <w:rFonts w:hint="default" w:asciiTheme="minorEastAsia" w:hAnsiTheme="minorEastAsia" w:eastAsiaTheme="minorEastAsia" w:cstheme="minorEastAsia"/>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color w:val="auto"/>
                <w:kern w:val="2"/>
                <w:sz w:val="21"/>
                <w:szCs w:val="21"/>
                <w:highlight w:val="none"/>
                <w:lang w:val="en-US" w:eastAsia="zh-CN" w:bidi="ar-SA"/>
              </w:rPr>
            </w:pPr>
            <w:r>
              <w:rPr>
                <w:rStyle w:val="16"/>
                <w:rFonts w:hint="default" w:asciiTheme="minorEastAsia" w:hAnsiTheme="minorEastAsia" w:eastAsiaTheme="minorEastAsia" w:cstheme="minorEastAsia"/>
                <w:color w:val="auto"/>
                <w:sz w:val="21"/>
                <w:szCs w:val="21"/>
                <w:highlight w:val="none"/>
              </w:rPr>
              <w:t>按国家有关规定或厂家承诺实行“三包”，</w:t>
            </w:r>
            <w:r>
              <w:rPr>
                <w:rFonts w:hint="eastAsia" w:asciiTheme="minorEastAsia" w:hAnsiTheme="minorEastAsia" w:cstheme="minorEastAsia"/>
                <w:kern w:val="0"/>
                <w:szCs w:val="21"/>
                <w:highlight w:val="none"/>
              </w:rPr>
              <w:t>质保期从验收合格之日起整机不少于</w:t>
            </w:r>
            <w:r>
              <w:rPr>
                <w:rFonts w:hint="eastAsia" w:asciiTheme="minorEastAsia" w:hAnsiTheme="minorEastAsia" w:cstheme="minorEastAsia"/>
                <w:kern w:val="0"/>
                <w:szCs w:val="21"/>
                <w:highlight w:val="none"/>
                <w:u w:val="single"/>
                <w:lang w:val="en-US" w:eastAsia="zh-CN"/>
              </w:rPr>
              <w:t>3</w:t>
            </w:r>
            <w:r>
              <w:rPr>
                <w:rFonts w:hint="eastAsia" w:asciiTheme="minorEastAsia" w:hAnsiTheme="minorEastAsia" w:cstheme="minorEastAsia"/>
                <w:kern w:val="0"/>
                <w:szCs w:val="21"/>
                <w:highlight w:val="none"/>
              </w:rPr>
              <w:t>年（技术参数中有特别指明质保期的按参数要求，厂家质保期高于采购要求的按厂家质保）</w:t>
            </w:r>
            <w:r>
              <w:rPr>
                <w:rStyle w:val="16"/>
                <w:rFonts w:hint="default" w:asciiTheme="minorEastAsia" w:hAnsiTheme="minorEastAsia" w:eastAsiaTheme="minorEastAsia" w:cstheme="minorEastAsia"/>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所投产品必须能实质性响应采购要求（所投产品应完全满足或优于采购参数要求），供货时能按照采购需求的要求提供厂家的</w:t>
            </w:r>
            <w:r>
              <w:rPr>
                <w:rFonts w:hint="eastAsia" w:ascii="宋体" w:hAnsi="宋体" w:cs="宋体"/>
                <w:sz w:val="21"/>
                <w:szCs w:val="21"/>
                <w:highlight w:val="none"/>
              </w:rPr>
              <w:t>生产厂家针对此项目的原厂授权函原件，供货证明原件，售后服务承诺函原件</w:t>
            </w:r>
            <w:r>
              <w:rPr>
                <w:rFonts w:hint="eastAsia" w:ascii="宋体" w:hAnsi="宋体" w:eastAsia="宋体" w:cs="宋体"/>
                <w:color w:val="auto"/>
                <w:kern w:val="2"/>
                <w:sz w:val="21"/>
                <w:szCs w:val="21"/>
                <w:highlight w:val="none"/>
                <w:lang w:val="en-US" w:eastAsia="zh-CN" w:bidi="ar-SA"/>
              </w:rPr>
              <w:t>，避免假冒伪劣产品</w:t>
            </w:r>
            <w:r>
              <w:rPr>
                <w:rFonts w:hint="eastAsia" w:ascii="宋体" w:hAnsi="宋体" w:cs="宋体"/>
                <w:color w:val="auto"/>
                <w:kern w:val="2"/>
                <w:sz w:val="21"/>
                <w:szCs w:val="21"/>
                <w:highlight w:val="none"/>
                <w:lang w:val="en-US" w:eastAsia="zh-CN" w:bidi="ar-SA"/>
              </w:rPr>
              <w:t>；</w:t>
            </w:r>
            <w:r>
              <w:rPr>
                <w:rFonts w:hint="eastAsia" w:ascii="宋体" w:hAnsi="宋体" w:cs="宋体"/>
                <w:sz w:val="21"/>
                <w:szCs w:val="21"/>
                <w:highlight w:val="none"/>
              </w:rPr>
              <w:t>签订合同时，成交供应商提供文件中检测报告的原件进行核查</w:t>
            </w:r>
            <w:r>
              <w:rPr>
                <w:rFonts w:hint="eastAsia" w:ascii="宋体" w:hAnsi="宋体" w:eastAsia="宋体" w:cs="宋体"/>
                <w:color w:val="auto"/>
                <w:kern w:val="2"/>
                <w:sz w:val="21"/>
                <w:szCs w:val="21"/>
                <w:highlight w:val="none"/>
                <w:lang w:val="en-US" w:eastAsia="zh-CN" w:bidi="ar-SA"/>
              </w:rPr>
              <w:t>。对不能满足参数要求虚假响应，采购人可作废标处理，并依法向供应商追究违约责任。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（3）安装过程中的所有安全保障由供应商自行负责；</w:t>
            </w:r>
          </w:p>
          <w:p w14:paraId="1A4230A6">
            <w:pPr>
              <w:spacing w:line="40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color w:val="auto"/>
                <w:sz w:val="21"/>
                <w:szCs w:val="21"/>
                <w:highlight w:val="none"/>
                <w:lang w:val="en-US" w:eastAsia="zh-CN"/>
              </w:rPr>
            </w:pPr>
            <w:r>
              <w:rPr>
                <w:szCs w:val="21"/>
                <w:highlight w:val="none"/>
              </w:rPr>
              <w:t> </w:t>
            </w:r>
            <w:r>
              <w:rPr>
                <w:rFonts w:hint="eastAsia" w:ascii="宋体" w:hAnsi="宋体"/>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其他要求</w:t>
            </w:r>
          </w:p>
        </w:tc>
        <w:tc>
          <w:tcPr>
            <w:tcW w:w="14624" w:type="dxa"/>
            <w:shd w:val="clear" w:color="auto" w:fill="auto"/>
            <w:vAlign w:val="center"/>
          </w:tcPr>
          <w:p w14:paraId="4E6B1206">
            <w:pPr>
              <w:numPr>
                <w:ilvl w:val="0"/>
                <w:numId w:val="0"/>
              </w:num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lang w:val="en-US" w:eastAsia="zh-CN"/>
              </w:rPr>
              <w:t>供应商必须实质性响应本项目标注“▲”的技术参数要求，不允许负偏离，对技术参数要求中非标注“▲”的技术参数负偏离项数不超过</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25B86079">
            <w:pPr>
              <w:numPr>
                <w:ilvl w:val="0"/>
                <w:numId w:val="0"/>
              </w:num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lang w:val="en-US" w:eastAsia="zh-CN"/>
              </w:rPr>
              <w:t>供应商报价仅限本项目采购需求表中推荐品牌</w:t>
            </w:r>
            <w:r>
              <w:rPr>
                <w:rFonts w:hint="eastAsia" w:ascii="宋体" w:hAnsi="宋体" w:cs="宋体"/>
                <w:b/>
                <w:bCs/>
                <w:color w:val="auto"/>
                <w:szCs w:val="21"/>
                <w:highlight w:val="none"/>
                <w:lang w:val="en-US" w:eastAsia="zh-CN"/>
              </w:rPr>
              <w:t>及型号</w:t>
            </w:r>
            <w:r>
              <w:rPr>
                <w:rFonts w:hint="eastAsia" w:ascii="宋体" w:hAnsi="宋体" w:eastAsia="宋体" w:cs="宋体"/>
                <w:b/>
                <w:bCs/>
                <w:color w:val="auto"/>
                <w:szCs w:val="21"/>
                <w:highlight w:val="none"/>
                <w:lang w:val="en-US" w:eastAsia="zh-CN"/>
              </w:rPr>
              <w:t>，不接受采购需求表中推荐品牌</w:t>
            </w:r>
            <w:r>
              <w:rPr>
                <w:rFonts w:hint="eastAsia" w:ascii="宋体" w:hAnsi="宋体" w:cs="宋体"/>
                <w:b/>
                <w:bCs/>
                <w:color w:val="auto"/>
                <w:szCs w:val="21"/>
                <w:highlight w:val="none"/>
                <w:lang w:val="en-US" w:eastAsia="zh-CN"/>
              </w:rPr>
              <w:t>及型号</w:t>
            </w:r>
            <w:r>
              <w:rPr>
                <w:rFonts w:hint="eastAsia" w:ascii="宋体" w:hAnsi="宋体" w:eastAsia="宋体" w:cs="宋体"/>
                <w:b/>
                <w:bCs/>
                <w:color w:val="auto"/>
                <w:szCs w:val="21"/>
                <w:highlight w:val="none"/>
                <w:lang w:val="en-US" w:eastAsia="zh-CN"/>
              </w:rPr>
              <w:t>以外的产品</w:t>
            </w:r>
            <w:r>
              <w:rPr>
                <w:rFonts w:hint="eastAsia" w:ascii="宋体" w:hAnsi="宋体" w:eastAsia="宋体" w:cs="宋体"/>
                <w:color w:val="auto"/>
                <w:szCs w:val="21"/>
                <w:highlight w:val="none"/>
                <w:lang w:val="en-US" w:eastAsia="zh-CN"/>
              </w:rPr>
              <w:t>。供应商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bookmarkStart w:id="0" w:name="_GoBack"/>
            <w:bookmarkEnd w:id="0"/>
          </w:p>
          <w:p w14:paraId="0D81F7CC">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27CB6BF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1D42C1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E626ABD">
      <w:pPr>
        <w:rPr>
          <w:color w:val="auto"/>
          <w:highlight w:val="none"/>
        </w:rPr>
      </w:pPr>
      <w:r>
        <w:rPr>
          <w:rFonts w:hint="eastAsia"/>
          <w:color w:val="auto"/>
          <w:highlight w:val="none"/>
        </w:rPr>
        <w:t>附件</w:t>
      </w:r>
    </w:p>
    <w:p w14:paraId="29AB43BA">
      <w:pPr>
        <w:tabs>
          <w:tab w:val="left" w:pos="3479"/>
        </w:tabs>
        <w:spacing w:line="520" w:lineRule="exact"/>
        <w:jc w:val="center"/>
        <w:rPr>
          <w:rFonts w:hint="eastAsia" w:asciiTheme="minorEastAsia" w:hAnsiTheme="minorEastAsia" w:cstheme="minorEastAsia"/>
          <w:b/>
          <w:color w:val="auto"/>
          <w:sz w:val="44"/>
          <w:szCs w:val="44"/>
          <w:highlight w:val="none"/>
        </w:rPr>
      </w:pPr>
    </w:p>
    <w:p w14:paraId="60A5A090">
      <w:pPr>
        <w:tabs>
          <w:tab w:val="left" w:pos="3479"/>
        </w:tabs>
        <w:spacing w:line="520" w:lineRule="exact"/>
        <w:jc w:val="center"/>
        <w:rPr>
          <w:rFonts w:hint="eastAsia" w:asciiTheme="minorEastAsia" w:hAnsiTheme="minorEastAsia" w:cstheme="minorEastAsia"/>
          <w:b/>
          <w:color w:val="auto"/>
          <w:sz w:val="32"/>
          <w:szCs w:val="32"/>
          <w:highlight w:val="none"/>
        </w:rPr>
      </w:pPr>
      <w:r>
        <w:rPr>
          <w:rFonts w:hint="eastAsia" w:asciiTheme="minorEastAsia" w:hAnsiTheme="minorEastAsia" w:cstheme="minorEastAsia"/>
          <w:b/>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1C161FB7">
      <w:pPr>
        <w:snapToGri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                                                                                    单位：元</w:t>
      </w:r>
    </w:p>
    <w:tbl>
      <w:tblPr>
        <w:tblStyle w:val="8"/>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数量</w:t>
            </w:r>
          </w:p>
          <w:p w14:paraId="787A8CAD">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单价</w:t>
            </w:r>
          </w:p>
          <w:p w14:paraId="4279862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竞标报价</w:t>
            </w:r>
          </w:p>
          <w:p w14:paraId="72E4E7D2">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color w:val="auto"/>
                <w:szCs w:val="21"/>
                <w:highlight w:val="none"/>
                <w:u w:val="single"/>
              </w:rPr>
            </w:pPr>
            <w:r>
              <w:rPr>
                <w:rFonts w:hint="eastAsia" w:ascii="宋体" w:hAnsi="宋体" w:cs="仿宋_GB2312"/>
                <w:color w:val="auto"/>
                <w:szCs w:val="21"/>
                <w:highlight w:val="none"/>
              </w:rPr>
              <w:t>合计金额大写：人民币      （</w:t>
            </w:r>
            <w:r>
              <w:rPr>
                <w:rFonts w:hint="eastAsia" w:ascii="宋体" w:hAnsi="宋体" w:cs="宋体"/>
                <w:color w:val="auto"/>
                <w:szCs w:val="21"/>
                <w:highlight w:val="none"/>
              </w:rPr>
              <w:t>￥</w:t>
            </w:r>
            <w:r>
              <w:rPr>
                <w:rFonts w:hint="eastAsia" w:ascii="宋体" w:hAnsi="宋体" w:cs="仿宋_GB2312"/>
                <w:color w:val="auto"/>
                <w:szCs w:val="21"/>
                <w:highlight w:val="none"/>
              </w:rPr>
              <w:t>：   ）</w:t>
            </w:r>
          </w:p>
        </w:tc>
      </w:tr>
    </w:tbl>
    <w:p w14:paraId="7720247B">
      <w:pPr>
        <w:spacing w:line="360" w:lineRule="exact"/>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color w:val="auto"/>
          <w:szCs w:val="21"/>
          <w:highlight w:val="none"/>
        </w:rPr>
      </w:pPr>
    </w:p>
    <w:p w14:paraId="18DCBC84">
      <w:pPr>
        <w:spacing w:line="360" w:lineRule="auto"/>
        <w:ind w:right="-817" w:rightChars="-389" w:firstLine="5460" w:firstLineChars="26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color w:val="auto"/>
          <w:szCs w:val="21"/>
          <w:highlight w:val="none"/>
        </w:rPr>
      </w:pPr>
    </w:p>
    <w:p w14:paraId="2474CA1C">
      <w:pPr>
        <w:spacing w:line="360" w:lineRule="auto"/>
        <w:ind w:right="-817" w:rightChars="-389" w:firstLine="8190" w:firstLineChars="3900"/>
        <w:contextualSpacing/>
        <w:rPr>
          <w:rFonts w:hint="eastAsia" w:ascii="宋体" w:hAnsi="宋体" w:cs="仿宋_GB2312"/>
          <w:color w:val="auto"/>
          <w:szCs w:val="21"/>
          <w:highlight w:val="none"/>
        </w:rPr>
      </w:pPr>
    </w:p>
    <w:p w14:paraId="0C8B1803">
      <w:pPr>
        <w:spacing w:line="360" w:lineRule="auto"/>
        <w:ind w:right="-817" w:rightChars="-389" w:firstLine="8190" w:firstLineChars="3900"/>
        <w:contextualSpacing/>
        <w:rPr>
          <w:rFonts w:hint="eastAsia" w:ascii="宋体" w:hAnsi="宋体" w:cs="仿宋_GB2312"/>
          <w:color w:val="auto"/>
          <w:szCs w:val="21"/>
          <w:highlight w:val="none"/>
        </w:rPr>
      </w:pPr>
    </w:p>
    <w:p w14:paraId="53A85A38">
      <w:pPr>
        <w:spacing w:line="360" w:lineRule="auto"/>
        <w:ind w:right="-817" w:rightChars="-389" w:firstLine="8190" w:firstLineChars="3900"/>
        <w:contextualSpacing/>
        <w:rPr>
          <w:rFonts w:hint="eastAsia" w:ascii="宋体" w:hAnsi="宋体" w:cs="仿宋_GB2312"/>
          <w:color w:val="auto"/>
          <w:szCs w:val="21"/>
          <w:highlight w:val="none"/>
        </w:rPr>
      </w:pPr>
    </w:p>
    <w:p w14:paraId="51D3433C">
      <w:pPr>
        <w:spacing w:line="360" w:lineRule="auto"/>
        <w:ind w:right="-817" w:rightChars="-389" w:firstLine="8190" w:firstLineChars="3900"/>
        <w:contextualSpacing/>
        <w:rPr>
          <w:rFonts w:hint="eastAsia" w:ascii="宋体" w:hAnsi="宋体" w:cs="仿宋_GB2312"/>
          <w:color w:val="auto"/>
          <w:szCs w:val="21"/>
          <w:highlight w:val="none"/>
        </w:rPr>
      </w:pPr>
    </w:p>
    <w:p w14:paraId="2F3FAB2E">
      <w:pPr>
        <w:spacing w:line="360" w:lineRule="auto"/>
        <w:ind w:right="-817" w:rightChars="-389" w:firstLine="8190" w:firstLineChars="3900"/>
        <w:contextualSpacing/>
        <w:rPr>
          <w:rFonts w:hint="eastAsia" w:ascii="宋体" w:hAnsi="宋体" w:cs="仿宋_GB2312"/>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highlight w:val="none"/>
        </w:rPr>
      </w:pPr>
      <w:r>
        <w:rPr>
          <w:rFonts w:hint="eastAsia" w:ascii="宋体" w:hAnsi="宋体"/>
          <w:b/>
          <w:sz w:val="44"/>
          <w:szCs w:val="44"/>
          <w:highlight w:val="none"/>
        </w:rPr>
        <w:t>货物技术参数配置清单</w:t>
      </w:r>
    </w:p>
    <w:p w14:paraId="7118F3EA">
      <w:pPr>
        <w:spacing w:line="360" w:lineRule="auto"/>
        <w:rPr>
          <w:rFonts w:hint="eastAsia" w:ascii="宋体" w:hAnsi="宋体"/>
          <w:szCs w:val="21"/>
          <w:highlight w:val="none"/>
        </w:rPr>
      </w:pPr>
      <w:r>
        <w:rPr>
          <w:rFonts w:hint="eastAsia" w:ascii="宋体" w:hAnsi="宋体"/>
          <w:szCs w:val="21"/>
          <w:highlight w:val="none"/>
        </w:rPr>
        <w:t xml:space="preserve">项目名称： </w:t>
      </w:r>
    </w:p>
    <w:tbl>
      <w:tblPr>
        <w:tblStyle w:val="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szCs w:val="21"/>
                <w:highlight w:val="none"/>
              </w:rPr>
            </w:pPr>
            <w:r>
              <w:rPr>
                <w:rFonts w:hint="eastAsia" w:ascii="宋体" w:hAnsi="宋体"/>
                <w:szCs w:val="21"/>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szCs w:val="21"/>
                <w:highlight w:val="none"/>
              </w:rPr>
            </w:pPr>
            <w:r>
              <w:rPr>
                <w:rFonts w:hint="eastAsia" w:ascii="宋体" w:hAnsi="宋体"/>
                <w:szCs w:val="21"/>
                <w:highlight w:val="none"/>
              </w:rPr>
              <w:t>货物名称</w:t>
            </w:r>
          </w:p>
        </w:tc>
        <w:tc>
          <w:tcPr>
            <w:tcW w:w="706" w:type="dxa"/>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szCs w:val="21"/>
                <w:highlight w:val="none"/>
              </w:rPr>
            </w:pPr>
            <w:r>
              <w:rPr>
                <w:rFonts w:hint="eastAsia" w:ascii="宋体" w:hAnsi="宋体"/>
                <w:szCs w:val="21"/>
                <w:highlight w:val="none"/>
              </w:rPr>
              <w:t>单位</w:t>
            </w:r>
          </w:p>
        </w:tc>
        <w:tc>
          <w:tcPr>
            <w:tcW w:w="1097" w:type="dxa"/>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szCs w:val="21"/>
                <w:highlight w:val="none"/>
              </w:rPr>
            </w:pPr>
            <w:r>
              <w:rPr>
                <w:rFonts w:hint="eastAsia" w:ascii="宋体" w:hAnsi="宋体"/>
                <w:szCs w:val="21"/>
                <w:highlight w:val="none"/>
              </w:rPr>
              <w:t>数量</w:t>
            </w:r>
          </w:p>
        </w:tc>
        <w:tc>
          <w:tcPr>
            <w:tcW w:w="1394" w:type="dxa"/>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szCs w:val="21"/>
                <w:highlight w:val="none"/>
              </w:rPr>
            </w:pPr>
            <w:r>
              <w:rPr>
                <w:rFonts w:hint="eastAsia" w:ascii="宋体" w:hAnsi="宋体"/>
                <w:szCs w:val="21"/>
                <w:highlight w:val="none"/>
              </w:rPr>
              <w:t>品牌</w:t>
            </w:r>
          </w:p>
        </w:tc>
        <w:tc>
          <w:tcPr>
            <w:tcW w:w="1857" w:type="dxa"/>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szCs w:val="21"/>
                <w:highlight w:val="none"/>
              </w:rPr>
            </w:pPr>
            <w:r>
              <w:rPr>
                <w:rFonts w:hint="eastAsia" w:ascii="宋体" w:hAnsi="宋体"/>
                <w:szCs w:val="21"/>
                <w:highlight w:val="none"/>
              </w:rPr>
              <w:t>规格型号</w:t>
            </w:r>
          </w:p>
        </w:tc>
        <w:tc>
          <w:tcPr>
            <w:tcW w:w="1807" w:type="dxa"/>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szCs w:val="21"/>
                <w:highlight w:val="none"/>
              </w:rPr>
            </w:pPr>
            <w:r>
              <w:rPr>
                <w:rFonts w:hint="eastAsia" w:ascii="宋体" w:hAnsi="宋体"/>
                <w:szCs w:val="21"/>
                <w:highlight w:val="none"/>
              </w:rPr>
              <w:t>制造商</w:t>
            </w:r>
          </w:p>
        </w:tc>
        <w:tc>
          <w:tcPr>
            <w:tcW w:w="1760" w:type="dxa"/>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szCs w:val="21"/>
                <w:highlight w:val="none"/>
              </w:rPr>
            </w:pPr>
            <w:r>
              <w:rPr>
                <w:rFonts w:hint="eastAsia" w:ascii="宋体" w:hAnsi="宋体"/>
                <w:szCs w:val="21"/>
                <w:highlight w:val="none"/>
              </w:rPr>
              <w:t>原产地</w:t>
            </w:r>
          </w:p>
        </w:tc>
        <w:tc>
          <w:tcPr>
            <w:tcW w:w="3392" w:type="dxa"/>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szCs w:val="21"/>
                <w:highlight w:val="none"/>
              </w:rPr>
            </w:pPr>
            <w:r>
              <w:rPr>
                <w:rFonts w:hint="eastAsia" w:ascii="宋体" w:hAnsi="宋体"/>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72" w:type="dxa"/>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szCs w:val="21"/>
                <w:highlight w:val="none"/>
              </w:rPr>
            </w:pPr>
            <w:r>
              <w:rPr>
                <w:rFonts w:hint="eastAsia" w:ascii="宋体" w:hAnsi="宋体"/>
                <w:szCs w:val="21"/>
                <w:highlight w:val="none"/>
              </w:rPr>
              <w:t>1</w:t>
            </w:r>
          </w:p>
        </w:tc>
        <w:tc>
          <w:tcPr>
            <w:tcW w:w="2829" w:type="dxa"/>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szCs w:val="21"/>
                <w:highlight w:val="none"/>
              </w:rPr>
            </w:pPr>
            <w:r>
              <w:rPr>
                <w:rFonts w:hint="eastAsia" w:ascii="宋体" w:hAnsi="宋体"/>
                <w:szCs w:val="21"/>
                <w:highlight w:val="none"/>
              </w:rPr>
              <w:t>2</w:t>
            </w:r>
          </w:p>
        </w:tc>
        <w:tc>
          <w:tcPr>
            <w:tcW w:w="2829" w:type="dxa"/>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szCs w:val="21"/>
                <w:highlight w:val="none"/>
              </w:rPr>
            </w:pPr>
            <w:r>
              <w:rPr>
                <w:rFonts w:hint="eastAsia" w:ascii="宋体" w:hAnsi="宋体"/>
                <w:szCs w:val="21"/>
                <w:highlight w:val="none"/>
              </w:rPr>
              <w:t>……</w:t>
            </w:r>
          </w:p>
        </w:tc>
        <w:tc>
          <w:tcPr>
            <w:tcW w:w="2829" w:type="dxa"/>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szCs w:val="21"/>
                <w:highlight w:val="none"/>
              </w:rPr>
            </w:pPr>
          </w:p>
        </w:tc>
      </w:tr>
    </w:tbl>
    <w:p w14:paraId="648CD903">
      <w:pPr>
        <w:contextualSpacing/>
        <w:rPr>
          <w:rFonts w:hint="eastAsia" w:ascii="宋体" w:hAnsi="宋体"/>
          <w:szCs w:val="21"/>
          <w:highlight w:val="none"/>
        </w:rPr>
      </w:pPr>
      <w:r>
        <w:rPr>
          <w:rFonts w:hint="eastAsia" w:ascii="宋体" w:hAnsi="宋体"/>
          <w:szCs w:val="21"/>
          <w:highlight w:val="none"/>
        </w:rPr>
        <w:t>备注：</w:t>
      </w:r>
      <w:r>
        <w:rPr>
          <w:rFonts w:hint="eastAsia" w:ascii="宋体" w:hAnsi="宋体"/>
          <w:b/>
          <w:bCs/>
          <w:szCs w:val="21"/>
          <w:highlight w:val="none"/>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highlight w:val="none"/>
        </w:rPr>
        <w:t>。</w:t>
      </w:r>
      <w:r>
        <w:rPr>
          <w:rFonts w:hint="eastAsia" w:ascii="宋体" w:hAnsi="宋体"/>
          <w:szCs w:val="21"/>
          <w:highlight w:val="none"/>
        </w:rPr>
        <w:t>货物名称、数量及单位、品牌必须与“竞标报价表”一致，</w:t>
      </w:r>
      <w:r>
        <w:rPr>
          <w:rFonts w:hint="eastAsia" w:ascii="宋体" w:hAnsi="宋体"/>
          <w:bCs/>
          <w:szCs w:val="21"/>
          <w:highlight w:val="none"/>
        </w:rPr>
        <w:t>否则响应文件按无效响应处理</w:t>
      </w:r>
      <w:r>
        <w:rPr>
          <w:rFonts w:hint="eastAsia" w:ascii="宋体" w:hAnsi="宋体"/>
          <w:b/>
          <w:szCs w:val="21"/>
          <w:highlight w:val="none"/>
        </w:rPr>
        <w:t>。</w:t>
      </w:r>
      <w:r>
        <w:rPr>
          <w:rFonts w:hint="eastAsia" w:ascii="宋体" w:hAnsi="宋体"/>
          <w:szCs w:val="21"/>
          <w:highlight w:val="none"/>
        </w:rPr>
        <w:tab/>
      </w:r>
    </w:p>
    <w:p w14:paraId="24A64991">
      <w:pPr>
        <w:pStyle w:val="7"/>
        <w:rPr>
          <w:rFonts w:hint="eastAsia" w:ascii="宋体" w:hAnsi="宋体" w:cs="宋体"/>
          <w:szCs w:val="21"/>
          <w:highlight w:val="none"/>
        </w:rPr>
      </w:pPr>
    </w:p>
    <w:p w14:paraId="4BFE1AB8">
      <w:pPr>
        <w:ind w:right="-817" w:rightChars="-389"/>
        <w:contextualSpacing/>
        <w:jc w:val="center"/>
        <w:rPr>
          <w:rFonts w:hint="eastAsia" w:ascii="宋体" w:hAnsi="宋体"/>
          <w:szCs w:val="21"/>
          <w:highlight w:val="none"/>
        </w:rPr>
      </w:pPr>
      <w:r>
        <w:rPr>
          <w:rFonts w:hint="eastAsia" w:ascii="宋体" w:hAnsi="宋体"/>
          <w:szCs w:val="21"/>
          <w:highlight w:val="none"/>
        </w:rPr>
        <w:t>法定代表人或者委托代理人（签字）：</w:t>
      </w:r>
    </w:p>
    <w:p w14:paraId="7347544C">
      <w:pPr>
        <w:ind w:right="-817" w:rightChars="-389" w:firstLine="7245" w:firstLineChars="3450"/>
        <w:contextualSpacing/>
        <w:rPr>
          <w:rFonts w:hint="eastAsia" w:ascii="宋体" w:hAnsi="宋体"/>
          <w:szCs w:val="21"/>
          <w:highlight w:val="none"/>
        </w:rPr>
      </w:pPr>
      <w:r>
        <w:rPr>
          <w:rFonts w:hint="eastAsia" w:ascii="宋体" w:hAnsi="宋体"/>
          <w:szCs w:val="21"/>
          <w:highlight w:val="none"/>
        </w:rPr>
        <w:t xml:space="preserve">供应商（盖公章）：      </w:t>
      </w:r>
    </w:p>
    <w:p w14:paraId="4188AEF4">
      <w:pPr>
        <w:ind w:right="-817" w:rightChars="-389" w:firstLine="8190" w:firstLineChars="3900"/>
        <w:contextualSpacing/>
        <w:rPr>
          <w:highlight w:val="none"/>
        </w:rPr>
      </w:pPr>
      <w:r>
        <w:rPr>
          <w:rFonts w:hint="eastAsia" w:ascii="宋体" w:hAnsi="宋体"/>
          <w:szCs w:val="21"/>
          <w:highlight w:val="none"/>
        </w:rPr>
        <w:t>日  期：    年   月   日</w:t>
      </w:r>
    </w:p>
    <w:p w14:paraId="3DA5D3A2">
      <w:pPr>
        <w:rPr>
          <w:highlight w:val="none"/>
        </w:rPr>
      </w:pPr>
    </w:p>
    <w:p w14:paraId="3A4574FE">
      <w:pPr>
        <w:ind w:right="-817" w:rightChars="-389" w:firstLine="8190" w:firstLineChars="3900"/>
        <w:contextualSpacing/>
        <w:rPr>
          <w:rFonts w:hint="eastAsia" w:ascii="宋体" w:hAnsi="宋体" w:eastAsia="宋体" w:cs="宋体"/>
          <w:color w:val="auto"/>
          <w:sz w:val="21"/>
          <w:szCs w:val="21"/>
          <w:highlight w:val="none"/>
          <w:lang w:val="en-US" w:eastAsia="zh-CN"/>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A96F1C6-B397-412B-A340-1AB09786C5B0}"/>
  </w:font>
  <w:font w:name="仿宋_GB2312">
    <w:panose1 w:val="02010609030101010101"/>
    <w:charset w:val="86"/>
    <w:family w:val="modern"/>
    <w:pitch w:val="default"/>
    <w:sig w:usb0="00000001" w:usb1="080E0000" w:usb2="00000000" w:usb3="00000000" w:csb0="00040000" w:csb1="00000000"/>
    <w:embedRegular r:id="rId2" w:fontKey="{DF54FCB4-88C1-405F-BFEC-EE92D6F7546F}"/>
  </w:font>
  <w:font w:name="方正小标宋简体">
    <w:panose1 w:val="02000000000000000000"/>
    <w:charset w:val="86"/>
    <w:family w:val="script"/>
    <w:pitch w:val="default"/>
    <w:sig w:usb0="00000001" w:usb1="08000000" w:usb2="00000000" w:usb3="00000000" w:csb0="00040000" w:csb1="00000000"/>
    <w:embedRegular r:id="rId3" w:fontKey="{477379EA-F1E7-42BA-B843-B7D03AF330B0}"/>
  </w:font>
  <w:font w:name="WPSEMBED4">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50BA6"/>
    <w:multiLevelType w:val="singleLevel"/>
    <w:tmpl w:val="CDA50B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N2I0M2I3ZjAwNTlkMTgyNzc5OTkyMDhkZjAzNmYifQ=="/>
  </w:docVars>
  <w:rsids>
    <w:rsidRoot w:val="00000000"/>
    <w:rsid w:val="4A2048DC"/>
    <w:rsid w:val="515A69F1"/>
    <w:rsid w:val="56322421"/>
    <w:rsid w:val="58C6010C"/>
    <w:rsid w:val="5AA23754"/>
    <w:rsid w:val="6BAC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ind w:firstLine="830" w:firstLineChars="352"/>
    </w:pPr>
    <w:rPr>
      <w:rFonts w:ascii="仿宋_GB2312" w:eastAsia="仿宋_GB2312" w:cs="仿宋_GB2312"/>
      <w:sz w:val="32"/>
      <w:szCs w:val="32"/>
    </w:rPr>
  </w:style>
  <w:style w:type="paragraph" w:styleId="6">
    <w:name w:val="index 1"/>
    <w:basedOn w:val="1"/>
    <w:next w:val="1"/>
    <w:qFormat/>
    <w:uiPriority w:val="0"/>
    <w:pPr>
      <w:spacing w:line="400" w:lineRule="exact"/>
      <w:ind w:firstLine="420" w:firstLineChars="200"/>
    </w:pPr>
    <w:rPr>
      <w:rFonts w:ascii="宋体" w:hAnsi="Courier New"/>
      <w:b/>
      <w:szCs w:val="20"/>
    </w:rPr>
  </w:style>
  <w:style w:type="paragraph" w:styleId="7">
    <w:name w:val="Body Text First Indent 2"/>
    <w:basedOn w:val="5"/>
    <w:next w:val="3"/>
    <w:qFormat/>
    <w:uiPriority w:val="0"/>
    <w:pPr>
      <w:spacing w:after="120"/>
      <w:ind w:left="420" w:leftChars="200" w:firstLine="420" w:firstLineChars="200"/>
    </w:pPr>
    <w:rPr>
      <w:rFonts w:ascii="Times New Roman" w:eastAsia="宋体"/>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表格文字"/>
    <w:basedOn w:val="1"/>
    <w:qFormat/>
    <w:uiPriority w:val="0"/>
    <w:pPr>
      <w:spacing w:before="25" w:after="25"/>
      <w:jc w:val="left"/>
    </w:pPr>
    <w:rPr>
      <w:bCs/>
      <w:spacing w:val="10"/>
      <w:kern w:val="0"/>
      <w:sz w:val="24"/>
    </w:rPr>
  </w:style>
  <w:style w:type="character" w:customStyle="1" w:styleId="13">
    <w:name w:val="NormalCharacter"/>
    <w:semiHidden/>
    <w:qFormat/>
    <w:uiPriority w:val="0"/>
    <w:rPr>
      <w:rFonts w:ascii="Calibri" w:hAnsi="Calibri"/>
      <w:kern w:val="2"/>
      <w:sz w:val="21"/>
      <w:szCs w:val="24"/>
      <w:lang w:val="en-US" w:eastAsia="zh-CN" w:bidi="ar-SA"/>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31"/>
    <w:basedOn w:val="10"/>
    <w:qFormat/>
    <w:uiPriority w:val="0"/>
    <w:rPr>
      <w:rFonts w:hint="eastAsia" w:ascii="宋体" w:hAnsi="宋体" w:eastAsia="宋体" w:cs="宋体"/>
      <w:color w:val="000000"/>
      <w:sz w:val="20"/>
      <w:szCs w:val="20"/>
      <w:u w:val="none"/>
    </w:rPr>
  </w:style>
  <w:style w:type="character" w:customStyle="1" w:styleId="17">
    <w:name w:val="font51"/>
    <w:basedOn w:val="10"/>
    <w:qFormat/>
    <w:uiPriority w:val="0"/>
    <w:rPr>
      <w:rFonts w:hint="default" w:ascii="Times New Roman" w:hAnsi="Times New Roman" w:cs="Times New Roman"/>
      <w:color w:val="000000"/>
      <w:sz w:val="20"/>
      <w:szCs w:val="20"/>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5639</Words>
  <Characters>6447</Characters>
  <Lines>0</Lines>
  <Paragraphs>0</Paragraphs>
  <TotalTime>4</TotalTime>
  <ScaleCrop>false</ScaleCrop>
  <LinksUpToDate>false</LinksUpToDate>
  <CharactersWithSpaces>6659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2023-06-06T17:36:00Z</dcterms:created>
  <dc:creator>刘新月</dc:creator>
  <cp:lastModifiedBy>北极星</cp:lastModifiedBy>
  <cp:lastPrinted>2024-06-20T18:35:00Z</cp:lastPrinted>
  <dcterms:modified xsi:type="dcterms:W3CDTF">2026-05-27T00:59:24Z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81A15D110AEC0FBFE217116A57827B85_33</vt:lpwstr>
  </property>
  <property fmtid="{D5CDD505-2E9C-101B-9397-08002B2CF9AE}" pid="4" name="KSOTemplateDocerSaveRecord">
    <vt:lpwstr>eyJoZGlkIjoiOGQ4MTZiYTBkODUwOTk2Y2FmZjk4OTdlNzZjYmRlZDkiLCJ1c2VySWQiOiIzNDA3OTQ1OTEifQ==</vt:lpwstr>
  </property>
</Properties>
</file>