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B0F99">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大学生活动中心团委文化内涵建设二期项目</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LED</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购置清单</w:t>
      </w:r>
    </w:p>
    <w:tbl>
      <w:tblPr>
        <w:tblStyle w:val="4"/>
        <w:tblpPr w:leftFromText="180" w:rightFromText="180" w:vertAnchor="page" w:horzAnchor="page" w:tblpX="1431" w:tblpY="1449"/>
        <w:tblOverlap w:val="never"/>
        <w:tblW w:w="13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79"/>
        <w:gridCol w:w="1041"/>
        <w:gridCol w:w="6330"/>
        <w:gridCol w:w="1471"/>
        <w:gridCol w:w="1048"/>
        <w:gridCol w:w="1048"/>
        <w:gridCol w:w="873"/>
      </w:tblGrid>
      <w:tr w14:paraId="6C62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82" w:type="dxa"/>
            <w:noWrap w:val="0"/>
            <w:vAlign w:val="center"/>
          </w:tcPr>
          <w:p w14:paraId="7C64EAB3">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序号</w:t>
            </w:r>
          </w:p>
        </w:tc>
        <w:tc>
          <w:tcPr>
            <w:tcW w:w="1179" w:type="dxa"/>
            <w:noWrap w:val="0"/>
            <w:vAlign w:val="center"/>
          </w:tcPr>
          <w:p w14:paraId="09B42D8C">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货物名称</w:t>
            </w:r>
          </w:p>
        </w:tc>
        <w:tc>
          <w:tcPr>
            <w:tcW w:w="1041" w:type="dxa"/>
            <w:noWrap w:val="0"/>
            <w:vAlign w:val="top"/>
          </w:tcPr>
          <w:p w14:paraId="2333C3F0">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参考</w:t>
            </w:r>
          </w:p>
          <w:p w14:paraId="4568F95A">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品牌</w:t>
            </w:r>
          </w:p>
        </w:tc>
        <w:tc>
          <w:tcPr>
            <w:tcW w:w="6330" w:type="dxa"/>
            <w:noWrap w:val="0"/>
            <w:vAlign w:val="center"/>
          </w:tcPr>
          <w:p w14:paraId="5A2085AA">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项目要求及技术需求</w:t>
            </w:r>
          </w:p>
        </w:tc>
        <w:tc>
          <w:tcPr>
            <w:tcW w:w="1471" w:type="dxa"/>
            <w:noWrap w:val="0"/>
            <w:vAlign w:val="center"/>
          </w:tcPr>
          <w:p w14:paraId="660DEE9C">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数量</w:t>
            </w:r>
          </w:p>
        </w:tc>
        <w:tc>
          <w:tcPr>
            <w:tcW w:w="1048" w:type="dxa"/>
            <w:noWrap w:val="0"/>
            <w:vAlign w:val="center"/>
          </w:tcPr>
          <w:p w14:paraId="0C869C7A">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单位</w:t>
            </w:r>
          </w:p>
        </w:tc>
        <w:tc>
          <w:tcPr>
            <w:tcW w:w="1048" w:type="dxa"/>
            <w:noWrap w:val="0"/>
            <w:vAlign w:val="center"/>
          </w:tcPr>
          <w:p w14:paraId="42631829">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单价</w:t>
            </w:r>
          </w:p>
        </w:tc>
        <w:tc>
          <w:tcPr>
            <w:tcW w:w="873" w:type="dxa"/>
            <w:noWrap w:val="0"/>
            <w:vAlign w:val="center"/>
          </w:tcPr>
          <w:p w14:paraId="54C800CC">
            <w:pPr>
              <w:widowControl w:val="0"/>
              <w:snapToGrid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总价</w:t>
            </w:r>
          </w:p>
        </w:tc>
      </w:tr>
      <w:tr w14:paraId="1194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782" w:type="dxa"/>
            <w:noWrap w:val="0"/>
            <w:vAlign w:val="center"/>
          </w:tcPr>
          <w:p w14:paraId="05A6B0D2">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lang w:val="en-US" w:eastAsia="zh-CN"/>
              </w:rPr>
              <w:t>1</w:t>
            </w:r>
          </w:p>
        </w:tc>
        <w:tc>
          <w:tcPr>
            <w:tcW w:w="1179" w:type="dxa"/>
            <w:noWrap w:val="0"/>
            <w:vAlign w:val="center"/>
          </w:tcPr>
          <w:p w14:paraId="1928CEE1">
            <w:pPr>
              <w:keepNext w:val="0"/>
              <w:keepLines w:val="0"/>
              <w:pageBreakBefore w:val="0"/>
              <w:kinsoku/>
              <w:wordWrap/>
              <w:overflowPunct/>
              <w:topLinePunct w:val="0"/>
              <w:autoSpaceDE/>
              <w:autoSpaceDN/>
              <w:bidi w:val="0"/>
              <w:adjustRightInd/>
              <w:snapToGrid/>
              <w:jc w:val="center"/>
              <w:rPr>
                <w:rFonts w:hint="default"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lang w:val="en-US" w:eastAsia="zh-CN"/>
              </w:rPr>
              <w:t>LED显示屏室内全彩</w:t>
            </w:r>
          </w:p>
        </w:tc>
        <w:tc>
          <w:tcPr>
            <w:tcW w:w="1041" w:type="dxa"/>
            <w:noWrap w:val="0"/>
            <w:vAlign w:val="center"/>
          </w:tcPr>
          <w:p w14:paraId="2D552D2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19AE19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val="en-US" w:eastAsia="zh-CN"/>
              </w:rPr>
              <w:t>强力巨彩、高科、三思（</w:t>
            </w:r>
            <w:r>
              <w:rPr>
                <w:rFonts w:hint="eastAsia" w:ascii="宋体" w:hAnsi="宋体" w:eastAsia="宋体" w:cs="宋体"/>
                <w:b w:val="0"/>
                <w:bCs w:val="0"/>
                <w:color w:val="auto"/>
                <w:sz w:val="20"/>
                <w:szCs w:val="20"/>
                <w:highlight w:val="none"/>
                <w:lang w:eastAsia="zh-CN"/>
              </w:rPr>
              <w:t>或同档次品牌以上</w:t>
            </w:r>
            <w:r>
              <w:rPr>
                <w:rFonts w:hint="eastAsia" w:ascii="宋体" w:hAnsi="宋体" w:eastAsia="宋体" w:cs="宋体"/>
                <w:b w:val="0"/>
                <w:bCs w:val="0"/>
                <w:color w:val="auto"/>
                <w:sz w:val="20"/>
                <w:szCs w:val="20"/>
                <w:highlight w:val="none"/>
                <w:lang w:val="en-US" w:eastAsia="zh-CN"/>
              </w:rPr>
              <w:t>）</w:t>
            </w:r>
          </w:p>
          <w:p w14:paraId="560AD6E9">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p>
        </w:tc>
        <w:tc>
          <w:tcPr>
            <w:tcW w:w="6330" w:type="dxa"/>
            <w:noWrap w:val="0"/>
            <w:vAlign w:val="center"/>
          </w:tcPr>
          <w:p w14:paraId="2A550A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一、室内LED屏 1套</w:t>
            </w:r>
          </w:p>
          <w:p w14:paraId="341B34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显示屏净屏尺寸≥5.2m(宽)*3.0m(高)</w:t>
            </w:r>
          </w:p>
          <w:p w14:paraId="6F91059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▲像素点间距：≤1.25mm（投标时提供国家认可的第三方检测机构出具的关于该功能检测报告复印件，并加盖供应商公章）</w:t>
            </w:r>
          </w:p>
          <w:p w14:paraId="7300DB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▲单元板分辨率：≥32768Dots</w:t>
            </w:r>
          </w:p>
          <w:p w14:paraId="3862144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i w:val="0"/>
                <w:iCs w:val="0"/>
                <w:color w:val="000000"/>
                <w:kern w:val="0"/>
                <w:sz w:val="21"/>
                <w:szCs w:val="21"/>
                <w:highlight w:val="none"/>
                <w:u w:val="none"/>
                <w:lang w:val="en-US" w:eastAsia="zh-CN" w:bidi="ar"/>
              </w:rPr>
              <w:t>▲刷新率：≥3840Hz，支持通过配套控制软件调节刷新率设置选项（投标时提供国家认可的第三方检测机构出具的关于该功能检测报告复印件，并加盖供应商公章）</w:t>
            </w:r>
          </w:p>
          <w:p w14:paraId="42C256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4.</w:t>
            </w:r>
            <w:r>
              <w:rPr>
                <w:rFonts w:hint="eastAsia" w:ascii="宋体" w:hAnsi="宋体" w:eastAsia="宋体" w:cs="宋体"/>
                <w:b w:val="0"/>
                <w:bCs w:val="0"/>
                <w:i w:val="0"/>
                <w:iCs w:val="0"/>
                <w:color w:val="000000"/>
                <w:kern w:val="0"/>
                <w:sz w:val="21"/>
                <w:szCs w:val="21"/>
                <w:highlight w:val="none"/>
                <w:u w:val="none"/>
                <w:lang w:val="en-US" w:eastAsia="zh-CN" w:bidi="ar"/>
              </w:rPr>
              <w:t>封装方式：SMD表贴三合一，灯芯键合线材质为铜线，五面黑灯，表面不反光</w:t>
            </w:r>
          </w:p>
          <w:p w14:paraId="1D689F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5.</w:t>
            </w:r>
            <w:r>
              <w:rPr>
                <w:rFonts w:hint="eastAsia" w:ascii="宋体" w:hAnsi="宋体" w:eastAsia="宋体" w:cs="宋体"/>
                <w:b w:val="0"/>
                <w:bCs w:val="0"/>
                <w:i w:val="0"/>
                <w:iCs w:val="0"/>
                <w:color w:val="000000"/>
                <w:kern w:val="0"/>
                <w:sz w:val="21"/>
                <w:szCs w:val="21"/>
                <w:highlight w:val="none"/>
                <w:u w:val="none"/>
                <w:lang w:val="en-US" w:eastAsia="zh-CN" w:bidi="ar"/>
              </w:rPr>
              <w:t>▲整屏平整度≤0.04mm；模组平整度≤0.03mm</w:t>
            </w:r>
          </w:p>
          <w:p w14:paraId="134BE38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6.</w:t>
            </w:r>
            <w:r>
              <w:rPr>
                <w:rFonts w:hint="eastAsia" w:ascii="宋体" w:hAnsi="宋体" w:eastAsia="宋体" w:cs="宋体"/>
                <w:b w:val="0"/>
                <w:bCs w:val="0"/>
                <w:i w:val="0"/>
                <w:iCs w:val="0"/>
                <w:color w:val="000000"/>
                <w:kern w:val="0"/>
                <w:sz w:val="21"/>
                <w:szCs w:val="21"/>
                <w:highlight w:val="none"/>
                <w:u w:val="none"/>
                <w:lang w:val="en-US" w:eastAsia="zh-CN" w:bidi="ar"/>
              </w:rPr>
              <w:t>▲白平衡亮度：0-700cd/㎡可调；亮度均匀性：≥99%（投标时提供国家认可的第三方检测机构出具的关于该功能检测报告复印件，并加盖供应商公章）</w:t>
            </w:r>
          </w:p>
          <w:p w14:paraId="0C7E74B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7.</w:t>
            </w:r>
            <w:r>
              <w:rPr>
                <w:rFonts w:hint="eastAsia" w:ascii="宋体" w:hAnsi="宋体" w:eastAsia="宋体" w:cs="宋体"/>
                <w:b w:val="0"/>
                <w:bCs w:val="0"/>
                <w:i w:val="0"/>
                <w:iCs w:val="0"/>
                <w:color w:val="000000"/>
                <w:kern w:val="0"/>
                <w:sz w:val="21"/>
                <w:szCs w:val="21"/>
                <w:highlight w:val="none"/>
                <w:u w:val="none"/>
                <w:lang w:val="en-US" w:eastAsia="zh-CN" w:bidi="ar"/>
              </w:rPr>
              <w:t>色温800K-18000K可调；白平衡状态下色温在6500K±5%；色温为6500K时，100%75%50%25%档电平白场调节色温误差≤100K</w:t>
            </w:r>
          </w:p>
          <w:p w14:paraId="24E81E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8.</w:t>
            </w:r>
            <w:r>
              <w:rPr>
                <w:rFonts w:hint="eastAsia" w:ascii="宋体" w:hAnsi="宋体" w:eastAsia="宋体" w:cs="宋体"/>
                <w:b w:val="0"/>
                <w:bCs w:val="0"/>
                <w:i w:val="0"/>
                <w:iCs w:val="0"/>
                <w:color w:val="000000"/>
                <w:kern w:val="0"/>
                <w:sz w:val="21"/>
                <w:szCs w:val="21"/>
                <w:highlight w:val="none"/>
                <w:u w:val="none"/>
                <w:lang w:val="en-US" w:eastAsia="zh-CN" w:bidi="ar"/>
              </w:rPr>
              <w:t>▲水平视角≥170°；垂直视角≥170°</w:t>
            </w:r>
          </w:p>
          <w:p w14:paraId="5C16C44A">
            <w:pPr>
              <w:numPr>
                <w:ilvl w:val="0"/>
                <w:numId w:val="0"/>
              </w:numPr>
              <w:ind w:left="425" w:leftChars="0" w:hanging="425" w:firstLineChars="0"/>
              <w:rPr>
                <w:rFonts w:hint="eastAsia" w:ascii="Calibri" w:hAnsi="Calibri" w:eastAsia="宋体" w:cs="Times New Roman"/>
                <w:color w:val="auto"/>
                <w:szCs w:val="22"/>
                <w:highlight w:val="none"/>
              </w:rPr>
            </w:pPr>
            <w:r>
              <w:rPr>
                <w:rFonts w:hint="default" w:ascii="Calibri" w:hAnsi="Calibri" w:eastAsia="宋体" w:cs="Times New Roman"/>
                <w:color w:val="auto"/>
                <w:kern w:val="2"/>
                <w:sz w:val="21"/>
                <w:szCs w:val="22"/>
                <w:lang w:val="en-US" w:eastAsia="zh-CN" w:bidi="ar-SA"/>
              </w:rPr>
              <w:t>9.</w:t>
            </w:r>
            <w:r>
              <w:rPr>
                <w:rFonts w:hint="eastAsia" w:ascii="宋体" w:hAnsi="宋体" w:eastAsia="宋体" w:cs="宋体"/>
                <w:b w:val="0"/>
                <w:bCs w:val="0"/>
                <w:i w:val="0"/>
                <w:iCs w:val="0"/>
                <w:color w:val="000000"/>
                <w:kern w:val="0"/>
                <w:sz w:val="21"/>
                <w:szCs w:val="21"/>
                <w:highlight w:val="none"/>
                <w:u w:val="none"/>
                <w:lang w:val="en-US" w:eastAsia="zh-CN" w:bidi="ar"/>
              </w:rPr>
              <w:t>▲</w:t>
            </w:r>
            <w:r>
              <w:rPr>
                <w:rFonts w:hint="eastAsia" w:ascii="Calibri" w:hAnsi="Calibri" w:eastAsia="宋体" w:cs="Times New Roman"/>
                <w:color w:val="auto"/>
                <w:szCs w:val="22"/>
                <w:highlight w:val="none"/>
              </w:rPr>
              <w:t>对比度≥9000：1</w:t>
            </w:r>
          </w:p>
          <w:p w14:paraId="31D5A9A9">
            <w:pPr>
              <w:numPr>
                <w:ilvl w:val="0"/>
                <w:numId w:val="0"/>
              </w:numPr>
              <w:ind w:left="425" w:leftChars="0" w:hanging="425" w:firstLineChars="0"/>
              <w:rPr>
                <w:rFonts w:hint="eastAsia" w:ascii="Calibri" w:hAnsi="Calibri" w:eastAsia="宋体" w:cs="Times New Roman"/>
                <w:color w:val="auto"/>
                <w:szCs w:val="22"/>
                <w:highlight w:val="none"/>
              </w:rPr>
            </w:pPr>
            <w:r>
              <w:rPr>
                <w:rFonts w:hint="default" w:ascii="Calibri" w:hAnsi="Calibri" w:eastAsia="宋体" w:cs="Times New Roman"/>
                <w:color w:val="auto"/>
                <w:kern w:val="2"/>
                <w:sz w:val="21"/>
                <w:szCs w:val="22"/>
                <w:lang w:val="en-US" w:eastAsia="zh-CN" w:bidi="ar-SA"/>
              </w:rPr>
              <w:t>10.</w:t>
            </w:r>
            <w:r>
              <w:rPr>
                <w:rFonts w:hint="eastAsia" w:ascii="Calibri" w:hAnsi="Calibri" w:eastAsia="宋体" w:cs="Times New Roman"/>
                <w:color w:val="auto"/>
                <w:szCs w:val="22"/>
                <w:highlight w:val="none"/>
              </w:rPr>
              <w:t>灰度等级≥14bit，红绿蓝各256级，可达16384级；</w:t>
            </w:r>
          </w:p>
          <w:p w14:paraId="2C1E8F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Calibri" w:hAnsi="Calibri" w:eastAsia="宋体" w:cs="Times New Roman"/>
                <w:color w:val="auto"/>
                <w:kern w:val="2"/>
                <w:sz w:val="21"/>
                <w:szCs w:val="22"/>
                <w:lang w:val="en-US" w:eastAsia="zh-CN" w:bidi="ar-SA"/>
              </w:rPr>
              <w:t>1</w:t>
            </w:r>
            <w:r>
              <w:rPr>
                <w:rFonts w:hint="default" w:ascii="宋体" w:hAnsi="宋体" w:eastAsia="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供电电源：在4.2*（1±10%）VDC～4.5*（1±10%）VDC范围内能正常工作；峰值功耗≤300W/m²；平均功耗≤120W/m²</w:t>
            </w:r>
          </w:p>
          <w:p w14:paraId="3699847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12.</w:t>
            </w:r>
            <w:r>
              <w:rPr>
                <w:rFonts w:hint="eastAsia" w:ascii="宋体" w:hAnsi="宋体" w:eastAsia="宋体" w:cs="宋体"/>
                <w:b w:val="0"/>
                <w:bCs w:val="0"/>
                <w:i w:val="0"/>
                <w:iCs w:val="0"/>
                <w:color w:val="000000"/>
                <w:kern w:val="0"/>
                <w:sz w:val="21"/>
                <w:szCs w:val="21"/>
                <w:highlight w:val="none"/>
                <w:u w:val="none"/>
                <w:lang w:val="en-US" w:eastAsia="zh-CN" w:bidi="ar"/>
              </w:rPr>
              <w:t>▲在器具输入插座端与屏正面之间施加试验电压3kv/50Hz，保持1min，不应出现飞弧和击穿现象，产品能正常工作；在5000米海拔环境下，产品可正常工作；输入电压：支持宽压输入在96-264VAC，支持窄压输入在200-240VAC，在该范围内能正常工作（投标时提供国家认可的第三方检测机构出具的关于该功能检测报告复印件，并加盖供应商公章）</w:t>
            </w:r>
          </w:p>
          <w:p w14:paraId="45164C9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13.</w:t>
            </w:r>
            <w:r>
              <w:rPr>
                <w:rFonts w:hint="eastAsia" w:ascii="宋体" w:hAnsi="宋体" w:eastAsia="宋体" w:cs="宋体"/>
                <w:b w:val="0"/>
                <w:bCs w:val="0"/>
                <w:i w:val="0"/>
                <w:iCs w:val="0"/>
                <w:color w:val="000000"/>
                <w:kern w:val="0"/>
                <w:sz w:val="21"/>
                <w:szCs w:val="21"/>
                <w:highlight w:val="none"/>
                <w:u w:val="none"/>
                <w:lang w:val="en-US" w:eastAsia="zh-CN" w:bidi="ar"/>
              </w:rPr>
              <w:t>▲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投标时提供国家认可的第三方检测机构出具的关于该功能检测报告复印件，并加盖供应商公章）</w:t>
            </w:r>
          </w:p>
          <w:p w14:paraId="466200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14.</w:t>
            </w:r>
            <w:r>
              <w:rPr>
                <w:rFonts w:hint="eastAsia" w:ascii="宋体" w:hAnsi="宋体" w:eastAsia="宋体" w:cs="宋体"/>
                <w:b w:val="0"/>
                <w:bCs w:val="0"/>
                <w:i w:val="0"/>
                <w:iCs w:val="0"/>
                <w:color w:val="000000"/>
                <w:kern w:val="0"/>
                <w:sz w:val="21"/>
                <w:szCs w:val="21"/>
                <w:highlight w:val="none"/>
                <w:u w:val="none"/>
                <w:lang w:val="en-US" w:eastAsia="zh-CN" w:bidi="ar"/>
              </w:rPr>
              <w:t>▲防电击等级依据GB4943.1标准，使用基本绝缘作为基本安全防护，同时使用保护连接和保护接地作为附加安全防护，达到防电击保护I类设备（投标时提供国家认可的第三方检测机构出具的关于该功能检测报告复印件，并加盖供应商公章）</w:t>
            </w:r>
          </w:p>
          <w:p w14:paraId="637F67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15.▲支持软件自定义修改分辨率，自定义分辨率，更加适合LED屏幕的使用；支持分屏操作。支持任意比例拼接素材和多图层叠加；支持无线遥控、手机遥控，一键切换视频；支持与智能播控软件一键IP连接（投标时提供国家认可的第三方检测机构出具的关于该功能检测报告复印件，并加盖供应商公章）</w:t>
            </w:r>
          </w:p>
          <w:p w14:paraId="5A2539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二、主控一套</w:t>
            </w:r>
          </w:p>
          <w:p w14:paraId="2151729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▲最大4096X2160@60Hz输入分辨率</w:t>
            </w:r>
          </w:p>
          <w:p w14:paraId="549FC9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▲最大带载1300万像素，20路千兆网口输出或2路万兆光口输出</w:t>
            </w:r>
          </w:p>
          <w:p w14:paraId="7A82A0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i w:val="0"/>
                <w:iCs w:val="0"/>
                <w:color w:val="000000"/>
                <w:kern w:val="0"/>
                <w:sz w:val="21"/>
                <w:szCs w:val="21"/>
                <w:highlight w:val="none"/>
                <w:u w:val="none"/>
                <w:lang w:val="en-US" w:eastAsia="zh-CN" w:bidi="ar"/>
              </w:rPr>
              <w:t>▲最宽16384像素点或最高8192像素点</w:t>
            </w:r>
          </w:p>
          <w:p w14:paraId="1BF1DD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4.</w:t>
            </w:r>
            <w:r>
              <w:rPr>
                <w:rFonts w:hint="eastAsia" w:ascii="宋体" w:hAnsi="宋体" w:eastAsia="宋体" w:cs="宋体"/>
                <w:b w:val="0"/>
                <w:bCs w:val="0"/>
                <w:i w:val="0"/>
                <w:iCs w:val="0"/>
                <w:color w:val="000000"/>
                <w:kern w:val="0"/>
                <w:sz w:val="21"/>
                <w:szCs w:val="21"/>
                <w:highlight w:val="none"/>
                <w:u w:val="none"/>
                <w:lang w:val="en-US" w:eastAsia="zh-CN" w:bidi="ar"/>
              </w:rPr>
              <w:t>支持6路信号输入:1xHDMI2.0，1xDP1.2，2xHDMI1.4，2xDVI</w:t>
            </w:r>
          </w:p>
          <w:p w14:paraId="74AC388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5.</w:t>
            </w:r>
            <w:r>
              <w:rPr>
                <w:rFonts w:hint="eastAsia" w:ascii="宋体" w:hAnsi="宋体" w:eastAsia="宋体" w:cs="宋体"/>
                <w:b w:val="0"/>
                <w:bCs w:val="0"/>
                <w:i w:val="0"/>
                <w:iCs w:val="0"/>
                <w:color w:val="000000"/>
                <w:kern w:val="0"/>
                <w:sz w:val="21"/>
                <w:szCs w:val="21"/>
                <w:highlight w:val="none"/>
                <w:u w:val="none"/>
                <w:lang w:val="en-US" w:eastAsia="zh-CN" w:bidi="ar"/>
              </w:rPr>
              <w:t>支持视频同步锁相技术</w:t>
            </w:r>
          </w:p>
          <w:p w14:paraId="456F11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6.</w:t>
            </w:r>
            <w:r>
              <w:rPr>
                <w:rFonts w:hint="eastAsia" w:ascii="宋体" w:hAnsi="宋体" w:eastAsia="宋体" w:cs="宋体"/>
                <w:b w:val="0"/>
                <w:bCs w:val="0"/>
                <w:i w:val="0"/>
                <w:iCs w:val="0"/>
                <w:color w:val="000000"/>
                <w:kern w:val="0"/>
                <w:sz w:val="21"/>
                <w:szCs w:val="21"/>
                <w:highlight w:val="none"/>
                <w:u w:val="none"/>
                <w:lang w:val="en-US" w:eastAsia="zh-CN" w:bidi="ar"/>
              </w:rPr>
              <w:t>支持1路独立音频输入，1路独立音频输出</w:t>
            </w:r>
          </w:p>
          <w:p w14:paraId="521A4E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7.</w:t>
            </w:r>
            <w:r>
              <w:rPr>
                <w:rFonts w:hint="eastAsia" w:ascii="宋体" w:hAnsi="宋体" w:eastAsia="宋体" w:cs="宋体"/>
                <w:b w:val="0"/>
                <w:bCs w:val="0"/>
                <w:i w:val="0"/>
                <w:iCs w:val="0"/>
                <w:color w:val="000000"/>
                <w:kern w:val="0"/>
                <w:sz w:val="21"/>
                <w:szCs w:val="21"/>
                <w:highlight w:val="none"/>
                <w:u w:val="none"/>
                <w:lang w:val="en-US" w:eastAsia="zh-CN" w:bidi="ar"/>
              </w:rPr>
              <w:t>支持6画面显示，位置、大小可自由调节</w:t>
            </w:r>
          </w:p>
          <w:p w14:paraId="5C38CA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8.</w:t>
            </w:r>
            <w:bookmarkStart w:id="0" w:name="_GoBack"/>
            <w:bookmarkEnd w:id="0"/>
            <w:r>
              <w:rPr>
                <w:rFonts w:hint="eastAsia" w:ascii="宋体" w:hAnsi="宋体" w:eastAsia="宋体" w:cs="宋体"/>
                <w:b w:val="0"/>
                <w:bCs w:val="0"/>
                <w:i w:val="0"/>
                <w:iCs w:val="0"/>
                <w:color w:val="000000"/>
                <w:kern w:val="0"/>
                <w:sz w:val="21"/>
                <w:szCs w:val="21"/>
                <w:highlight w:val="none"/>
                <w:u w:val="none"/>
                <w:lang w:val="en-US" w:eastAsia="zh-CN" w:bidi="ar"/>
              </w:rPr>
              <w:t>支持视频信号任意切换，裁剪，拼接，缩放</w:t>
            </w:r>
          </w:p>
          <w:p w14:paraId="10127A0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9.</w:t>
            </w:r>
            <w:r>
              <w:rPr>
                <w:rFonts w:hint="eastAsia" w:ascii="宋体" w:hAnsi="宋体" w:eastAsia="宋体" w:cs="宋体"/>
                <w:b w:val="0"/>
                <w:bCs w:val="0"/>
                <w:i w:val="0"/>
                <w:iCs w:val="0"/>
                <w:color w:val="000000"/>
                <w:kern w:val="0"/>
                <w:sz w:val="21"/>
                <w:szCs w:val="21"/>
                <w:highlight w:val="none"/>
                <w:u w:val="none"/>
                <w:lang w:val="en-US" w:eastAsia="zh-CN" w:bidi="ar"/>
              </w:rPr>
              <w:t>支持低亮高灰，能有效地保持低亮下灰阶的完整显示</w:t>
            </w:r>
          </w:p>
          <w:p w14:paraId="0B1D522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10.</w:t>
            </w:r>
            <w:r>
              <w:rPr>
                <w:rFonts w:hint="eastAsia" w:ascii="宋体" w:hAnsi="宋体" w:eastAsia="宋体" w:cs="宋体"/>
                <w:b w:val="0"/>
                <w:bCs w:val="0"/>
                <w:i w:val="0"/>
                <w:iCs w:val="0"/>
                <w:color w:val="000000"/>
                <w:kern w:val="0"/>
                <w:sz w:val="21"/>
                <w:szCs w:val="21"/>
                <w:highlight w:val="none"/>
                <w:u w:val="none"/>
                <w:lang w:val="en-US" w:eastAsia="zh-CN" w:bidi="ar"/>
              </w:rPr>
              <w:t>支持LAN口控制，支持手机端APP控制</w:t>
            </w:r>
          </w:p>
          <w:p w14:paraId="3955DC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11.</w:t>
            </w:r>
            <w:r>
              <w:rPr>
                <w:rFonts w:hint="eastAsia" w:ascii="宋体" w:hAnsi="宋体" w:eastAsia="宋体" w:cs="宋体"/>
                <w:b w:val="0"/>
                <w:bCs w:val="0"/>
                <w:i w:val="0"/>
                <w:iCs w:val="0"/>
                <w:color w:val="000000"/>
                <w:kern w:val="0"/>
                <w:sz w:val="21"/>
                <w:szCs w:val="21"/>
                <w:highlight w:val="none"/>
                <w:u w:val="none"/>
                <w:lang w:val="en-US" w:eastAsia="zh-CN" w:bidi="ar"/>
              </w:rPr>
              <w:t>▲支持自动倍频、2倍频、3倍频，采用独特的倍频算法，针对视频源信号小于30hz可启用2倍频，小于20hz可启用3倍频，可以将输入信号转成60Hz信号输出，提高画面显示效果，信号最高帧率可达100Hz；（投标时提供国家认可的第三方检测机构出具的关于该功能检测报告复印件，并加盖供应商公章）</w:t>
            </w:r>
          </w:p>
          <w:p w14:paraId="64371B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12.</w:t>
            </w:r>
            <w:r>
              <w:rPr>
                <w:rFonts w:hint="eastAsia" w:ascii="宋体" w:hAnsi="宋体" w:eastAsia="宋体" w:cs="宋体"/>
                <w:b w:val="0"/>
                <w:bCs w:val="0"/>
                <w:i w:val="0"/>
                <w:iCs w:val="0"/>
                <w:color w:val="000000"/>
                <w:kern w:val="0"/>
                <w:sz w:val="21"/>
                <w:szCs w:val="21"/>
                <w:highlight w:val="none"/>
                <w:u w:val="none"/>
                <w:lang w:val="en-US" w:eastAsia="zh-CN" w:bidi="ar"/>
              </w:rPr>
              <w:t>▲设备直接通过USB2.0级联，级联数据下发发送速率最高可达60Mb/s，最多支持64台同时调节亮度、色温、设备之间同步性，符合大型高标准活动现场低延时要求；配合外设级联最大带载宽度可达1048576像素点，最高可到524288像素点；（投标时需提供国家认可的第三方检测机构出具的关于该功能检测报告复印件，并加盖供应商公章）</w:t>
            </w:r>
          </w:p>
          <w:p w14:paraId="192EAE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13.</w:t>
            </w:r>
            <w:r>
              <w:rPr>
                <w:rFonts w:hint="eastAsia" w:ascii="宋体" w:hAnsi="宋体" w:eastAsia="宋体" w:cs="宋体"/>
                <w:b w:val="0"/>
                <w:bCs w:val="0"/>
                <w:i w:val="0"/>
                <w:iCs w:val="0"/>
                <w:color w:val="000000"/>
                <w:kern w:val="0"/>
                <w:sz w:val="21"/>
                <w:szCs w:val="21"/>
                <w:highlight w:val="none"/>
                <w:u w:val="none"/>
                <w:lang w:val="en-US" w:eastAsia="zh-CN" w:bidi="ar"/>
              </w:rPr>
              <w:t>▲为了保证HDMI或者DVI传输的高清晰信号不会被非法录制，设备具备HDCP1.4技术；（投标时需提供国家认可的第三方检测机构出具的关于该功能检测报告复印件，并加盖供应商公章）</w:t>
            </w:r>
          </w:p>
          <w:p w14:paraId="26D610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14.▲支持屏幕除湿功能，通过自定义设置预热屏幕减少屏幕水汽，可以减少死灯、短路、暗亮等问题，延长显示屏使用寿命；（投标时需提供国家认可的第三方检测机构出具的关于该功能检测报告复印件，并加盖供应商公章）</w:t>
            </w:r>
          </w:p>
          <w:p w14:paraId="5E5566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三、接收卡一套</w:t>
            </w:r>
          </w:p>
          <w:p w14:paraId="161FBC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▲集成8个HUB320，无需再配转接板</w:t>
            </w:r>
          </w:p>
          <w:p w14:paraId="50DE00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▲单卡最大带载256×1024像素，最多支持32组并行数据</w:t>
            </w:r>
          </w:p>
          <w:p w14:paraId="57961B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i w:val="0"/>
                <w:iCs w:val="0"/>
                <w:color w:val="000000"/>
                <w:kern w:val="0"/>
                <w:sz w:val="21"/>
                <w:szCs w:val="21"/>
                <w:highlight w:val="none"/>
                <w:u w:val="none"/>
                <w:lang w:val="en-US" w:eastAsia="zh-CN" w:bidi="ar"/>
              </w:rPr>
              <w:t>▲支持8bit色深视频源输入输出，单色灰阶为256，可搭配出16777216种混合色彩</w:t>
            </w:r>
          </w:p>
          <w:p w14:paraId="6E73144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4.</w:t>
            </w:r>
            <w:r>
              <w:rPr>
                <w:rFonts w:hint="eastAsia" w:ascii="宋体" w:hAnsi="宋体" w:eastAsia="宋体" w:cs="宋体"/>
                <w:b w:val="0"/>
                <w:bCs w:val="0"/>
                <w:i w:val="0"/>
                <w:iCs w:val="0"/>
                <w:color w:val="000000"/>
                <w:kern w:val="0"/>
                <w:sz w:val="21"/>
                <w:szCs w:val="21"/>
                <w:highlight w:val="none"/>
                <w:u w:val="none"/>
                <w:lang w:val="en-US" w:eastAsia="zh-CN" w:bidi="ar"/>
              </w:rPr>
              <w:t>支持自适应帧率技术，不仅支持23.98/24/29.97/30/50/59.94/60Hz常规及非整数帧率，还可输出显示120/240Hz高帧率画面，大幅提升画面流畅度、减少拖影</w:t>
            </w:r>
          </w:p>
          <w:p w14:paraId="01758A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5.</w:t>
            </w:r>
            <w:r>
              <w:rPr>
                <w:rFonts w:hint="eastAsia" w:ascii="宋体" w:hAnsi="宋体" w:eastAsia="宋体" w:cs="宋体"/>
                <w:b w:val="0"/>
                <w:bCs w:val="0"/>
                <w:i w:val="0"/>
                <w:iCs w:val="0"/>
                <w:color w:val="000000"/>
                <w:kern w:val="0"/>
                <w:sz w:val="21"/>
                <w:szCs w:val="21"/>
                <w:highlight w:val="none"/>
                <w:u w:val="none"/>
                <w:lang w:val="en-US" w:eastAsia="zh-CN" w:bidi="ar"/>
              </w:rPr>
              <w:t>支持色温调节，亮色度逐点校正</w:t>
            </w:r>
          </w:p>
          <w:p w14:paraId="0EF1C54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6.</w:t>
            </w:r>
            <w:r>
              <w:rPr>
                <w:rFonts w:hint="eastAsia" w:ascii="宋体" w:hAnsi="宋体" w:eastAsia="宋体" w:cs="宋体"/>
                <w:b w:val="0"/>
                <w:bCs w:val="0"/>
                <w:i w:val="0"/>
                <w:iCs w:val="0"/>
                <w:color w:val="000000"/>
                <w:kern w:val="0"/>
                <w:sz w:val="21"/>
                <w:szCs w:val="21"/>
                <w:highlight w:val="none"/>
                <w:u w:val="none"/>
                <w:lang w:val="en-US" w:eastAsia="zh-CN" w:bidi="ar"/>
              </w:rPr>
              <w:t>支持低亮高灰</w:t>
            </w:r>
          </w:p>
          <w:p w14:paraId="0382751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7.</w:t>
            </w:r>
            <w:r>
              <w:rPr>
                <w:rFonts w:hint="eastAsia" w:ascii="宋体" w:hAnsi="宋体" w:eastAsia="宋体" w:cs="宋体"/>
                <w:b w:val="0"/>
                <w:bCs w:val="0"/>
                <w:i w:val="0"/>
                <w:iCs w:val="0"/>
                <w:color w:val="000000"/>
                <w:kern w:val="0"/>
                <w:sz w:val="21"/>
                <w:szCs w:val="21"/>
                <w:highlight w:val="none"/>
                <w:u w:val="none"/>
                <w:lang w:val="en-US" w:eastAsia="zh-CN" w:bidi="ar"/>
              </w:rPr>
              <w:t>支持箱体标定和快速标序</w:t>
            </w:r>
          </w:p>
          <w:p w14:paraId="0168C9B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8.</w:t>
            </w:r>
            <w:r>
              <w:rPr>
                <w:rFonts w:hint="eastAsia" w:ascii="宋体" w:hAnsi="宋体" w:eastAsia="宋体" w:cs="宋体"/>
                <w:b w:val="0"/>
                <w:bCs w:val="0"/>
                <w:i w:val="0"/>
                <w:iCs w:val="0"/>
                <w:color w:val="000000"/>
                <w:kern w:val="0"/>
                <w:sz w:val="21"/>
                <w:szCs w:val="21"/>
                <w:highlight w:val="none"/>
                <w:u w:val="none"/>
                <w:lang w:val="en-US" w:eastAsia="zh-CN" w:bidi="ar"/>
              </w:rPr>
              <w:t>支持数据偏移，环路备份，支持固件备份</w:t>
            </w:r>
          </w:p>
          <w:p w14:paraId="529887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9.</w:t>
            </w:r>
            <w:r>
              <w:rPr>
                <w:rFonts w:hint="eastAsia" w:ascii="宋体" w:hAnsi="宋体" w:eastAsia="宋体" w:cs="宋体"/>
                <w:b w:val="0"/>
                <w:bCs w:val="0"/>
                <w:i w:val="0"/>
                <w:iCs w:val="0"/>
                <w:color w:val="000000"/>
                <w:kern w:val="0"/>
                <w:sz w:val="21"/>
                <w:szCs w:val="21"/>
                <w:highlight w:val="none"/>
                <w:u w:val="none"/>
                <w:lang w:val="en-US" w:eastAsia="zh-CN" w:bidi="ar"/>
              </w:rPr>
              <w:t>▲一帧延迟，发送端到显示端延迟达到一帧，解决系统延迟导致的画面不同步问题；（投标时需提供国家认可的第三方检测机构出具的关于该功能检测报告复印件，并加盖供应商公章）</w:t>
            </w:r>
          </w:p>
          <w:p w14:paraId="487A9FB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10.</w:t>
            </w:r>
            <w:r>
              <w:rPr>
                <w:rFonts w:hint="eastAsia" w:ascii="宋体" w:hAnsi="宋体" w:eastAsia="宋体" w:cs="宋体"/>
                <w:b w:val="0"/>
                <w:bCs w:val="0"/>
                <w:i w:val="0"/>
                <w:iCs w:val="0"/>
                <w:color w:val="000000"/>
                <w:kern w:val="0"/>
                <w:sz w:val="21"/>
                <w:szCs w:val="21"/>
                <w:highlight w:val="none"/>
                <w:u w:val="none"/>
                <w:lang w:val="en-US" w:eastAsia="zh-CN" w:bidi="ar"/>
              </w:rPr>
              <w:t>▲8bit/14bit精度的色度，亮度一体化逐点校正，能有效消除灯点色差，保证整屏的颜色亮度的均匀性和一致性，提升整体显示效果；（投标时需提供国家认可的第三方检测机构出具的关于该功能检测报告复印件，并加盖供应商公章）</w:t>
            </w:r>
          </w:p>
          <w:p w14:paraId="2ACDE02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11.</w:t>
            </w:r>
            <w:r>
              <w:rPr>
                <w:rFonts w:hint="eastAsia" w:ascii="宋体" w:hAnsi="宋体" w:eastAsia="宋体" w:cs="宋体"/>
                <w:b w:val="0"/>
                <w:bCs w:val="0"/>
                <w:i w:val="0"/>
                <w:iCs w:val="0"/>
                <w:color w:val="000000"/>
                <w:kern w:val="0"/>
                <w:sz w:val="21"/>
                <w:szCs w:val="21"/>
                <w:highlight w:val="none"/>
                <w:u w:val="none"/>
                <w:lang w:val="en-US" w:eastAsia="zh-CN" w:bidi="ar"/>
              </w:rPr>
              <w:t>▲检测接收卡之间数据传输质量和误码情况，可以方便快捷地识别出硬件连接异常的箱体，便于维护；（投标时需提供国家认可的第三方检测机构出具的关于该功能检测报告复印件，并加盖供应商公章）</w:t>
            </w:r>
          </w:p>
          <w:p w14:paraId="419A0C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通过对伽马表算法的优化，使得显示屏在降低亮度时能保持灰阶的完整无损失、完美显示，呈现低亮度高灰阶的显示效果；（投标时需提供国家认可的第三方检测机构出具的关于该功能检测报告复印件，并加盖供应商公章）</w:t>
            </w:r>
          </w:p>
          <w:p w14:paraId="025277C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四、电源一项</w:t>
            </w:r>
          </w:p>
          <w:p w14:paraId="5A7966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1.极限工作范围： 180Vac to 264Vac</w:t>
            </w:r>
          </w:p>
          <w:p w14:paraId="52B3FFB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2.输入电压： 200Vac to 240Vac</w:t>
            </w:r>
          </w:p>
          <w:p w14:paraId="30C6874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3.频率范围：  50Hz/60Hz±5%</w:t>
            </w:r>
          </w:p>
          <w:p w14:paraId="06795C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4.满载输入电流 ：在满载且交流电压为 180Vac的条件下，最大电流为 2.5A。</w:t>
            </w:r>
          </w:p>
          <w:p w14:paraId="7E7066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5.浪涌电流 ：在满载、冷态且交流电压为 230Vac的条件下，最大电流为 100A。</w:t>
            </w:r>
          </w:p>
          <w:p w14:paraId="27CBC9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6.功率因数：在额定负载且交流电压处于 180V~240Vac的条件下，最小值为 90%。</w:t>
            </w:r>
          </w:p>
          <w:p w14:paraId="1C71CA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7.效率：87%min.@230Vac(PCB 板端)</w:t>
            </w:r>
          </w:p>
          <w:p w14:paraId="720BB0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8.泄漏电流：在输入交流电压为  230Vac的情况下，电流小于 3.5 mA。</w:t>
            </w:r>
          </w:p>
          <w:p w14:paraId="0CB0F39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9.输入保险：T5AL/250Vac</w:t>
            </w:r>
          </w:p>
          <w:p w14:paraId="660848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10.额定功率：180W@+4.5V</w:t>
            </w:r>
          </w:p>
          <w:p w14:paraId="7A6F942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11、工作温度：-30℃to +60℃，存储温度：-40℃ to +80℃</w:t>
            </w:r>
          </w:p>
          <w:p w14:paraId="3E88B0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12、工作湿度范围：10% to 50%（非冷凝状态），存储湿度范围：10% to 90%</w:t>
            </w:r>
          </w:p>
          <w:p w14:paraId="52D19D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五、定制配电柜15KW 一台</w:t>
            </w:r>
          </w:p>
          <w:p w14:paraId="524A102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1.产品功能 PLC、软启动、过零保护</w:t>
            </w:r>
          </w:p>
          <w:p w14:paraId="1B77BB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2.额定功率 15KW</w:t>
            </w:r>
          </w:p>
          <w:p w14:paraId="2972F3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3.额定电压 100-380V</w:t>
            </w:r>
          </w:p>
          <w:p w14:paraId="4A33AA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4.额定电流 25A*3±5%</w:t>
            </w:r>
          </w:p>
          <w:p w14:paraId="3ECD0B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5.运行环境温度 -20℃—50℃</w:t>
            </w:r>
          </w:p>
          <w:p w14:paraId="573BFA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6.运行环境湿度 10%—50%RH 无凝结</w:t>
            </w:r>
          </w:p>
          <w:p w14:paraId="50F351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7.控制方式 手动/433遥控/线控/485中控/级联</w:t>
            </w:r>
          </w:p>
          <w:p w14:paraId="4AF5723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8.标准配置 1组3路</w:t>
            </w:r>
          </w:p>
          <w:p w14:paraId="6E3644C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六、显示屏框架结构设计施工一项</w:t>
            </w:r>
          </w:p>
          <w:p w14:paraId="4CE7617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▲显示屏含外框包边面积:3.94m *3.14m =12.37m²包边上下左右各包5公分</w:t>
            </w:r>
          </w:p>
          <w:p w14:paraId="57202A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1.大屏幕包边，屏幕装修包边处理。</w:t>
            </w:r>
          </w:p>
          <w:p w14:paraId="6303F2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2.屏幕钢结构制作，钢结构要求。</w:t>
            </w:r>
          </w:p>
          <w:p w14:paraId="7B8D045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3.按照国家钢结构设计规范，满足屏体安全承载需求。</w:t>
            </w:r>
          </w:p>
          <w:p w14:paraId="2F353B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4.显示屏支撑钢结构材料采用国标，不采用非标。</w:t>
            </w:r>
          </w:p>
        </w:tc>
        <w:tc>
          <w:tcPr>
            <w:tcW w:w="1471" w:type="dxa"/>
            <w:noWrap w:val="0"/>
            <w:vAlign w:val="center"/>
          </w:tcPr>
          <w:p w14:paraId="0CF9299A">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1048" w:type="dxa"/>
            <w:noWrap w:val="0"/>
            <w:vAlign w:val="center"/>
          </w:tcPr>
          <w:p w14:paraId="03B96925">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套</w:t>
            </w:r>
          </w:p>
        </w:tc>
        <w:tc>
          <w:tcPr>
            <w:tcW w:w="1048" w:type="dxa"/>
            <w:noWrap w:val="0"/>
            <w:vAlign w:val="center"/>
          </w:tcPr>
          <w:p w14:paraId="1DBF1E70">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156600</w:t>
            </w:r>
          </w:p>
        </w:tc>
        <w:tc>
          <w:tcPr>
            <w:tcW w:w="873" w:type="dxa"/>
            <w:noWrap w:val="0"/>
            <w:vAlign w:val="center"/>
          </w:tcPr>
          <w:p w14:paraId="4885C174">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156600</w:t>
            </w:r>
          </w:p>
        </w:tc>
      </w:tr>
      <w:tr w14:paraId="0547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899" w:type="dxa"/>
            <w:gridSpan w:val="7"/>
            <w:noWrap w:val="0"/>
            <w:vAlign w:val="center"/>
          </w:tcPr>
          <w:p w14:paraId="55199E0F">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合计</w:t>
            </w:r>
          </w:p>
        </w:tc>
        <w:tc>
          <w:tcPr>
            <w:tcW w:w="873" w:type="dxa"/>
            <w:noWrap w:val="0"/>
            <w:vAlign w:val="center"/>
          </w:tcPr>
          <w:p w14:paraId="5C9AE6CF">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156600</w:t>
            </w:r>
          </w:p>
        </w:tc>
      </w:tr>
    </w:tbl>
    <w:p w14:paraId="2407DFB0">
      <w:pPr>
        <w:rPr>
          <w:rFonts w:hint="eastAsia"/>
        </w:rPr>
      </w:pPr>
    </w:p>
    <w:p w14:paraId="06165D0E">
      <w:pPr>
        <w:rPr>
          <w:rFonts w:hint="eastAsia"/>
        </w:rPr>
      </w:pPr>
    </w:p>
    <w:p w14:paraId="0DA94413">
      <w:pPr>
        <w:rPr>
          <w:rFonts w:hint="eastAsia"/>
        </w:rPr>
      </w:pPr>
    </w:p>
    <w:p w14:paraId="5F809F96">
      <w:pPr>
        <w:rPr>
          <w:rFonts w:hint="eastAsia"/>
        </w:rPr>
      </w:pPr>
    </w:p>
    <w:p w14:paraId="44567BAE">
      <w:pPr>
        <w:rPr>
          <w:rFonts w:hint="eastAsia"/>
        </w:rPr>
      </w:pPr>
    </w:p>
    <w:p w14:paraId="5F79AE4F">
      <w:pPr>
        <w:rPr>
          <w:rFonts w:hint="eastAsia"/>
        </w:rPr>
      </w:pPr>
    </w:p>
    <w:p w14:paraId="428C1AC9">
      <w:pPr>
        <w:rPr>
          <w:rFonts w:hint="eastAsia"/>
        </w:rPr>
      </w:pPr>
    </w:p>
    <w:p w14:paraId="6F362BA0">
      <w:pPr>
        <w:rPr>
          <w:rFonts w:hint="eastAsia"/>
        </w:rPr>
      </w:pPr>
    </w:p>
    <w:p w14:paraId="431C5A92">
      <w:pPr>
        <w:rPr>
          <w:rFonts w:hint="eastAsia"/>
        </w:rPr>
      </w:pPr>
    </w:p>
    <w:p w14:paraId="4014F249">
      <w:pPr>
        <w:rPr>
          <w:rFonts w:hint="eastAsia"/>
        </w:rPr>
      </w:pPr>
    </w:p>
    <w:p w14:paraId="03F5C23B">
      <w:pPr>
        <w:rPr>
          <w:rFonts w:hint="eastAsia"/>
        </w:rPr>
      </w:pPr>
    </w:p>
    <w:p w14:paraId="3F816104">
      <w:pPr>
        <w:rPr>
          <w:rFonts w:hint="eastAsia"/>
        </w:rPr>
      </w:pPr>
    </w:p>
    <w:p w14:paraId="54EEA807">
      <w:pPr>
        <w:rPr>
          <w:rFonts w:hint="eastAsia"/>
        </w:rPr>
      </w:pPr>
    </w:p>
    <w:p w14:paraId="6B12EECB">
      <w:pPr>
        <w:rPr>
          <w:rFonts w:hint="eastAsia"/>
        </w:rPr>
      </w:pPr>
    </w:p>
    <w:p w14:paraId="768A1146">
      <w:pPr>
        <w:rPr>
          <w:rFonts w:hint="eastAsia"/>
        </w:rPr>
      </w:pPr>
    </w:p>
    <w:tbl>
      <w:tblPr>
        <w:tblStyle w:val="5"/>
        <w:tblW w:w="13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057"/>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940" w:type="dxa"/>
            <w:gridSpan w:val="2"/>
          </w:tcPr>
          <w:p w14:paraId="6724E585">
            <w:pPr>
              <w:rPr>
                <w:rFonts w:hint="eastAsia" w:ascii="宋体" w:hAnsi="宋体" w:eastAsia="宋体" w:cs="宋体"/>
                <w:color w:val="auto"/>
                <w:szCs w:val="22"/>
                <w:highlight w:val="none"/>
                <w:vertAlign w:val="baseline"/>
              </w:rPr>
            </w:pPr>
            <w:r>
              <w:rPr>
                <w:rFonts w:hint="eastAsia" w:ascii="宋体" w:hAnsi="宋体" w:eastAsia="宋体" w:cs="Calibri"/>
                <w:b/>
                <w:bCs/>
                <w:color w:val="auto"/>
                <w:kern w:val="0"/>
                <w:sz w:val="20"/>
                <w:szCs w:val="20"/>
                <w:highlight w:val="none"/>
                <w:lang w:val="en-US" w:eastAsia="zh-CN"/>
              </w:rPr>
              <w:t>▲</w:t>
            </w:r>
            <w:r>
              <w:rPr>
                <w:rFonts w:hint="eastAsia" w:ascii="宋体" w:hAnsi="宋体" w:eastAsia="宋体" w:cs="宋体"/>
                <w:b/>
                <w:bCs/>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83"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rPr>
              <w:t>交货时间及地点</w:t>
            </w:r>
          </w:p>
        </w:tc>
        <w:tc>
          <w:tcPr>
            <w:tcW w:w="13057" w:type="dxa"/>
            <w:shd w:val="clear" w:color="auto" w:fill="auto"/>
            <w:vAlign w:val="center"/>
          </w:tcPr>
          <w:p w14:paraId="55E9414F">
            <w:pPr>
              <w:widowControl/>
              <w:numPr>
                <w:ilvl w:val="0"/>
                <w:numId w:val="0"/>
              </w:numPr>
              <w:snapToGrid w:val="0"/>
              <w:spacing w:line="400" w:lineRule="exact"/>
              <w:jc w:val="left"/>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1、合同签订日期：中标通知书发出后</w:t>
            </w:r>
            <w:r>
              <w:rPr>
                <w:rFonts w:hint="eastAsia" w:ascii="宋体" w:hAnsi="宋体" w:eastAsia="宋体" w:cs="宋体"/>
                <w:kern w:val="0"/>
                <w:szCs w:val="21"/>
                <w:highlight w:val="none"/>
                <w:lang w:val="en-US" w:eastAsia="zh-CN"/>
              </w:rPr>
              <w:t>7</w:t>
            </w:r>
            <w:r>
              <w:rPr>
                <w:rFonts w:hint="eastAsia" w:ascii="宋体" w:hAnsi="宋体" w:eastAsia="宋体" w:cs="宋体"/>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2、交货（实施）时间：合同签订之日起</w:t>
            </w:r>
            <w:r>
              <w:rPr>
                <w:rFonts w:hint="eastAsia" w:ascii="宋体" w:hAnsi="宋体" w:eastAsia="宋体" w:cs="宋体"/>
                <w:kern w:val="0"/>
                <w:szCs w:val="21"/>
                <w:highlight w:val="none"/>
                <w:lang w:val="en-US" w:eastAsia="zh-CN"/>
              </w:rPr>
              <w:t>15</w:t>
            </w:r>
            <w:r>
              <w:rPr>
                <w:rFonts w:hint="eastAsia" w:ascii="宋体" w:hAnsi="宋体" w:eastAsia="宋体" w:cs="宋体"/>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default" w:ascii="宋体" w:hAnsi="宋体" w:eastAsia="宋体" w:cs="宋体"/>
                <w:color w:val="auto"/>
                <w:sz w:val="21"/>
                <w:szCs w:val="21"/>
                <w:highlight w:val="none"/>
                <w:u w:val="none"/>
              </w:rPr>
              <w:t>交货地点：</w:t>
            </w:r>
            <w:r>
              <w:rPr>
                <w:rFonts w:hint="eastAsia" w:ascii="宋体" w:hAnsi="宋体" w:eastAsia="宋体" w:cs="宋体"/>
                <w:szCs w:val="21"/>
                <w:highlight w:val="none"/>
              </w:rPr>
              <w:t>广西南宁市采购人指定地点（广西水利电力职业技术学院）</w:t>
            </w:r>
            <w:r>
              <w:rPr>
                <w:rFonts w:hint="default" w:ascii="宋体" w:hAnsi="宋体" w:eastAsia="宋体" w:cs="宋体"/>
                <w:color w:val="auto"/>
                <w:sz w:val="21"/>
                <w:szCs w:val="21"/>
                <w:highlight w:val="none"/>
                <w:u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3"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rPr>
              <w:t>质保期</w:t>
            </w:r>
          </w:p>
        </w:tc>
        <w:tc>
          <w:tcPr>
            <w:tcW w:w="13057" w:type="dxa"/>
            <w:shd w:val="clear" w:color="auto" w:fill="auto"/>
            <w:vAlign w:val="center"/>
          </w:tcPr>
          <w:p w14:paraId="23EDCCBE">
            <w:pPr>
              <w:widowControl/>
              <w:numPr>
                <w:ilvl w:val="0"/>
                <w:numId w:val="0"/>
              </w:numPr>
              <w:jc w:val="left"/>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u w:val="none"/>
              </w:rPr>
              <w:t>按国家有关规定或厂家承诺实行“三包”，</w:t>
            </w:r>
            <w:r>
              <w:rPr>
                <w:rFonts w:hint="eastAsia" w:ascii="宋体" w:hAnsi="宋体" w:eastAsia="宋体" w:cs="宋体"/>
                <w:kern w:val="0"/>
                <w:szCs w:val="21"/>
                <w:highlight w:val="none"/>
              </w:rPr>
              <w:t>质保期从验收合格之日起整机不少于</w:t>
            </w:r>
            <w:r>
              <w:rPr>
                <w:rFonts w:hint="eastAsia" w:ascii="宋体" w:hAnsi="宋体" w:eastAsia="宋体" w:cs="宋体"/>
                <w:kern w:val="0"/>
                <w:szCs w:val="21"/>
                <w:highlight w:val="none"/>
                <w:u w:val="single"/>
                <w:lang w:val="en-US" w:eastAsia="zh-CN"/>
              </w:rPr>
              <w:t>2</w:t>
            </w:r>
            <w:r>
              <w:rPr>
                <w:rFonts w:hint="eastAsia" w:ascii="宋体" w:hAnsi="宋体" w:eastAsia="宋体" w:cs="宋体"/>
                <w:kern w:val="0"/>
                <w:szCs w:val="21"/>
                <w:highlight w:val="none"/>
              </w:rPr>
              <w:t>年（技术参数中有特别指明质保期的按参数要求，厂家质保期高于采购要求的按厂家质保）</w:t>
            </w:r>
            <w:r>
              <w:rPr>
                <w:rFonts w:hint="default" w:ascii="宋体" w:hAnsi="宋体" w:eastAsia="宋体" w:cs="宋体"/>
                <w:color w:val="auto"/>
                <w:sz w:val="21"/>
                <w:szCs w:val="21"/>
                <w:highlight w:val="none"/>
                <w:u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83"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产品质量与售后服务要求</w:t>
            </w:r>
          </w:p>
        </w:tc>
        <w:tc>
          <w:tcPr>
            <w:tcW w:w="13057"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1、所投产品必须能实质性响应采购要求（所投产品应完全满足或优于采购参数要求），供货时能按照采购需求的要求提供厂家</w:t>
            </w:r>
            <w:r>
              <w:rPr>
                <w:rFonts w:hint="eastAsia" w:ascii="宋体" w:hAnsi="宋体" w:eastAsia="宋体" w:cs="宋体"/>
                <w:sz w:val="21"/>
                <w:szCs w:val="21"/>
                <w:highlight w:val="none"/>
              </w:rPr>
              <w:t>针对此项目的原厂授权函原件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供货证明原件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售后服务承诺函原件</w:t>
            </w:r>
            <w:r>
              <w:rPr>
                <w:rFonts w:hint="eastAsia" w:ascii="宋体" w:hAnsi="宋体" w:eastAsia="宋体" w:cs="宋体"/>
                <w:color w:val="auto"/>
                <w:kern w:val="2"/>
                <w:sz w:val="21"/>
                <w:szCs w:val="21"/>
                <w:highlight w:val="none"/>
                <w:lang w:val="en-US" w:eastAsia="zh-CN" w:bidi="ar-SA"/>
              </w:rPr>
              <w:t>，避免假冒伪劣产品；对不能满足参数要求虚假响应，采购人可作废标处理，并依法向供应商追究违约责任。</w:t>
            </w:r>
          </w:p>
          <w:p w14:paraId="47281F61">
            <w:pPr>
              <w:widowControl/>
              <w:snapToGrid w:val="0"/>
              <w:spacing w:line="400" w:lineRule="exact"/>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83" w:type="dxa"/>
            <w:shd w:val="clear" w:color="auto" w:fill="auto"/>
            <w:vAlign w:val="center"/>
          </w:tcPr>
          <w:p w14:paraId="2DBED3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实施和安装要求</w:t>
            </w:r>
          </w:p>
        </w:tc>
        <w:tc>
          <w:tcPr>
            <w:tcW w:w="13057" w:type="dxa"/>
            <w:shd w:val="clear" w:color="auto" w:fill="auto"/>
            <w:vAlign w:val="center"/>
          </w:tcPr>
          <w:p w14:paraId="4DFD51E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（3）安装过程中的所有安全保障由供应商自行负责；</w:t>
            </w:r>
          </w:p>
          <w:p w14:paraId="1A4230A6">
            <w:pPr>
              <w:spacing w:line="40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3"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rPr>
              <w:t>付款方式</w:t>
            </w:r>
          </w:p>
        </w:tc>
        <w:tc>
          <w:tcPr>
            <w:tcW w:w="13057"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color w:val="auto"/>
                <w:sz w:val="21"/>
                <w:szCs w:val="21"/>
                <w:highlight w:val="none"/>
                <w:lang w:val="en-US" w:eastAsia="zh-CN"/>
              </w:rPr>
            </w:pPr>
            <w:r>
              <w:rPr>
                <w:rFonts w:ascii="Calibri" w:hAnsi="Calibri" w:eastAsia="宋体" w:cs="Times New Roman"/>
                <w:szCs w:val="21"/>
                <w:highlight w:val="none"/>
              </w:rPr>
              <w:t> </w:t>
            </w:r>
            <w:r>
              <w:rPr>
                <w:rFonts w:hint="eastAsia" w:ascii="宋体" w:hAnsi="宋体" w:eastAsia="宋体" w:cs="Times New Roman"/>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883"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rPr>
              <w:t>验收要求</w:t>
            </w:r>
          </w:p>
        </w:tc>
        <w:tc>
          <w:tcPr>
            <w:tcW w:w="13057"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83"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其他要求</w:t>
            </w:r>
          </w:p>
        </w:tc>
        <w:tc>
          <w:tcPr>
            <w:tcW w:w="13057" w:type="dxa"/>
            <w:shd w:val="clear" w:color="auto" w:fill="auto"/>
            <w:vAlign w:val="center"/>
          </w:tcPr>
          <w:p w14:paraId="4E6B1206">
            <w:pPr>
              <w:numPr>
                <w:ilvl w:val="0"/>
                <w:numId w:val="0"/>
              </w:num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lang w:val="en-US" w:eastAsia="zh-CN"/>
              </w:rPr>
              <w:t>供应商必须实质性响应本项目标注“▲”的技术参数要求，不允许负偏离，对技术参数要求中非标注“▲”的技术参数负偏离项数不超过3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0D81F7CC">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eastAsia="宋体" w:cs="宋体"/>
                <w:b w:val="0"/>
                <w:bCs w:val="0"/>
                <w:color w:val="auto"/>
                <w:kern w:val="0"/>
                <w:sz w:val="20"/>
                <w:szCs w:val="20"/>
                <w:highlight w:val="none"/>
                <w:lang w:val="en-US" w:eastAsia="zh-CN"/>
              </w:rPr>
              <w:t>★</w:t>
            </w:r>
            <w:r>
              <w:rPr>
                <w:rFonts w:hint="eastAsia" w:ascii="宋体" w:hAnsi="宋体" w:eastAsia="宋体" w:cs="宋体"/>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3E47AF5F">
      <w:pPr>
        <w:rPr>
          <w:rFonts w:hint="eastAsia" w:ascii="Calibri" w:hAnsi="Calibri" w:eastAsia="宋体" w:cs="Times New Roman"/>
          <w:color w:val="auto"/>
          <w:szCs w:val="22"/>
          <w:highlight w:val="none"/>
        </w:rPr>
      </w:pPr>
    </w:p>
    <w:p w14:paraId="4DE53279">
      <w:pPr>
        <w:rPr>
          <w:rFonts w:hint="eastAsia" w:ascii="Calibri" w:hAnsi="Calibri" w:eastAsia="宋体" w:cs="Times New Roman"/>
          <w:color w:val="auto"/>
          <w:szCs w:val="22"/>
          <w:highlight w:val="none"/>
        </w:rPr>
      </w:pPr>
    </w:p>
    <w:p w14:paraId="59453FB1">
      <w:pPr>
        <w:rPr>
          <w:rFonts w:hint="eastAsia" w:ascii="Calibri" w:hAnsi="Calibri" w:eastAsia="宋体" w:cs="Times New Roman"/>
          <w:color w:val="auto"/>
          <w:szCs w:val="22"/>
          <w:highlight w:val="none"/>
        </w:rPr>
      </w:pPr>
    </w:p>
    <w:p w14:paraId="2C7ED710">
      <w:pPr>
        <w:rPr>
          <w:rFonts w:hint="eastAsia" w:ascii="Calibri" w:hAnsi="Calibri" w:eastAsia="宋体" w:cs="Times New Roman"/>
          <w:color w:val="auto"/>
          <w:szCs w:val="22"/>
          <w:highlight w:val="none"/>
        </w:rPr>
      </w:pPr>
    </w:p>
    <w:p w14:paraId="3E626ABD">
      <w:pPr>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附件</w:t>
      </w:r>
    </w:p>
    <w:p w14:paraId="29AB43BA">
      <w:pPr>
        <w:tabs>
          <w:tab w:val="left" w:pos="3479"/>
        </w:tabs>
        <w:spacing w:line="520" w:lineRule="exact"/>
        <w:jc w:val="center"/>
        <w:rPr>
          <w:rFonts w:hint="eastAsia" w:ascii="宋体" w:hAnsi="宋体" w:eastAsia="宋体" w:cs="宋体"/>
          <w:b/>
          <w:color w:val="auto"/>
          <w:sz w:val="44"/>
          <w:szCs w:val="44"/>
          <w:highlight w:val="none"/>
        </w:rPr>
      </w:pPr>
    </w:p>
    <w:p w14:paraId="60A5A090">
      <w:pPr>
        <w:tabs>
          <w:tab w:val="left" w:pos="3479"/>
        </w:tabs>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1C161FB7">
      <w:pPr>
        <w:snapToGrid w:val="0"/>
        <w:spacing w:line="360" w:lineRule="auto"/>
        <w:rPr>
          <w:rFonts w:hint="eastAsia" w:ascii="宋体" w:hAnsi="宋体" w:eastAsia="宋体" w:cs="仿宋_GB2312"/>
          <w:color w:val="auto"/>
          <w:sz w:val="24"/>
          <w:szCs w:val="22"/>
          <w:highlight w:val="none"/>
        </w:rPr>
      </w:pPr>
      <w:r>
        <w:rPr>
          <w:rFonts w:hint="eastAsia" w:ascii="宋体" w:hAnsi="宋体" w:eastAsia="宋体" w:cs="仿宋_GB2312"/>
          <w:color w:val="auto"/>
          <w:sz w:val="24"/>
          <w:szCs w:val="22"/>
          <w:highlight w:val="none"/>
        </w:rPr>
        <w:t>项目名称：                                                                                    单位：元</w:t>
      </w:r>
    </w:p>
    <w:tbl>
      <w:tblPr>
        <w:tblStyle w:val="4"/>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数量</w:t>
            </w:r>
          </w:p>
          <w:p w14:paraId="787A8CAD">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单价</w:t>
            </w:r>
          </w:p>
          <w:p w14:paraId="42798620">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竞标报价</w:t>
            </w:r>
          </w:p>
          <w:p w14:paraId="72E4E7D2">
            <w:pPr>
              <w:spacing w:line="360" w:lineRule="exact"/>
              <w:jc w:val="center"/>
              <w:rPr>
                <w:rFonts w:hint="eastAsia"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eastAsia="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eastAsia="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eastAsia="宋体" w:cs="仿宋_GB2312"/>
                <w:b/>
                <w:bCs/>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eastAsia="宋体" w:cs="仿宋_GB2312"/>
                <w:b/>
                <w:bCs/>
                <w:color w:val="auto"/>
                <w:szCs w:val="21"/>
                <w:highlight w:val="none"/>
                <w:lang w:val="en-US"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eastAsia="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eastAsia="宋体" w:cs="仿宋_GB2312"/>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eastAsia="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eastAsia="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eastAsia="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eastAsia="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eastAsia="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eastAsia="宋体" w:cs="仿宋_GB2312"/>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eastAsia="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eastAsia="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eastAsia="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eastAsia="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eastAsia="宋体" w:cs="仿宋_GB2312"/>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eastAsia="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eastAsia="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eastAsia="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eastAsia="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eastAsia="宋体" w:cs="仿宋_GB2312"/>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eastAsia="宋体" w:cs="仿宋_GB2312"/>
                <w:color w:val="auto"/>
                <w:szCs w:val="21"/>
                <w:highlight w:val="none"/>
                <w:u w:val="single"/>
              </w:rPr>
            </w:pPr>
            <w:r>
              <w:rPr>
                <w:rFonts w:hint="eastAsia" w:ascii="宋体" w:hAnsi="宋体" w:eastAsia="宋体" w:cs="仿宋_GB2312"/>
                <w:color w:val="auto"/>
                <w:szCs w:val="21"/>
                <w:highlight w:val="none"/>
              </w:rPr>
              <w:t>合计金额大写：人民币      （</w:t>
            </w:r>
            <w:r>
              <w:rPr>
                <w:rFonts w:hint="eastAsia" w:ascii="宋体" w:hAnsi="宋体" w:eastAsia="宋体" w:cs="宋体"/>
                <w:color w:val="auto"/>
                <w:szCs w:val="21"/>
                <w:highlight w:val="none"/>
              </w:rPr>
              <w:t>￥</w:t>
            </w:r>
            <w:r>
              <w:rPr>
                <w:rFonts w:hint="eastAsia" w:ascii="宋体" w:hAnsi="宋体" w:eastAsia="宋体" w:cs="仿宋_GB2312"/>
                <w:color w:val="auto"/>
                <w:szCs w:val="21"/>
                <w:highlight w:val="none"/>
              </w:rPr>
              <w:t>：   ）</w:t>
            </w:r>
          </w:p>
        </w:tc>
      </w:tr>
    </w:tbl>
    <w:p w14:paraId="7720247B">
      <w:pPr>
        <w:spacing w:line="360" w:lineRule="exact"/>
        <w:ind w:firstLine="420" w:firstLineChars="200"/>
        <w:contextualSpacing/>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eastAsia="宋体" w:cs="Times New Roman"/>
          <w:color w:val="auto"/>
          <w:szCs w:val="21"/>
          <w:highlight w:val="none"/>
        </w:rPr>
      </w:pPr>
    </w:p>
    <w:p w14:paraId="18DCBC84">
      <w:pPr>
        <w:spacing w:line="360" w:lineRule="auto"/>
        <w:ind w:right="-817" w:rightChars="-389" w:firstLine="5460" w:firstLineChars="2600"/>
        <w:contextualSpacing/>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eastAsia="宋体" w:cs="仿宋_GB2312"/>
          <w:color w:val="auto"/>
          <w:szCs w:val="21"/>
          <w:highlight w:val="none"/>
        </w:rPr>
      </w:pPr>
    </w:p>
    <w:p w14:paraId="51D3433C">
      <w:pPr>
        <w:spacing w:line="360" w:lineRule="auto"/>
        <w:ind w:right="-817" w:rightChars="-389" w:firstLine="8190" w:firstLineChars="3900"/>
        <w:contextualSpacing/>
        <w:rPr>
          <w:rFonts w:hint="eastAsia" w:ascii="宋体" w:hAnsi="宋体" w:eastAsia="宋体" w:cs="仿宋_GB2312"/>
          <w:color w:val="auto"/>
          <w:szCs w:val="21"/>
          <w:highlight w:val="none"/>
        </w:rPr>
      </w:pPr>
    </w:p>
    <w:p w14:paraId="2F3FAB2E">
      <w:pPr>
        <w:spacing w:line="360" w:lineRule="auto"/>
        <w:ind w:right="-817" w:rightChars="-389" w:firstLine="8190" w:firstLineChars="3900"/>
        <w:contextualSpacing/>
        <w:rPr>
          <w:rFonts w:hint="eastAsia" w:ascii="宋体" w:hAnsi="宋体" w:eastAsia="宋体" w:cs="仿宋_GB2312"/>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Cs/>
          <w:sz w:val="44"/>
          <w:szCs w:val="44"/>
          <w:highlight w:val="none"/>
        </w:rPr>
      </w:pPr>
      <w:r>
        <w:rPr>
          <w:rFonts w:hint="eastAsia" w:ascii="宋体" w:hAnsi="宋体" w:eastAsia="宋体" w:cs="Times New Roman"/>
          <w:b/>
          <w:sz w:val="44"/>
          <w:szCs w:val="44"/>
          <w:highlight w:val="none"/>
        </w:rPr>
        <w:t>货物技术参数配置清单</w:t>
      </w:r>
    </w:p>
    <w:p w14:paraId="7118F3EA">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项目名称： </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3"/>
        <w:gridCol w:w="2828"/>
        <w:gridCol w:w="707"/>
        <w:gridCol w:w="1098"/>
        <w:gridCol w:w="1393"/>
        <w:gridCol w:w="1858"/>
        <w:gridCol w:w="1806"/>
        <w:gridCol w:w="1760"/>
        <w:gridCol w:w="3391"/>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货物名称</w:t>
            </w:r>
          </w:p>
        </w:tc>
        <w:tc>
          <w:tcPr>
            <w:tcW w:w="706" w:type="dxa"/>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单位</w:t>
            </w:r>
          </w:p>
        </w:tc>
        <w:tc>
          <w:tcPr>
            <w:tcW w:w="1097" w:type="dxa"/>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数量</w:t>
            </w:r>
          </w:p>
        </w:tc>
        <w:tc>
          <w:tcPr>
            <w:tcW w:w="1394" w:type="dxa"/>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品牌</w:t>
            </w:r>
          </w:p>
        </w:tc>
        <w:tc>
          <w:tcPr>
            <w:tcW w:w="1857" w:type="dxa"/>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规格型号</w:t>
            </w:r>
          </w:p>
        </w:tc>
        <w:tc>
          <w:tcPr>
            <w:tcW w:w="1807" w:type="dxa"/>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制造商</w:t>
            </w:r>
          </w:p>
        </w:tc>
        <w:tc>
          <w:tcPr>
            <w:tcW w:w="1760" w:type="dxa"/>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原产地</w:t>
            </w:r>
          </w:p>
        </w:tc>
        <w:tc>
          <w:tcPr>
            <w:tcW w:w="3392" w:type="dxa"/>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72" w:type="dxa"/>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2829" w:type="dxa"/>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eastAsia="宋体" w:cs="Times New Roman"/>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eastAsia="宋体" w:cs="Times New Roman"/>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eastAsia="宋体" w:cs="Times New Roman"/>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eastAsia="宋体" w:cs="Times New Roman"/>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eastAsia="宋体" w:cs="Times New Roman"/>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eastAsia="宋体" w:cs="Times New Roman"/>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eastAsia="宋体" w:cs="Times New Roman"/>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eastAsia="宋体" w:cs="Times New Roman"/>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2</w:t>
            </w:r>
          </w:p>
        </w:tc>
        <w:tc>
          <w:tcPr>
            <w:tcW w:w="2829" w:type="dxa"/>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eastAsia="宋体" w:cs="Times New Roman"/>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eastAsia="宋体" w:cs="Times New Roman"/>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eastAsia="宋体" w:cs="Times New Roman"/>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eastAsia="宋体" w:cs="Times New Roman"/>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eastAsia="宋体" w:cs="Times New Roman"/>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eastAsia="宋体" w:cs="Times New Roman"/>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eastAsia="宋体" w:cs="Times New Roman"/>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eastAsia="宋体" w:cs="Times New Roman"/>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w:t>
            </w:r>
          </w:p>
        </w:tc>
        <w:tc>
          <w:tcPr>
            <w:tcW w:w="2829" w:type="dxa"/>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eastAsia="宋体" w:cs="Times New Roman"/>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eastAsia="宋体" w:cs="Times New Roman"/>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eastAsia="宋体" w:cs="Times New Roman"/>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eastAsia="宋体" w:cs="Times New Roman"/>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eastAsia="宋体" w:cs="Times New Roman"/>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eastAsia="宋体" w:cs="Times New Roman"/>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eastAsia="宋体" w:cs="Times New Roman"/>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eastAsia="宋体" w:cs="Times New Roman"/>
                <w:szCs w:val="21"/>
                <w:highlight w:val="none"/>
              </w:rPr>
            </w:pPr>
          </w:p>
        </w:tc>
      </w:tr>
    </w:tbl>
    <w:p w14:paraId="648CD903">
      <w:pPr>
        <w:contextualSpacing/>
        <w:rPr>
          <w:rFonts w:hint="eastAsia" w:ascii="宋体" w:hAnsi="宋体" w:eastAsia="宋体" w:cs="Times New Roman"/>
          <w:szCs w:val="21"/>
          <w:highlight w:val="none"/>
        </w:rPr>
      </w:pPr>
      <w:r>
        <w:rPr>
          <w:rFonts w:hint="eastAsia" w:ascii="宋体" w:hAnsi="宋体" w:eastAsia="宋体" w:cs="Times New Roman"/>
          <w:szCs w:val="21"/>
          <w:highlight w:val="none"/>
        </w:rPr>
        <w:t>备注：</w:t>
      </w:r>
      <w:r>
        <w:rPr>
          <w:rFonts w:hint="eastAsia" w:ascii="宋体" w:hAnsi="宋体" w:eastAsia="宋体" w:cs="Times New Roman"/>
          <w:b/>
          <w:bCs/>
          <w:szCs w:val="21"/>
          <w:highlight w:val="none"/>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eastAsia="宋体" w:cs="Times New Roman"/>
          <w:b/>
          <w:szCs w:val="21"/>
          <w:highlight w:val="none"/>
        </w:rPr>
        <w:t>。</w:t>
      </w:r>
      <w:r>
        <w:rPr>
          <w:rFonts w:hint="eastAsia" w:ascii="宋体" w:hAnsi="宋体" w:eastAsia="宋体" w:cs="Times New Roman"/>
          <w:szCs w:val="21"/>
          <w:highlight w:val="none"/>
        </w:rPr>
        <w:t>货物名称、数量及单位、品牌必须与“竞标报价表”一致，</w:t>
      </w:r>
      <w:r>
        <w:rPr>
          <w:rFonts w:hint="eastAsia" w:ascii="宋体" w:hAnsi="宋体" w:eastAsia="宋体" w:cs="Times New Roman"/>
          <w:bCs/>
          <w:szCs w:val="21"/>
          <w:highlight w:val="none"/>
        </w:rPr>
        <w:t>否则响应文件按无效响应处理</w:t>
      </w:r>
      <w:r>
        <w:rPr>
          <w:rFonts w:hint="eastAsia" w:ascii="宋体" w:hAnsi="宋体" w:eastAsia="宋体" w:cs="Times New Roman"/>
          <w:b/>
          <w:szCs w:val="21"/>
          <w:highlight w:val="none"/>
        </w:rPr>
        <w:t>。</w:t>
      </w:r>
      <w:r>
        <w:rPr>
          <w:rFonts w:hint="eastAsia" w:ascii="宋体" w:hAnsi="宋体" w:eastAsia="宋体" w:cs="Times New Roman"/>
          <w:szCs w:val="21"/>
          <w:highlight w:val="none"/>
        </w:rPr>
        <w:tab/>
      </w:r>
    </w:p>
    <w:p w14:paraId="24A64991">
      <w:pPr>
        <w:widowControl w:val="0"/>
        <w:spacing w:after="120"/>
        <w:ind w:left="420" w:leftChars="200" w:firstLine="420" w:firstLineChars="200"/>
        <w:jc w:val="both"/>
        <w:rPr>
          <w:rFonts w:hint="eastAsia" w:ascii="宋体" w:hAnsi="宋体" w:eastAsia="宋体" w:cs="宋体"/>
          <w:kern w:val="2"/>
          <w:sz w:val="21"/>
          <w:szCs w:val="21"/>
          <w:highlight w:val="none"/>
          <w:lang w:val="en-US" w:eastAsia="zh-CN" w:bidi="ar-SA"/>
        </w:rPr>
      </w:pPr>
    </w:p>
    <w:p w14:paraId="4BFE1AB8">
      <w:pPr>
        <w:ind w:right="-817" w:rightChars="-389"/>
        <w:contextualSpacing/>
        <w:jc w:val="center"/>
        <w:rPr>
          <w:rFonts w:hint="eastAsia" w:ascii="宋体" w:hAnsi="宋体" w:eastAsia="宋体" w:cs="Times New Roman"/>
          <w:szCs w:val="21"/>
          <w:highlight w:val="none"/>
        </w:rPr>
      </w:pPr>
      <w:r>
        <w:rPr>
          <w:rFonts w:hint="eastAsia" w:ascii="宋体" w:hAnsi="宋体" w:eastAsia="宋体" w:cs="Times New Roman"/>
          <w:szCs w:val="21"/>
          <w:highlight w:val="none"/>
        </w:rPr>
        <w:t>法定代表人或者委托代理人（签字）：</w:t>
      </w:r>
    </w:p>
    <w:p w14:paraId="7347544C">
      <w:pPr>
        <w:ind w:right="-817" w:rightChars="-389" w:firstLine="7245" w:firstLineChars="3450"/>
        <w:contextualSpacing/>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供应商（盖公章）：      </w:t>
      </w:r>
    </w:p>
    <w:p w14:paraId="4188AEF4">
      <w:pPr>
        <w:ind w:right="-817" w:rightChars="-389" w:firstLine="8190" w:firstLineChars="3900"/>
        <w:contextualSpacing/>
        <w:rPr>
          <w:rFonts w:ascii="Calibri" w:hAnsi="Calibri" w:eastAsia="宋体" w:cs="Times New Roman"/>
          <w:szCs w:val="22"/>
          <w:highlight w:val="none"/>
        </w:rPr>
      </w:pPr>
      <w:r>
        <w:rPr>
          <w:rFonts w:hint="eastAsia" w:ascii="宋体" w:hAnsi="宋体" w:eastAsia="宋体" w:cs="Times New Roman"/>
          <w:szCs w:val="21"/>
          <w:highlight w:val="none"/>
        </w:rPr>
        <w:t>日  期：    年   月   日</w:t>
      </w:r>
    </w:p>
    <w:p w14:paraId="3DA5D3A2">
      <w:pPr>
        <w:rPr>
          <w:rFonts w:ascii="Calibri" w:hAnsi="Calibri" w:eastAsia="宋体" w:cs="Times New Roman"/>
          <w:szCs w:val="22"/>
          <w:highlight w:val="none"/>
        </w:rPr>
      </w:pPr>
    </w:p>
    <w:p w14:paraId="3A4574FE">
      <w:pPr>
        <w:ind w:right="-817" w:rightChars="-389" w:firstLine="8190" w:firstLineChars="3900"/>
        <w:contextualSpacing/>
        <w:rPr>
          <w:rFonts w:hint="eastAsia" w:ascii="宋体" w:hAnsi="宋体" w:eastAsia="宋体" w:cs="宋体"/>
          <w:color w:val="auto"/>
          <w:sz w:val="21"/>
          <w:szCs w:val="21"/>
          <w:highlight w:val="none"/>
          <w:lang w:val="en-US" w:eastAsia="zh-CN"/>
        </w:rPr>
      </w:pPr>
    </w:p>
    <w:p w14:paraId="67F6DAB8">
      <w:pPr>
        <w:keepNext w:val="0"/>
        <w:keepLines w:val="0"/>
        <w:pageBreakBefore w:val="0"/>
        <w:kinsoku/>
        <w:wordWrap/>
        <w:overflowPunct/>
        <w:topLinePunct w:val="0"/>
        <w:autoSpaceDE/>
        <w:autoSpaceDN/>
        <w:bidi w:val="0"/>
        <w:adjustRightInd/>
        <w:snapToGrid/>
        <w:jc w:val="center"/>
        <w:rPr>
          <w:rFonts w:hint="eastAsia" w:ascii="宋体" w:hAnsi="宋体" w:eastAsia="宋体" w:cs="宋体"/>
          <w:sz w:val="18"/>
          <w:szCs w:val="18"/>
        </w:rPr>
      </w:pPr>
    </w:p>
    <w:p w14:paraId="6012034C">
      <w:pPr>
        <w:rPr>
          <w:rFonts w:hint="eastAsia"/>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6B0E"/>
    <w:rsid w:val="06220370"/>
    <w:rsid w:val="0A566C5C"/>
    <w:rsid w:val="0A7D29C0"/>
    <w:rsid w:val="0AB30AED"/>
    <w:rsid w:val="18B0756E"/>
    <w:rsid w:val="1A103420"/>
    <w:rsid w:val="341E587B"/>
    <w:rsid w:val="35601573"/>
    <w:rsid w:val="375A306E"/>
    <w:rsid w:val="3B384E25"/>
    <w:rsid w:val="3BDD7182"/>
    <w:rsid w:val="5F035F04"/>
    <w:rsid w:val="5F3543FE"/>
    <w:rsid w:val="70E63E0A"/>
    <w:rsid w:val="728F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5004</Words>
  <Characters>5667</Characters>
  <Lines>0</Lines>
  <Paragraphs>0</Paragraphs>
  <TotalTime>15</TotalTime>
  <ScaleCrop>false</ScaleCrop>
  <LinksUpToDate>false</LinksUpToDate>
  <CharactersWithSpaces>5875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2026-06-03T07:58:00Z</dcterms:created>
  <dc:creator>lenovo</dc:creator>
  <cp:lastModifiedBy>北极星</cp:lastModifiedBy>
  <dcterms:modified xsi:type="dcterms:W3CDTF">2026-06-05T07:08:01Z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eyJoZGlkIjoiOGQ4MTZiYTBkODUwOTk2Y2FmZjk4OTdlNzZjYmRlZDkiLCJ1c2VySWQiOiIzNDA3OTQ1OTEifQ==</vt:lpwstr>
  </property>
  <property fmtid="{D5CDD505-2E9C-101B-9397-08002B2CF9AE}" pid="4" name="ICV">
    <vt:lpwstr>51AD6F7C257E4CC1A1510241F406C75D_13</vt:lpwstr>
  </property>
</Properties>
</file>