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AF3FE">
      <w:pPr>
        <w:jc w:val="center"/>
        <w:rPr>
          <w:rFonts w:asciiTheme="minorEastAsia" w:hAnsiTheme="minorEastAsia" w:cstheme="minorEastAsia"/>
          <w:sz w:val="32"/>
          <w:szCs w:val="32"/>
        </w:rPr>
      </w:pPr>
      <w:r>
        <w:rPr>
          <w:rFonts w:hint="eastAsia" w:asciiTheme="minorEastAsia" w:hAnsiTheme="minorEastAsia" w:cstheme="minorEastAsia"/>
          <w:sz w:val="32"/>
          <w:szCs w:val="32"/>
        </w:rPr>
        <w:t>操作系统、办公软件授权服务采购需求</w:t>
      </w:r>
    </w:p>
    <w:p w14:paraId="2E4F20C8">
      <w:pPr>
        <w:rPr>
          <w:rFonts w:ascii="仿宋" w:hAnsi="仿宋" w:eastAsia="仿宋" w:cs="仿宋"/>
          <w:b/>
          <w:sz w:val="24"/>
          <w:szCs w:val="24"/>
        </w:rPr>
      </w:pPr>
    </w:p>
    <w:p w14:paraId="2CA95367">
      <w:pPr>
        <w:rPr>
          <w:rFonts w:asciiTheme="minorEastAsia" w:hAnsiTheme="minorEastAsia" w:cstheme="minorEastAsia"/>
          <w:sz w:val="32"/>
          <w:szCs w:val="32"/>
        </w:rPr>
      </w:pPr>
      <w:r>
        <w:rPr>
          <w:rFonts w:hint="eastAsia" w:ascii="仿宋" w:hAnsi="仿宋" w:eastAsia="仿宋" w:cs="仿宋"/>
          <w:b/>
          <w:sz w:val="24"/>
          <w:szCs w:val="24"/>
        </w:rPr>
        <w:t>一、技术参数要求</w:t>
      </w:r>
    </w:p>
    <w:tbl>
      <w:tblPr>
        <w:tblStyle w:val="10"/>
        <w:tblW w:w="4988" w:type="pct"/>
        <w:tblInd w:w="0" w:type="dxa"/>
        <w:tblLayout w:type="autofit"/>
        <w:tblCellMar>
          <w:top w:w="0" w:type="dxa"/>
          <w:left w:w="108" w:type="dxa"/>
          <w:bottom w:w="0" w:type="dxa"/>
          <w:right w:w="108" w:type="dxa"/>
        </w:tblCellMar>
      </w:tblPr>
      <w:tblGrid>
        <w:gridCol w:w="593"/>
        <w:gridCol w:w="1975"/>
        <w:gridCol w:w="1530"/>
        <w:gridCol w:w="7215"/>
        <w:gridCol w:w="523"/>
        <w:gridCol w:w="567"/>
        <w:gridCol w:w="1167"/>
        <w:gridCol w:w="1181"/>
      </w:tblGrid>
      <w:tr w14:paraId="02B0FBE8">
        <w:trPr>
          <w:trHeight w:val="556" w:hRule="atLeast"/>
        </w:trPr>
        <w:tc>
          <w:tcPr>
            <w:tcW w:w="201" w:type="pct"/>
            <w:tcBorders>
              <w:top w:val="single" w:color="auto" w:sz="4" w:space="0"/>
              <w:left w:val="single" w:color="auto" w:sz="4" w:space="0"/>
              <w:bottom w:val="single" w:color="auto" w:sz="4" w:space="0"/>
              <w:right w:val="single" w:color="auto" w:sz="4" w:space="0"/>
            </w:tcBorders>
            <w:vAlign w:val="center"/>
          </w:tcPr>
          <w:p w14:paraId="76F1597A">
            <w:pPr>
              <w:spacing w:line="276" w:lineRule="auto"/>
              <w:jc w:val="center"/>
              <w:rPr>
                <w:rFonts w:ascii="仿宋" w:hAnsi="仿宋" w:eastAsia="仿宋" w:cs="仿宋"/>
                <w:sz w:val="24"/>
                <w:szCs w:val="24"/>
              </w:rPr>
            </w:pPr>
            <w:r>
              <w:rPr>
                <w:rFonts w:hint="eastAsia" w:ascii="仿宋" w:hAnsi="仿宋" w:eastAsia="仿宋" w:cs="仿宋"/>
                <w:sz w:val="24"/>
                <w:szCs w:val="24"/>
              </w:rPr>
              <w:t>序号</w:t>
            </w:r>
          </w:p>
        </w:tc>
        <w:tc>
          <w:tcPr>
            <w:tcW w:w="669" w:type="pct"/>
            <w:tcBorders>
              <w:top w:val="single" w:color="auto" w:sz="4" w:space="0"/>
              <w:left w:val="nil"/>
              <w:bottom w:val="single" w:color="auto" w:sz="4" w:space="0"/>
              <w:right w:val="single" w:color="auto" w:sz="4" w:space="0"/>
            </w:tcBorders>
            <w:vAlign w:val="center"/>
          </w:tcPr>
          <w:p w14:paraId="24028CF7">
            <w:pPr>
              <w:spacing w:line="276" w:lineRule="auto"/>
              <w:jc w:val="center"/>
              <w:rPr>
                <w:rFonts w:ascii="仿宋" w:hAnsi="仿宋" w:eastAsia="仿宋" w:cs="仿宋"/>
                <w:sz w:val="24"/>
                <w:szCs w:val="24"/>
              </w:rPr>
            </w:pPr>
            <w:r>
              <w:rPr>
                <w:rFonts w:hint="eastAsia" w:ascii="仿宋" w:hAnsi="仿宋" w:eastAsia="仿宋" w:cs="仿宋"/>
                <w:sz w:val="24"/>
                <w:szCs w:val="24"/>
              </w:rPr>
              <w:t>采购项目</w:t>
            </w:r>
          </w:p>
        </w:tc>
        <w:tc>
          <w:tcPr>
            <w:tcW w:w="518" w:type="pct"/>
            <w:tcBorders>
              <w:top w:val="single" w:color="auto" w:sz="4" w:space="0"/>
              <w:left w:val="single" w:color="auto" w:sz="4" w:space="0"/>
              <w:bottom w:val="single" w:color="auto" w:sz="4" w:space="0"/>
              <w:right w:val="single" w:color="auto" w:sz="4" w:space="0"/>
            </w:tcBorders>
            <w:vAlign w:val="center"/>
          </w:tcPr>
          <w:p w14:paraId="10E6AC16">
            <w:pPr>
              <w:spacing w:line="276" w:lineRule="auto"/>
              <w:jc w:val="center"/>
              <w:rPr>
                <w:rFonts w:ascii="仿宋" w:hAnsi="仿宋" w:eastAsia="仿宋" w:cs="仿宋"/>
                <w:sz w:val="24"/>
                <w:szCs w:val="24"/>
              </w:rPr>
            </w:pPr>
            <w:r>
              <w:rPr>
                <w:rFonts w:hint="eastAsia" w:ascii="仿宋" w:hAnsi="仿宋" w:eastAsia="仿宋" w:cs="仿宋"/>
                <w:sz w:val="24"/>
                <w:szCs w:val="24"/>
              </w:rPr>
              <w:t>品牌型号</w:t>
            </w:r>
          </w:p>
        </w:tc>
        <w:tc>
          <w:tcPr>
            <w:tcW w:w="2443" w:type="pct"/>
            <w:tcBorders>
              <w:top w:val="single" w:color="auto" w:sz="4" w:space="0"/>
              <w:left w:val="nil"/>
              <w:bottom w:val="single" w:color="auto" w:sz="4" w:space="0"/>
              <w:right w:val="single" w:color="auto" w:sz="4" w:space="0"/>
            </w:tcBorders>
            <w:vAlign w:val="center"/>
          </w:tcPr>
          <w:p w14:paraId="7C647EFC">
            <w:pPr>
              <w:spacing w:line="276" w:lineRule="auto"/>
              <w:jc w:val="center"/>
              <w:rPr>
                <w:rFonts w:ascii="仿宋" w:hAnsi="仿宋" w:eastAsia="仿宋" w:cs="仿宋"/>
                <w:bCs/>
                <w:sz w:val="24"/>
                <w:szCs w:val="24"/>
              </w:rPr>
            </w:pPr>
            <w:r>
              <w:rPr>
                <w:rFonts w:hint="eastAsia" w:ascii="仿宋" w:hAnsi="仿宋" w:eastAsia="仿宋" w:cs="仿宋"/>
                <w:bCs/>
                <w:sz w:val="24"/>
                <w:szCs w:val="24"/>
              </w:rPr>
              <w:t>技术参数要求及配置内容</w:t>
            </w:r>
          </w:p>
        </w:tc>
        <w:tc>
          <w:tcPr>
            <w:tcW w:w="177" w:type="pct"/>
            <w:tcBorders>
              <w:top w:val="single" w:color="auto" w:sz="4" w:space="0"/>
              <w:left w:val="nil"/>
              <w:bottom w:val="single" w:color="auto" w:sz="4" w:space="0"/>
              <w:right w:val="single" w:color="auto" w:sz="4" w:space="0"/>
            </w:tcBorders>
            <w:vAlign w:val="center"/>
          </w:tcPr>
          <w:p w14:paraId="36689630">
            <w:pPr>
              <w:spacing w:line="276" w:lineRule="auto"/>
              <w:jc w:val="center"/>
              <w:rPr>
                <w:rFonts w:ascii="仿宋" w:hAnsi="仿宋" w:eastAsia="仿宋" w:cs="仿宋"/>
                <w:sz w:val="24"/>
                <w:szCs w:val="24"/>
              </w:rPr>
            </w:pPr>
            <w:r>
              <w:rPr>
                <w:rFonts w:hint="eastAsia" w:ascii="仿宋" w:hAnsi="仿宋" w:eastAsia="仿宋" w:cs="仿宋"/>
                <w:sz w:val="24"/>
                <w:szCs w:val="24"/>
              </w:rPr>
              <w:t>数量</w:t>
            </w:r>
          </w:p>
        </w:tc>
        <w:tc>
          <w:tcPr>
            <w:tcW w:w="192" w:type="pct"/>
            <w:tcBorders>
              <w:top w:val="single" w:color="auto" w:sz="4" w:space="0"/>
              <w:left w:val="nil"/>
              <w:bottom w:val="single" w:color="auto" w:sz="4" w:space="0"/>
              <w:right w:val="single" w:color="auto" w:sz="4" w:space="0"/>
            </w:tcBorders>
            <w:vAlign w:val="center"/>
          </w:tcPr>
          <w:p w14:paraId="65568707">
            <w:pPr>
              <w:spacing w:line="276" w:lineRule="auto"/>
              <w:jc w:val="center"/>
              <w:rPr>
                <w:rFonts w:ascii="仿宋" w:hAnsi="仿宋" w:eastAsia="仿宋" w:cs="仿宋"/>
                <w:sz w:val="24"/>
                <w:szCs w:val="24"/>
              </w:rPr>
            </w:pPr>
            <w:r>
              <w:rPr>
                <w:rFonts w:hint="eastAsia" w:ascii="仿宋" w:hAnsi="仿宋" w:eastAsia="仿宋" w:cs="仿宋"/>
                <w:sz w:val="24"/>
                <w:szCs w:val="24"/>
              </w:rPr>
              <w:t>单位</w:t>
            </w:r>
          </w:p>
        </w:tc>
        <w:tc>
          <w:tcPr>
            <w:tcW w:w="395" w:type="pct"/>
            <w:tcBorders>
              <w:top w:val="single" w:color="auto" w:sz="4" w:space="0"/>
              <w:left w:val="nil"/>
              <w:bottom w:val="single" w:color="auto" w:sz="4" w:space="0"/>
              <w:right w:val="single" w:color="auto" w:sz="4" w:space="0"/>
            </w:tcBorders>
            <w:vAlign w:val="center"/>
          </w:tcPr>
          <w:p w14:paraId="4386FE58">
            <w:pPr>
              <w:spacing w:line="276" w:lineRule="auto"/>
              <w:jc w:val="center"/>
              <w:rPr>
                <w:rFonts w:ascii="仿宋" w:hAnsi="仿宋" w:eastAsia="仿宋" w:cs="仿宋"/>
                <w:sz w:val="24"/>
                <w:szCs w:val="24"/>
              </w:rPr>
            </w:pPr>
            <w:r>
              <w:rPr>
                <w:rFonts w:hint="eastAsia" w:ascii="仿宋" w:hAnsi="仿宋" w:eastAsia="仿宋" w:cs="仿宋"/>
                <w:sz w:val="24"/>
                <w:szCs w:val="24"/>
              </w:rPr>
              <w:t>单价（元）</w:t>
            </w:r>
          </w:p>
        </w:tc>
        <w:tc>
          <w:tcPr>
            <w:tcW w:w="400" w:type="pct"/>
            <w:tcBorders>
              <w:top w:val="single" w:color="auto" w:sz="4" w:space="0"/>
              <w:left w:val="nil"/>
              <w:bottom w:val="single" w:color="auto" w:sz="4" w:space="0"/>
              <w:right w:val="single" w:color="auto" w:sz="4" w:space="0"/>
            </w:tcBorders>
            <w:vAlign w:val="center"/>
          </w:tcPr>
          <w:p w14:paraId="2CD857E7">
            <w:pPr>
              <w:spacing w:line="276" w:lineRule="auto"/>
              <w:jc w:val="center"/>
              <w:rPr>
                <w:rFonts w:ascii="仿宋" w:hAnsi="仿宋" w:eastAsia="仿宋" w:cs="仿宋"/>
                <w:sz w:val="24"/>
                <w:szCs w:val="24"/>
              </w:rPr>
            </w:pPr>
            <w:r>
              <w:rPr>
                <w:rFonts w:hint="eastAsia" w:ascii="仿宋" w:hAnsi="仿宋" w:eastAsia="仿宋" w:cs="仿宋"/>
                <w:sz w:val="24"/>
                <w:szCs w:val="24"/>
              </w:rPr>
              <w:t>小计（元）</w:t>
            </w:r>
          </w:p>
        </w:tc>
      </w:tr>
      <w:tr w14:paraId="4EBCF41C">
        <w:tblPrEx>
          <w:tblCellMar>
            <w:top w:w="0" w:type="dxa"/>
            <w:left w:w="108" w:type="dxa"/>
            <w:bottom w:w="0" w:type="dxa"/>
            <w:right w:w="108" w:type="dxa"/>
          </w:tblCellMar>
        </w:tblPrEx>
        <w:trPr>
          <w:trHeight w:val="556" w:hRule="atLeast"/>
        </w:trPr>
        <w:tc>
          <w:tcPr>
            <w:tcW w:w="201" w:type="pct"/>
            <w:tcBorders>
              <w:top w:val="single" w:color="auto" w:sz="4" w:space="0"/>
              <w:left w:val="single" w:color="auto" w:sz="4" w:space="0"/>
              <w:bottom w:val="single" w:color="auto" w:sz="4" w:space="0"/>
              <w:right w:val="single" w:color="auto" w:sz="4" w:space="0"/>
            </w:tcBorders>
            <w:vAlign w:val="center"/>
          </w:tcPr>
          <w:p w14:paraId="5ABCB597">
            <w:pPr>
              <w:spacing w:line="276"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669" w:type="pct"/>
            <w:tcBorders>
              <w:top w:val="single" w:color="auto" w:sz="4" w:space="0"/>
              <w:left w:val="nil"/>
              <w:bottom w:val="single" w:color="auto" w:sz="4" w:space="0"/>
              <w:right w:val="single" w:color="auto" w:sz="4" w:space="0"/>
            </w:tcBorders>
            <w:vAlign w:val="center"/>
          </w:tcPr>
          <w:p w14:paraId="148F588C">
            <w:pPr>
              <w:adjustRightInd w:val="0"/>
              <w:snapToGrid w:val="0"/>
              <w:jc w:val="center"/>
              <w:rPr>
                <w:rFonts w:ascii="仿宋" w:hAnsi="仿宋" w:eastAsia="仿宋" w:cs="仿宋"/>
                <w:color w:val="auto"/>
                <w:sz w:val="24"/>
                <w:szCs w:val="24"/>
              </w:rPr>
            </w:pPr>
            <w:r>
              <w:rPr>
                <w:rFonts w:hint="eastAsia" w:ascii="仿宋" w:hAnsi="仿宋" w:eastAsia="仿宋" w:cs="仿宋"/>
                <w:color w:val="auto"/>
                <w:sz w:val="24"/>
                <w:szCs w:val="24"/>
              </w:rPr>
              <w:t>微软操作系统及办公软件场地授权服务</w:t>
            </w:r>
          </w:p>
        </w:tc>
        <w:tc>
          <w:tcPr>
            <w:tcW w:w="518" w:type="pct"/>
            <w:tcBorders>
              <w:top w:val="single" w:color="auto" w:sz="4" w:space="0"/>
              <w:left w:val="single" w:color="auto" w:sz="4" w:space="0"/>
              <w:bottom w:val="single" w:color="auto" w:sz="4" w:space="0"/>
              <w:right w:val="single" w:color="auto" w:sz="4" w:space="0"/>
            </w:tcBorders>
            <w:vAlign w:val="center"/>
          </w:tcPr>
          <w:p w14:paraId="5A44B28C">
            <w:pPr>
              <w:spacing w:line="276" w:lineRule="auto"/>
              <w:jc w:val="center"/>
              <w:rPr>
                <w:rFonts w:ascii="仿宋" w:hAnsi="仿宋" w:eastAsia="仿宋" w:cs="仿宋"/>
                <w:color w:val="auto"/>
                <w:sz w:val="24"/>
                <w:szCs w:val="24"/>
              </w:rPr>
            </w:pPr>
            <w:r>
              <w:rPr>
                <w:rFonts w:hint="eastAsia" w:ascii="仿宋" w:hAnsi="仿宋" w:eastAsia="仿宋"/>
                <w:color w:val="auto"/>
                <w:sz w:val="24"/>
              </w:rPr>
              <w:t>Microsoft Windows、Microsoft Office</w:t>
            </w:r>
          </w:p>
        </w:tc>
        <w:tc>
          <w:tcPr>
            <w:tcW w:w="2443" w:type="pct"/>
            <w:tcBorders>
              <w:top w:val="single" w:color="auto" w:sz="4" w:space="0"/>
              <w:left w:val="nil"/>
              <w:bottom w:val="single" w:color="auto" w:sz="4" w:space="0"/>
              <w:right w:val="single" w:color="auto" w:sz="4" w:space="0"/>
            </w:tcBorders>
            <w:vAlign w:val="center"/>
          </w:tcPr>
          <w:p w14:paraId="18828DD6">
            <w:pPr>
              <w:spacing w:line="350" w:lineRule="exact"/>
              <w:jc w:val="left"/>
              <w:rPr>
                <w:rFonts w:ascii="仿宋" w:hAnsi="仿宋" w:eastAsia="仿宋" w:cs="仿宋"/>
                <w:color w:val="auto"/>
                <w:sz w:val="24"/>
                <w:szCs w:val="24"/>
                <w:shd w:val="clear" w:color="auto" w:fill="FFFFFF"/>
              </w:rPr>
            </w:pPr>
            <w:r>
              <w:rPr>
                <w:rFonts w:hint="eastAsia" w:ascii="宋体" w:hAnsi="宋体" w:eastAsia="宋体" w:cs="宋体"/>
                <w:color w:val="auto"/>
                <w:kern w:val="0"/>
                <w:sz w:val="24"/>
              </w:rPr>
              <w:t>一、</w:t>
            </w:r>
            <w:r>
              <w:rPr>
                <w:rFonts w:hint="eastAsia" w:ascii="仿宋" w:hAnsi="仿宋" w:eastAsia="仿宋" w:cs="仿宋"/>
                <w:color w:val="auto"/>
                <w:sz w:val="24"/>
                <w:szCs w:val="24"/>
                <w:shd w:val="clear" w:color="auto" w:fill="FFFFFF"/>
              </w:rPr>
              <w:t>操作系统（桌面系统）软件许可授权服务</w:t>
            </w:r>
          </w:p>
          <w:p w14:paraId="63881093">
            <w:pPr>
              <w:spacing w:line="350" w:lineRule="exact"/>
              <w:jc w:val="left"/>
              <w:rPr>
                <w:rFonts w:ascii="仿宋" w:hAnsi="仿宋" w:eastAsia="仿宋" w:cs="宋体"/>
                <w:color w:val="auto"/>
                <w:kern w:val="0"/>
                <w:sz w:val="24"/>
              </w:rPr>
            </w:pPr>
            <w:r>
              <w:rPr>
                <w:rFonts w:hint="eastAsia" w:ascii="仿宋" w:hAnsi="仿宋" w:eastAsia="仿宋" w:cs="宋体"/>
                <w:color w:val="auto"/>
                <w:kern w:val="0"/>
                <w:sz w:val="24"/>
              </w:rPr>
              <w:t>（一）基本要求</w:t>
            </w:r>
          </w:p>
          <w:p w14:paraId="75F0BC54">
            <w:pPr>
              <w:snapToGrid w:val="0"/>
              <w:spacing w:line="350" w:lineRule="exact"/>
              <w:jc w:val="left"/>
              <w:rPr>
                <w:rFonts w:ascii="仿宋" w:hAnsi="仿宋" w:eastAsia="仿宋" w:cs="宋体"/>
                <w:color w:val="auto"/>
                <w:kern w:val="0"/>
                <w:sz w:val="24"/>
              </w:rPr>
            </w:pPr>
            <w:r>
              <w:rPr>
                <w:rFonts w:hint="eastAsia" w:ascii="宋体" w:hAnsi="宋体" w:eastAsia="宋体" w:cs="宋体"/>
                <w:color w:val="auto"/>
                <w:kern w:val="0"/>
                <w:sz w:val="24"/>
                <w:lang w:eastAsia="zh-CN"/>
              </w:rPr>
              <w:t>▲</w:t>
            </w:r>
            <w:r>
              <w:rPr>
                <w:rFonts w:hint="eastAsia" w:ascii="仿宋" w:hAnsi="仿宋" w:eastAsia="仿宋" w:cs="宋体"/>
                <w:color w:val="auto"/>
                <w:kern w:val="0"/>
                <w:sz w:val="24"/>
              </w:rPr>
              <w:t>1.授权方式：校园正版协议（Campus Agreement）（非OEM版）。</w:t>
            </w:r>
          </w:p>
          <w:p w14:paraId="2F75D60E">
            <w:pPr>
              <w:spacing w:line="350" w:lineRule="exact"/>
              <w:jc w:val="left"/>
              <w:rPr>
                <w:rFonts w:ascii="仿宋" w:hAnsi="仿宋" w:eastAsia="仿宋" w:cs="宋体"/>
                <w:color w:val="auto"/>
                <w:kern w:val="0"/>
                <w:sz w:val="24"/>
              </w:rPr>
            </w:pPr>
            <w:r>
              <w:rPr>
                <w:rFonts w:hint="eastAsia" w:ascii="仿宋" w:hAnsi="仿宋" w:eastAsia="仿宋" w:cs="宋体"/>
                <w:color w:val="auto"/>
                <w:kern w:val="0"/>
                <w:sz w:val="24"/>
              </w:rPr>
              <w:t>2.涵盖范围：学校办公室、教室、实验室和图书馆等场所的计算机（包括教职工电脑和笔记本）。</w:t>
            </w:r>
          </w:p>
          <w:p w14:paraId="56A1B485">
            <w:pPr>
              <w:spacing w:line="350" w:lineRule="exact"/>
              <w:jc w:val="left"/>
              <w:rPr>
                <w:rFonts w:ascii="仿宋" w:hAnsi="仿宋" w:eastAsia="仿宋" w:cs="宋体"/>
                <w:color w:val="auto"/>
                <w:kern w:val="0"/>
                <w:sz w:val="24"/>
              </w:rPr>
            </w:pPr>
            <w:r>
              <w:rPr>
                <w:rFonts w:hint="eastAsia" w:ascii="宋体" w:hAnsi="宋体" w:eastAsia="宋体" w:cs="宋体"/>
                <w:color w:val="auto"/>
                <w:kern w:val="0"/>
                <w:sz w:val="24"/>
                <w:lang w:eastAsia="zh-CN"/>
              </w:rPr>
              <w:t>▲</w:t>
            </w:r>
            <w:r>
              <w:rPr>
                <w:rFonts w:hint="eastAsia" w:ascii="仿宋" w:hAnsi="仿宋" w:eastAsia="仿宋" w:cs="宋体"/>
                <w:color w:val="auto"/>
                <w:kern w:val="0"/>
                <w:sz w:val="24"/>
              </w:rPr>
              <w:t>3.授权版本：不低于Windows 11/10</w:t>
            </w:r>
            <w:r>
              <w:rPr>
                <w:rFonts w:hint="eastAsia" w:ascii="仿宋" w:hAnsi="仿宋" w:eastAsia="仿宋" w:cs="仿宋"/>
                <w:color w:val="auto"/>
                <w:sz w:val="24"/>
                <w:szCs w:val="24"/>
              </w:rPr>
              <w:t>操作系统</w:t>
            </w:r>
            <w:r>
              <w:rPr>
                <w:rFonts w:hint="eastAsia" w:ascii="仿宋" w:hAnsi="仿宋" w:eastAsia="仿宋" w:cs="宋体"/>
                <w:color w:val="auto"/>
                <w:kern w:val="0"/>
                <w:sz w:val="24"/>
              </w:rPr>
              <w:t>专业版。</w:t>
            </w:r>
          </w:p>
          <w:p w14:paraId="14973F91">
            <w:pPr>
              <w:spacing w:line="350" w:lineRule="exact"/>
              <w:jc w:val="left"/>
              <w:rPr>
                <w:rFonts w:ascii="仿宋" w:hAnsi="仿宋" w:eastAsia="仿宋" w:cs="宋体"/>
                <w:color w:val="auto"/>
                <w:kern w:val="0"/>
                <w:sz w:val="24"/>
              </w:rPr>
            </w:pPr>
            <w:r>
              <w:rPr>
                <w:rFonts w:hint="eastAsia" w:ascii="宋体" w:hAnsi="宋体" w:eastAsia="宋体" w:cs="宋体"/>
                <w:color w:val="auto"/>
                <w:kern w:val="0"/>
                <w:sz w:val="24"/>
                <w:lang w:eastAsia="zh-CN"/>
              </w:rPr>
              <w:t>▲</w:t>
            </w:r>
            <w:r>
              <w:rPr>
                <w:rFonts w:ascii="仿宋" w:hAnsi="仿宋" w:eastAsia="仿宋" w:cs="宋体"/>
                <w:color w:val="auto"/>
                <w:kern w:val="0"/>
                <w:sz w:val="24"/>
              </w:rPr>
              <w:t>4</w:t>
            </w:r>
            <w:r>
              <w:rPr>
                <w:rFonts w:hint="eastAsia" w:ascii="仿宋" w:hAnsi="仿宋" w:eastAsia="仿宋" w:cs="宋体"/>
                <w:color w:val="auto"/>
                <w:kern w:val="0"/>
                <w:sz w:val="24"/>
              </w:rPr>
              <w:t>.服务期：</w:t>
            </w:r>
            <w:r>
              <w:rPr>
                <w:rFonts w:ascii="仿宋" w:hAnsi="仿宋" w:eastAsia="仿宋" w:cs="宋体"/>
                <w:color w:val="auto"/>
                <w:kern w:val="0"/>
                <w:sz w:val="24"/>
              </w:rPr>
              <w:t>1</w:t>
            </w:r>
            <w:r>
              <w:rPr>
                <w:rFonts w:hint="eastAsia" w:ascii="仿宋" w:hAnsi="仿宋" w:eastAsia="仿宋" w:cs="宋体"/>
                <w:color w:val="auto"/>
                <w:kern w:val="0"/>
                <w:sz w:val="24"/>
              </w:rPr>
              <w:t>年</w:t>
            </w:r>
          </w:p>
          <w:p w14:paraId="096E4AB6">
            <w:pPr>
              <w:spacing w:line="350" w:lineRule="exact"/>
              <w:jc w:val="left"/>
              <w:rPr>
                <w:rFonts w:ascii="仿宋" w:hAnsi="仿宋" w:eastAsia="仿宋" w:cs="宋体"/>
                <w:color w:val="auto"/>
                <w:kern w:val="0"/>
                <w:sz w:val="24"/>
              </w:rPr>
            </w:pPr>
            <w:r>
              <w:rPr>
                <w:rFonts w:hint="eastAsia" w:ascii="宋体" w:hAnsi="宋体" w:eastAsia="宋体" w:cs="宋体"/>
                <w:color w:val="auto"/>
                <w:kern w:val="0"/>
                <w:sz w:val="24"/>
                <w:lang w:eastAsia="zh-CN"/>
              </w:rPr>
              <w:t>▲</w:t>
            </w:r>
            <w:r>
              <w:rPr>
                <w:rFonts w:ascii="仿宋" w:hAnsi="仿宋" w:eastAsia="仿宋" w:cs="宋体"/>
                <w:color w:val="auto"/>
                <w:kern w:val="0"/>
                <w:sz w:val="24"/>
              </w:rPr>
              <w:t>5</w:t>
            </w:r>
            <w:r>
              <w:rPr>
                <w:rFonts w:hint="eastAsia" w:ascii="仿宋" w:hAnsi="仿宋" w:eastAsia="仿宋" w:cs="宋体"/>
                <w:color w:val="auto"/>
                <w:kern w:val="0"/>
                <w:sz w:val="24"/>
              </w:rPr>
              <w:t>.服务有效期内，软件如有升级版本，授权对升级版本同样有效。</w:t>
            </w:r>
          </w:p>
          <w:p w14:paraId="6734E1F6">
            <w:pPr>
              <w:spacing w:line="350" w:lineRule="exact"/>
              <w:jc w:val="left"/>
              <w:rPr>
                <w:rFonts w:ascii="仿宋" w:hAnsi="仿宋" w:eastAsia="仿宋" w:cs="宋体"/>
                <w:color w:val="auto"/>
                <w:kern w:val="0"/>
                <w:sz w:val="24"/>
              </w:rPr>
            </w:pPr>
            <w:r>
              <w:rPr>
                <w:rFonts w:hint="eastAsia" w:ascii="宋体" w:hAnsi="宋体" w:eastAsia="宋体" w:cs="宋体"/>
                <w:color w:val="auto"/>
                <w:kern w:val="0"/>
                <w:sz w:val="24"/>
                <w:lang w:eastAsia="zh-CN"/>
              </w:rPr>
              <w:t>▲</w:t>
            </w:r>
            <w:r>
              <w:rPr>
                <w:rFonts w:ascii="仿宋" w:hAnsi="仿宋" w:eastAsia="仿宋" w:cs="宋体"/>
                <w:color w:val="auto"/>
                <w:kern w:val="0"/>
                <w:sz w:val="24"/>
              </w:rPr>
              <w:t>6</w:t>
            </w:r>
            <w:r>
              <w:rPr>
                <w:rFonts w:hint="eastAsia" w:ascii="仿宋" w:hAnsi="仿宋" w:eastAsia="仿宋" w:cs="宋体"/>
                <w:color w:val="auto"/>
                <w:kern w:val="0"/>
                <w:sz w:val="24"/>
              </w:rPr>
              <w:t>.服务有效期间，价格不得变动，新增计算机不再加收任何费用。</w:t>
            </w:r>
          </w:p>
          <w:p w14:paraId="31543164">
            <w:pPr>
              <w:spacing w:line="350" w:lineRule="exact"/>
              <w:jc w:val="left"/>
              <w:rPr>
                <w:rFonts w:ascii="仿宋" w:hAnsi="仿宋" w:eastAsia="仿宋" w:cs="宋体"/>
                <w:color w:val="auto"/>
                <w:sz w:val="24"/>
              </w:rPr>
            </w:pPr>
            <w:r>
              <w:rPr>
                <w:rFonts w:hint="eastAsia" w:ascii="宋体" w:hAnsi="宋体" w:eastAsia="宋体" w:cs="宋体"/>
                <w:color w:val="auto"/>
                <w:kern w:val="0"/>
                <w:sz w:val="24"/>
              </w:rPr>
              <w:t>（</w:t>
            </w:r>
            <w:r>
              <w:rPr>
                <w:rFonts w:hint="eastAsia" w:ascii="仿宋" w:hAnsi="仿宋" w:eastAsia="仿宋" w:cs="宋体"/>
                <w:color w:val="auto"/>
                <w:sz w:val="24"/>
              </w:rPr>
              <w:t>二</w:t>
            </w:r>
            <w:r>
              <w:rPr>
                <w:rFonts w:hint="eastAsia" w:ascii="宋体" w:hAnsi="宋体" w:eastAsia="宋体" w:cs="宋体"/>
                <w:color w:val="auto"/>
                <w:kern w:val="0"/>
                <w:sz w:val="24"/>
              </w:rPr>
              <w:t>）</w:t>
            </w:r>
            <w:r>
              <w:rPr>
                <w:rFonts w:ascii="仿宋" w:hAnsi="仿宋" w:eastAsia="仿宋" w:cs="宋体"/>
                <w:color w:val="auto"/>
                <w:sz w:val="24"/>
              </w:rPr>
              <w:t>服务要求</w:t>
            </w:r>
          </w:p>
          <w:p w14:paraId="022E8B8D">
            <w:pPr>
              <w:spacing w:line="350" w:lineRule="exact"/>
              <w:jc w:val="left"/>
              <w:rPr>
                <w:rFonts w:ascii="仿宋" w:hAnsi="仿宋" w:eastAsia="仿宋" w:cs="宋体"/>
                <w:color w:val="auto"/>
                <w:kern w:val="0"/>
                <w:sz w:val="24"/>
              </w:rPr>
            </w:pPr>
            <w:r>
              <w:rPr>
                <w:rFonts w:hint="eastAsia" w:ascii="仿宋" w:hAnsi="仿宋" w:eastAsia="仿宋" w:cs="宋体"/>
                <w:color w:val="auto"/>
                <w:kern w:val="0"/>
                <w:sz w:val="24"/>
              </w:rPr>
              <w:t>提供软件补丁更新和技术支持(包括电话支持和在线支持</w:t>
            </w:r>
            <w:r>
              <w:rPr>
                <w:rFonts w:ascii="仿宋" w:hAnsi="仿宋" w:eastAsia="仿宋" w:cs="宋体"/>
                <w:color w:val="auto"/>
                <w:kern w:val="0"/>
                <w:sz w:val="24"/>
              </w:rPr>
              <w:t>)。</w:t>
            </w:r>
          </w:p>
          <w:p w14:paraId="4EAC63E2">
            <w:pPr>
              <w:spacing w:line="350" w:lineRule="exact"/>
              <w:jc w:val="left"/>
              <w:rPr>
                <w:rFonts w:ascii="仿宋" w:hAnsi="仿宋" w:eastAsia="仿宋" w:cs="仿宋"/>
                <w:color w:val="auto"/>
                <w:sz w:val="24"/>
                <w:szCs w:val="24"/>
                <w:shd w:val="clear" w:color="auto" w:fill="FFFFFF"/>
              </w:rPr>
            </w:pPr>
            <w:r>
              <w:rPr>
                <w:rFonts w:hint="eastAsia" w:ascii="仿宋" w:hAnsi="仿宋" w:eastAsia="仿宋" w:cs="仿宋"/>
                <w:color w:val="auto"/>
                <w:sz w:val="24"/>
                <w:szCs w:val="24"/>
                <w:shd w:val="clear" w:color="auto" w:fill="FFFFFF"/>
              </w:rPr>
              <w:t>二、办公软件（Office）套件软件许可授权服务</w:t>
            </w:r>
          </w:p>
          <w:p w14:paraId="4680AFC4">
            <w:pPr>
              <w:pStyle w:val="15"/>
              <w:numPr>
                <w:ilvl w:val="0"/>
                <w:numId w:val="2"/>
              </w:numPr>
              <w:spacing w:line="350" w:lineRule="exact"/>
              <w:ind w:firstLineChars="0"/>
              <w:jc w:val="left"/>
              <w:rPr>
                <w:rFonts w:ascii="仿宋" w:hAnsi="仿宋" w:eastAsia="仿宋" w:cs="宋体"/>
                <w:color w:val="auto"/>
                <w:sz w:val="24"/>
              </w:rPr>
            </w:pPr>
            <w:r>
              <w:rPr>
                <w:rFonts w:hint="eastAsia" w:ascii="仿宋" w:hAnsi="仿宋" w:eastAsia="仿宋" w:cs="宋体"/>
                <w:color w:val="auto"/>
                <w:sz w:val="24"/>
              </w:rPr>
              <w:t>基本要求</w:t>
            </w:r>
          </w:p>
          <w:p w14:paraId="51E3DACD">
            <w:pPr>
              <w:tabs>
                <w:tab w:val="left" w:pos="312"/>
              </w:tabs>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hint="eastAsia" w:ascii="仿宋" w:hAnsi="仿宋" w:eastAsia="仿宋" w:cs="宋体"/>
                <w:color w:val="auto"/>
                <w:sz w:val="24"/>
              </w:rPr>
              <w:t>1.授权方式：校园正版协议（Campus Agreement）（非OEM版）。</w:t>
            </w:r>
          </w:p>
          <w:p w14:paraId="2D4DDA31">
            <w:pPr>
              <w:spacing w:line="350" w:lineRule="exact"/>
              <w:jc w:val="left"/>
              <w:rPr>
                <w:rFonts w:ascii="仿宋" w:hAnsi="仿宋" w:eastAsia="仿宋" w:cs="宋体"/>
                <w:color w:val="auto"/>
                <w:sz w:val="24"/>
              </w:rPr>
            </w:pPr>
            <w:r>
              <w:rPr>
                <w:rFonts w:hint="eastAsia" w:ascii="仿宋" w:hAnsi="仿宋" w:eastAsia="仿宋" w:cs="宋体"/>
                <w:color w:val="auto"/>
                <w:sz w:val="24"/>
              </w:rPr>
              <w:t>2.涵盖范围：学校办公室、教室、实验室和图书馆等场所的计算机（包括教职工电脑和笔记本）。</w:t>
            </w:r>
          </w:p>
          <w:p w14:paraId="1EB85CF9">
            <w:pPr>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hint="eastAsia" w:ascii="仿宋" w:hAnsi="仿宋" w:eastAsia="仿宋" w:cs="宋体"/>
                <w:color w:val="auto"/>
                <w:sz w:val="24"/>
              </w:rPr>
              <w:t xml:space="preserve">3.授权版本：不低于Office </w:t>
            </w:r>
            <w:r>
              <w:rPr>
                <w:rFonts w:ascii="仿宋" w:hAnsi="仿宋" w:eastAsia="仿宋" w:cs="宋体"/>
                <w:color w:val="auto"/>
                <w:sz w:val="24"/>
              </w:rPr>
              <w:t>2024/</w:t>
            </w:r>
            <w:r>
              <w:rPr>
                <w:rFonts w:hint="eastAsia" w:ascii="仿宋" w:hAnsi="仿宋" w:eastAsia="仿宋" w:cs="宋体"/>
                <w:color w:val="auto"/>
                <w:sz w:val="24"/>
              </w:rPr>
              <w:t xml:space="preserve">2021/2019/2016 专业增强版（Windows）、Office </w:t>
            </w:r>
            <w:r>
              <w:rPr>
                <w:rFonts w:ascii="仿宋" w:hAnsi="仿宋" w:eastAsia="仿宋" w:cs="宋体"/>
                <w:color w:val="auto"/>
                <w:sz w:val="24"/>
              </w:rPr>
              <w:t>2024/</w:t>
            </w:r>
            <w:r>
              <w:rPr>
                <w:rFonts w:hint="eastAsia" w:ascii="仿宋" w:hAnsi="仿宋" w:eastAsia="仿宋" w:cs="宋体"/>
                <w:color w:val="auto"/>
                <w:sz w:val="24"/>
              </w:rPr>
              <w:t>2021/2019/2016标准版（Mac）。</w:t>
            </w:r>
          </w:p>
          <w:p w14:paraId="21D387C3">
            <w:pPr>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ascii="仿宋" w:hAnsi="仿宋" w:eastAsia="仿宋" w:cs="宋体"/>
                <w:color w:val="auto"/>
                <w:sz w:val="24"/>
              </w:rPr>
              <w:t>4</w:t>
            </w:r>
            <w:r>
              <w:rPr>
                <w:rFonts w:hint="eastAsia" w:ascii="仿宋" w:hAnsi="仿宋" w:eastAsia="仿宋" w:cs="宋体"/>
                <w:color w:val="auto"/>
                <w:sz w:val="24"/>
              </w:rPr>
              <w:t>.服务期：</w:t>
            </w:r>
            <w:r>
              <w:rPr>
                <w:rFonts w:ascii="仿宋" w:hAnsi="仿宋" w:eastAsia="仿宋" w:cs="宋体"/>
                <w:color w:val="auto"/>
                <w:sz w:val="24"/>
              </w:rPr>
              <w:t>1</w:t>
            </w:r>
            <w:r>
              <w:rPr>
                <w:rFonts w:hint="eastAsia" w:ascii="仿宋" w:hAnsi="仿宋" w:eastAsia="仿宋" w:cs="宋体"/>
                <w:color w:val="auto"/>
                <w:sz w:val="24"/>
              </w:rPr>
              <w:t>年。</w:t>
            </w:r>
          </w:p>
          <w:p w14:paraId="4B0C0C5F">
            <w:pPr>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ascii="仿宋" w:hAnsi="仿宋" w:eastAsia="仿宋" w:cs="宋体"/>
                <w:color w:val="auto"/>
                <w:sz w:val="24"/>
              </w:rPr>
              <w:t>5</w:t>
            </w:r>
            <w:r>
              <w:rPr>
                <w:rFonts w:hint="eastAsia" w:ascii="仿宋" w:hAnsi="仿宋" w:eastAsia="仿宋" w:cs="宋体"/>
                <w:color w:val="auto"/>
                <w:sz w:val="24"/>
              </w:rPr>
              <w:t>.服务有效期内，软件如有升级版本，授权对升级版本同样有效。</w:t>
            </w:r>
          </w:p>
          <w:p w14:paraId="28436BC2">
            <w:pPr>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ascii="仿宋" w:hAnsi="仿宋" w:eastAsia="仿宋" w:cs="宋体"/>
                <w:color w:val="auto"/>
                <w:sz w:val="24"/>
              </w:rPr>
              <w:t>6</w:t>
            </w:r>
            <w:r>
              <w:rPr>
                <w:rFonts w:hint="eastAsia" w:ascii="仿宋" w:hAnsi="仿宋" w:eastAsia="仿宋" w:cs="宋体"/>
                <w:color w:val="auto"/>
                <w:sz w:val="24"/>
              </w:rPr>
              <w:t>.服务有效期间，价格不得变动，新增计算机不再加收任何费用。</w:t>
            </w:r>
          </w:p>
          <w:p w14:paraId="3D89C3C0">
            <w:pPr>
              <w:spacing w:line="350" w:lineRule="exact"/>
              <w:jc w:val="left"/>
              <w:rPr>
                <w:rFonts w:ascii="仿宋" w:hAnsi="仿宋" w:eastAsia="仿宋" w:cs="宋体"/>
                <w:color w:val="auto"/>
                <w:sz w:val="24"/>
              </w:rPr>
            </w:pPr>
            <w:r>
              <w:rPr>
                <w:rFonts w:hint="eastAsia" w:ascii="仿宋" w:hAnsi="仿宋" w:eastAsia="仿宋" w:cs="宋体"/>
                <w:color w:val="auto"/>
                <w:sz w:val="24"/>
              </w:rPr>
              <w:t>（二）功能要求</w:t>
            </w:r>
          </w:p>
          <w:p w14:paraId="69276128">
            <w:pPr>
              <w:spacing w:line="350" w:lineRule="exact"/>
              <w:jc w:val="left"/>
              <w:rPr>
                <w:rFonts w:ascii="仿宋" w:hAnsi="仿宋" w:eastAsia="仿宋" w:cs="宋体"/>
                <w:color w:val="auto"/>
                <w:sz w:val="24"/>
              </w:rPr>
            </w:pPr>
            <w:r>
              <w:rPr>
                <w:rFonts w:hint="eastAsia" w:ascii="仿宋" w:hAnsi="仿宋" w:eastAsia="仿宋" w:cs="宋体"/>
                <w:color w:val="auto"/>
                <w:sz w:val="24"/>
              </w:rPr>
              <w:t>1.软件须支持Windows平台和mac平台。</w:t>
            </w:r>
          </w:p>
          <w:p w14:paraId="26C73584">
            <w:pPr>
              <w:spacing w:line="350" w:lineRule="exact"/>
              <w:jc w:val="left"/>
              <w:rPr>
                <w:rFonts w:ascii="仿宋" w:hAnsi="仿宋" w:eastAsia="仿宋" w:cs="宋体"/>
                <w:color w:val="auto"/>
                <w:sz w:val="24"/>
              </w:rPr>
            </w:pPr>
            <w:r>
              <w:rPr>
                <w:rFonts w:hint="eastAsia" w:ascii="宋体" w:hAnsi="宋体" w:eastAsia="宋体" w:cs="宋体"/>
                <w:color w:val="auto"/>
                <w:kern w:val="0"/>
                <w:sz w:val="24"/>
                <w:lang w:eastAsia="zh-CN"/>
              </w:rPr>
              <w:t>▲</w:t>
            </w:r>
            <w:r>
              <w:rPr>
                <w:rFonts w:hint="eastAsia" w:ascii="仿宋" w:hAnsi="仿宋" w:eastAsia="仿宋" w:cs="宋体"/>
                <w:color w:val="auto"/>
                <w:sz w:val="24"/>
              </w:rPr>
              <w:t>2.必须包含以下组件：</w:t>
            </w:r>
          </w:p>
          <w:p w14:paraId="435CD7B4">
            <w:pPr>
              <w:spacing w:line="350" w:lineRule="exact"/>
              <w:jc w:val="left"/>
              <w:rPr>
                <w:rFonts w:ascii="仿宋" w:hAnsi="仿宋" w:eastAsia="仿宋" w:cs="宋体"/>
                <w:color w:val="auto"/>
                <w:sz w:val="24"/>
              </w:rPr>
            </w:pPr>
            <w:r>
              <w:rPr>
                <w:rFonts w:hint="eastAsia" w:ascii="仿宋" w:hAnsi="仿宋" w:eastAsia="仿宋" w:cs="宋体"/>
                <w:color w:val="auto"/>
                <w:sz w:val="24"/>
              </w:rPr>
              <w:t>（1）文字处理软件；</w:t>
            </w:r>
          </w:p>
          <w:p w14:paraId="5BCBEA8F">
            <w:pPr>
              <w:spacing w:line="350" w:lineRule="exact"/>
              <w:jc w:val="left"/>
              <w:rPr>
                <w:rFonts w:ascii="仿宋" w:hAnsi="仿宋" w:eastAsia="仿宋" w:cs="宋体"/>
                <w:color w:val="auto"/>
                <w:sz w:val="24"/>
              </w:rPr>
            </w:pPr>
            <w:r>
              <w:rPr>
                <w:rFonts w:hint="eastAsia" w:ascii="仿宋" w:hAnsi="仿宋" w:eastAsia="仿宋" w:cs="宋体"/>
                <w:color w:val="auto"/>
                <w:sz w:val="24"/>
              </w:rPr>
              <w:t>（2）电子表格软件；</w:t>
            </w:r>
          </w:p>
          <w:p w14:paraId="38F24571">
            <w:pPr>
              <w:spacing w:line="350" w:lineRule="exact"/>
              <w:jc w:val="left"/>
              <w:rPr>
                <w:rFonts w:ascii="仿宋" w:hAnsi="仿宋" w:eastAsia="仿宋" w:cs="宋体"/>
                <w:color w:val="auto"/>
                <w:sz w:val="24"/>
              </w:rPr>
            </w:pPr>
            <w:r>
              <w:rPr>
                <w:rFonts w:hint="eastAsia" w:ascii="仿宋" w:hAnsi="仿宋" w:eastAsia="仿宋" w:cs="宋体"/>
                <w:color w:val="auto"/>
                <w:sz w:val="24"/>
              </w:rPr>
              <w:t>（3）PPT演示软件；</w:t>
            </w:r>
          </w:p>
          <w:p w14:paraId="415EE38E">
            <w:pPr>
              <w:spacing w:line="350" w:lineRule="exact"/>
              <w:jc w:val="left"/>
              <w:rPr>
                <w:rFonts w:ascii="仿宋" w:hAnsi="仿宋" w:eastAsia="仿宋" w:cs="宋体"/>
                <w:color w:val="auto"/>
                <w:sz w:val="24"/>
              </w:rPr>
            </w:pPr>
            <w:r>
              <w:rPr>
                <w:rFonts w:hint="eastAsia" w:ascii="仿宋" w:hAnsi="仿宋" w:eastAsia="仿宋" w:cs="宋体"/>
                <w:color w:val="auto"/>
                <w:sz w:val="24"/>
              </w:rPr>
              <w:t>（4）电子邮件访问软件；</w:t>
            </w:r>
          </w:p>
          <w:p w14:paraId="5F3BA7CB">
            <w:pPr>
              <w:spacing w:line="350" w:lineRule="exact"/>
              <w:jc w:val="left"/>
              <w:rPr>
                <w:rFonts w:ascii="仿宋" w:hAnsi="仿宋" w:eastAsia="仿宋" w:cs="宋体"/>
                <w:color w:val="auto"/>
                <w:sz w:val="24"/>
              </w:rPr>
            </w:pPr>
            <w:r>
              <w:rPr>
                <w:rFonts w:hint="eastAsia" w:ascii="仿宋" w:hAnsi="仿宋" w:eastAsia="仿宋" w:cs="宋体"/>
                <w:color w:val="auto"/>
                <w:sz w:val="24"/>
              </w:rPr>
              <w:t>（5）电子笔记本软件；</w:t>
            </w:r>
          </w:p>
          <w:p w14:paraId="1D72F25A">
            <w:pPr>
              <w:spacing w:line="350" w:lineRule="exact"/>
              <w:jc w:val="left"/>
              <w:rPr>
                <w:rFonts w:ascii="仿宋" w:hAnsi="仿宋" w:eastAsia="仿宋" w:cs="宋体"/>
                <w:color w:val="auto"/>
                <w:sz w:val="24"/>
              </w:rPr>
            </w:pPr>
            <w:r>
              <w:rPr>
                <w:rFonts w:hint="eastAsia" w:ascii="宋体" w:hAnsi="宋体" w:eastAsia="宋体" w:cs="宋体"/>
                <w:color w:val="auto"/>
                <w:kern w:val="0"/>
                <w:sz w:val="24"/>
              </w:rPr>
              <w:t>（</w:t>
            </w:r>
            <w:r>
              <w:rPr>
                <w:rFonts w:hint="eastAsia" w:ascii="仿宋" w:hAnsi="仿宋" w:eastAsia="仿宋" w:cs="宋体"/>
                <w:color w:val="auto"/>
                <w:sz w:val="24"/>
              </w:rPr>
              <w:t>三</w:t>
            </w:r>
            <w:r>
              <w:rPr>
                <w:rFonts w:hint="eastAsia" w:ascii="宋体" w:hAnsi="宋体" w:eastAsia="宋体" w:cs="宋体"/>
                <w:color w:val="auto"/>
                <w:kern w:val="0"/>
                <w:sz w:val="24"/>
              </w:rPr>
              <w:t>）</w:t>
            </w:r>
            <w:r>
              <w:rPr>
                <w:rFonts w:hint="eastAsia" w:ascii="仿宋" w:hAnsi="仿宋" w:eastAsia="仿宋" w:cs="宋体"/>
                <w:color w:val="auto"/>
                <w:sz w:val="24"/>
              </w:rPr>
              <w:t>服务要求</w:t>
            </w:r>
          </w:p>
          <w:p w14:paraId="0EA103D8">
            <w:pPr>
              <w:spacing w:line="350" w:lineRule="exact"/>
              <w:jc w:val="left"/>
              <w:rPr>
                <w:rFonts w:ascii="仿宋" w:hAnsi="仿宋" w:eastAsia="仿宋" w:cs="宋体"/>
                <w:color w:val="auto"/>
                <w:kern w:val="0"/>
                <w:sz w:val="24"/>
              </w:rPr>
            </w:pPr>
            <w:r>
              <w:rPr>
                <w:rFonts w:hint="eastAsia" w:ascii="仿宋" w:hAnsi="仿宋" w:eastAsia="仿宋" w:cs="宋体"/>
                <w:color w:val="auto"/>
                <w:kern w:val="0"/>
                <w:sz w:val="24"/>
              </w:rPr>
              <w:t>提供软件补丁更新和技术支持（包括电话支持和在线支持）。</w:t>
            </w:r>
          </w:p>
          <w:p w14:paraId="521D3AED">
            <w:pPr>
              <w:spacing w:line="350" w:lineRule="exact"/>
              <w:jc w:val="left"/>
              <w:rPr>
                <w:rFonts w:ascii="仿宋" w:hAnsi="仿宋" w:eastAsia="仿宋" w:cs="宋体"/>
                <w:color w:val="auto"/>
                <w:kern w:val="0"/>
                <w:sz w:val="24"/>
              </w:rPr>
            </w:pPr>
            <w:r>
              <w:rPr>
                <w:rFonts w:hint="eastAsia" w:ascii="仿宋" w:hAnsi="仿宋" w:eastAsia="仿宋" w:cs="宋体"/>
                <w:color w:val="auto"/>
                <w:kern w:val="0"/>
                <w:sz w:val="24"/>
              </w:rPr>
              <w:t>三、正版软件管理与服务平台服务</w:t>
            </w:r>
          </w:p>
          <w:p w14:paraId="58E59999">
            <w:pPr>
              <w:spacing w:line="350" w:lineRule="exact"/>
              <w:jc w:val="left"/>
              <w:rPr>
                <w:rFonts w:ascii="仿宋" w:hAnsi="仿宋" w:eastAsia="仿宋"/>
                <w:color w:val="auto"/>
                <w:sz w:val="24"/>
              </w:rPr>
            </w:pPr>
            <w:r>
              <w:rPr>
                <w:rFonts w:hint="eastAsia" w:ascii="仿宋" w:hAnsi="仿宋" w:eastAsia="仿宋"/>
                <w:color w:val="auto"/>
                <w:sz w:val="24"/>
              </w:rPr>
              <w:t>(一)基本要求</w:t>
            </w:r>
          </w:p>
          <w:p w14:paraId="0C3236AB">
            <w:pPr>
              <w:spacing w:line="350" w:lineRule="exact"/>
              <w:jc w:val="left"/>
              <w:rPr>
                <w:rFonts w:ascii="仿宋" w:hAnsi="仿宋" w:eastAsia="仿宋"/>
                <w:color w:val="auto"/>
                <w:sz w:val="24"/>
              </w:rPr>
            </w:pPr>
            <w:r>
              <w:rPr>
                <w:rFonts w:hint="eastAsia" w:ascii="仿宋" w:hAnsi="仿宋" w:eastAsia="仿宋"/>
                <w:color w:val="auto"/>
                <w:sz w:val="24"/>
                <w:lang w:eastAsia="zh-CN"/>
              </w:rPr>
              <w:t>▲</w:t>
            </w:r>
            <w:r>
              <w:rPr>
                <w:rFonts w:hint="eastAsia" w:ascii="仿宋" w:hAnsi="仿宋" w:eastAsia="仿宋"/>
                <w:color w:val="auto"/>
                <w:sz w:val="24"/>
              </w:rPr>
              <w:t>1.</w:t>
            </w:r>
            <w:r>
              <w:rPr>
                <w:rFonts w:hint="eastAsia" w:ascii="仿宋" w:hAnsi="仿宋" w:eastAsia="仿宋" w:cs="仿宋"/>
                <w:color w:val="auto"/>
                <w:sz w:val="24"/>
                <w:szCs w:val="24"/>
              </w:rPr>
              <w:t>提供正版软件管理与服务平台并完成本地部署及交付工作。包括：平台服务器部署及配置、与学校统一身份认证系统对接及配置等。</w:t>
            </w:r>
          </w:p>
          <w:p w14:paraId="7C004912">
            <w:pPr>
              <w:spacing w:line="350" w:lineRule="exact"/>
              <w:jc w:val="left"/>
              <w:rPr>
                <w:rFonts w:ascii="仿宋" w:hAnsi="仿宋" w:eastAsia="仿宋"/>
                <w:color w:val="auto"/>
                <w:sz w:val="24"/>
              </w:rPr>
            </w:pPr>
            <w:r>
              <w:rPr>
                <w:rFonts w:hint="eastAsia" w:ascii="仿宋" w:hAnsi="仿宋" w:eastAsia="仿宋"/>
                <w:color w:val="auto"/>
                <w:sz w:val="24"/>
                <w:lang w:eastAsia="zh-CN"/>
              </w:rPr>
              <w:t>▲</w:t>
            </w:r>
            <w:r>
              <w:rPr>
                <w:rFonts w:hint="eastAsia" w:ascii="仿宋" w:hAnsi="仿宋" w:eastAsia="仿宋"/>
                <w:color w:val="auto"/>
                <w:sz w:val="24"/>
              </w:rPr>
              <w:t>2.服务期:1年。</w:t>
            </w:r>
          </w:p>
          <w:p w14:paraId="72C74E96">
            <w:pPr>
              <w:spacing w:line="350" w:lineRule="exact"/>
              <w:jc w:val="left"/>
              <w:rPr>
                <w:rFonts w:ascii="仿宋" w:hAnsi="仿宋" w:eastAsia="仿宋" w:cs="宋体"/>
                <w:color w:val="auto"/>
                <w:sz w:val="24"/>
              </w:rPr>
            </w:pPr>
            <w:r>
              <w:rPr>
                <w:rFonts w:hint="eastAsia" w:ascii="仿宋" w:hAnsi="仿宋" w:eastAsia="仿宋" w:cs="宋体"/>
                <w:color w:val="auto"/>
                <w:sz w:val="24"/>
              </w:rPr>
              <w:t>（二）功能要求</w:t>
            </w:r>
          </w:p>
          <w:p w14:paraId="631ECCF2">
            <w:pPr>
              <w:spacing w:line="350" w:lineRule="exact"/>
              <w:jc w:val="left"/>
              <w:rPr>
                <w:rFonts w:hint="default" w:ascii="仿宋" w:hAnsi="仿宋" w:eastAsia="仿宋"/>
                <w:strike/>
                <w:dstrike w:val="0"/>
                <w:color w:val="auto"/>
                <w:sz w:val="24"/>
                <w:highlight w:val="none"/>
                <w:lang w:val="en-US" w:eastAsia="zh-CN"/>
              </w:rPr>
            </w:pPr>
            <w:r>
              <w:rPr>
                <w:rFonts w:hint="eastAsia" w:ascii="宋体" w:hAnsi="宋体" w:eastAsia="宋体" w:cs="宋体"/>
                <w:color w:val="auto"/>
                <w:kern w:val="0"/>
                <w:sz w:val="24"/>
                <w:lang w:eastAsia="zh-CN"/>
              </w:rPr>
              <w:t>▲</w:t>
            </w:r>
            <w:r>
              <w:rPr>
                <w:rFonts w:hint="eastAsia" w:ascii="仿宋" w:hAnsi="仿宋" w:eastAsia="仿宋"/>
                <w:color w:val="auto"/>
                <w:sz w:val="24"/>
              </w:rPr>
              <w:t>1.</w:t>
            </w:r>
            <w:r>
              <w:rPr>
                <w:rFonts w:hint="eastAsia" w:ascii="仿宋" w:hAnsi="仿宋" w:eastAsia="仿宋" w:cs="仿宋"/>
                <w:color w:val="auto"/>
                <w:sz w:val="24"/>
                <w:szCs w:val="24"/>
              </w:rPr>
              <w:t>平台数据可视化查询统计服务模块：提供数据可视化中台显示功能，能快速显示用户情况，软件下载，激活分配，软件激活，部门激活等相关数据。</w:t>
            </w:r>
            <w:r>
              <w:rPr>
                <w:rFonts w:hint="eastAsia" w:ascii="仿宋" w:hAnsi="仿宋" w:eastAsia="仿宋" w:cs="仿宋"/>
                <w:color w:val="auto"/>
                <w:sz w:val="24"/>
                <w:szCs w:val="24"/>
                <w:lang w:eastAsia="zh-CN"/>
              </w:rPr>
              <w:t>（投标时提供平台功能截图证明材料</w:t>
            </w:r>
            <w:r>
              <w:rPr>
                <w:rFonts w:hint="eastAsia" w:ascii="仿宋" w:hAnsi="仿宋" w:eastAsia="仿宋" w:cs="仿宋"/>
                <w:color w:val="auto"/>
                <w:sz w:val="24"/>
                <w:szCs w:val="24"/>
                <w:lang w:val="en-US" w:eastAsia="zh-CN"/>
              </w:rPr>
              <w:t>)</w:t>
            </w:r>
          </w:p>
          <w:p w14:paraId="62E9D02D">
            <w:pPr>
              <w:spacing w:line="320" w:lineRule="exact"/>
              <w:jc w:val="left"/>
              <w:rPr>
                <w:rFonts w:hint="eastAsia" w:ascii="仿宋" w:hAnsi="仿宋" w:eastAsia="仿宋" w:cs="仿宋"/>
                <w:color w:val="auto"/>
                <w:sz w:val="24"/>
                <w:szCs w:val="24"/>
                <w:highlight w:val="none"/>
                <w:lang w:val="en-US" w:eastAsia="zh-CN"/>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2.平台智能检查服务模块：提供激活客户端正版软件检查功能，自行采集操作系统、办公软件等软件是否安装正版软件等相关信息。（</w:t>
            </w:r>
            <w:r>
              <w:rPr>
                <w:rFonts w:hint="eastAsia" w:ascii="仿宋" w:hAnsi="仿宋" w:eastAsia="仿宋" w:cs="仿宋"/>
                <w:color w:val="auto"/>
                <w:sz w:val="24"/>
                <w:szCs w:val="24"/>
                <w:lang w:val="en-US" w:eastAsia="zh-CN"/>
              </w:rPr>
              <w:t>投标时</w:t>
            </w:r>
            <w:r>
              <w:rPr>
                <w:rFonts w:hint="eastAsia" w:ascii="仿宋" w:hAnsi="仿宋" w:eastAsia="仿宋" w:cs="仿宋"/>
                <w:color w:val="auto"/>
                <w:sz w:val="24"/>
                <w:szCs w:val="24"/>
              </w:rPr>
              <w:t>提供平台功能截图证明材料</w:t>
            </w:r>
            <w:r>
              <w:rPr>
                <w:rFonts w:hint="eastAsia" w:ascii="仿宋" w:hAnsi="仿宋" w:eastAsia="仿宋" w:cs="仿宋"/>
                <w:color w:val="auto"/>
                <w:sz w:val="24"/>
                <w:szCs w:val="24"/>
                <w:lang w:val="en-US" w:eastAsia="zh-CN"/>
              </w:rPr>
              <w:t>)</w:t>
            </w:r>
          </w:p>
          <w:p w14:paraId="7610686F">
            <w:pPr>
              <w:spacing w:line="350" w:lineRule="exact"/>
              <w:jc w:val="left"/>
              <w:rPr>
                <w:rFonts w:hint="default" w:ascii="仿宋" w:hAnsi="仿宋" w:eastAsia="仿宋" w:cs="仿宋"/>
                <w:color w:val="auto"/>
                <w:sz w:val="24"/>
                <w:szCs w:val="24"/>
                <w:highlight w:val="none"/>
                <w:lang w:val="en-US" w:eastAsia="zh-CN"/>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3.校园统一门户一键对接服务模块：通过单点登录与接口适配技术，实现平台激活客户端与学校统一门户的无缝对接，支持一键启动、单点登录，提升操作便捷性。</w:t>
            </w:r>
            <w:r>
              <w:rPr>
                <w:rFonts w:hint="eastAsia" w:ascii="仿宋" w:hAnsi="仿宋" w:eastAsia="仿宋" w:cs="仿宋"/>
                <w:color w:val="auto"/>
                <w:sz w:val="24"/>
                <w:szCs w:val="24"/>
                <w:highlight w:val="none"/>
                <w:lang w:eastAsia="zh-CN"/>
              </w:rPr>
              <w:t>（投标时提供平台功能截图证明材料</w:t>
            </w:r>
            <w:r>
              <w:rPr>
                <w:rFonts w:hint="eastAsia" w:ascii="仿宋" w:hAnsi="仿宋" w:eastAsia="仿宋" w:cs="仿宋"/>
                <w:color w:val="auto"/>
                <w:sz w:val="24"/>
                <w:szCs w:val="24"/>
                <w:highlight w:val="none"/>
                <w:lang w:val="en-US" w:eastAsia="zh-CN"/>
              </w:rPr>
              <w:t>)</w:t>
            </w:r>
          </w:p>
          <w:p w14:paraId="1F9B7846">
            <w:pPr>
              <w:spacing w:line="320" w:lineRule="exact"/>
              <w:jc w:val="left"/>
              <w:rPr>
                <w:rFonts w:hint="eastAsia" w:ascii="仿宋" w:hAnsi="仿宋" w:eastAsia="仿宋" w:cs="仿宋"/>
                <w:color w:val="auto"/>
                <w:sz w:val="24"/>
                <w:szCs w:val="24"/>
                <w:highlight w:val="none"/>
                <w:lang w:val="en-US" w:eastAsia="zh-CN"/>
              </w:rPr>
            </w:pPr>
            <w:r>
              <w:rPr>
                <w:rFonts w:hint="eastAsia" w:ascii="宋体" w:hAnsi="宋体" w:eastAsia="宋体" w:cs="宋体"/>
                <w:color w:val="auto"/>
                <w:kern w:val="0"/>
                <w:sz w:val="24"/>
                <w:highlight w:val="none"/>
                <w:lang w:eastAsia="zh-CN"/>
              </w:rPr>
              <w:t>▲</w:t>
            </w:r>
            <w:r>
              <w:rPr>
                <w:rFonts w:hint="eastAsia" w:ascii="仿宋" w:hAnsi="仿宋" w:eastAsia="仿宋" w:cs="仿宋"/>
                <w:color w:val="auto"/>
                <w:sz w:val="24"/>
                <w:szCs w:val="24"/>
                <w:highlight w:val="none"/>
              </w:rPr>
              <w:t>4.平台智能激活服务模块：平</w:t>
            </w:r>
            <w:r>
              <w:rPr>
                <w:rFonts w:hint="eastAsia" w:ascii="仿宋" w:hAnsi="仿宋" w:eastAsia="仿宋" w:cs="仿宋"/>
                <w:color w:val="auto"/>
                <w:sz w:val="24"/>
                <w:szCs w:val="24"/>
              </w:rPr>
              <w:t>台可以对包括Microsoft Windows</w:t>
            </w:r>
            <w:r>
              <w:rPr>
                <w:rFonts w:hint="eastAsia" w:ascii="仿宋" w:hAnsi="仿宋" w:eastAsia="仿宋" w:cs="仿宋"/>
                <w:color w:val="auto"/>
                <w:sz w:val="24"/>
                <w:szCs w:val="24"/>
                <w:highlight w:val="none"/>
              </w:rPr>
              <w:t>等软件激活进行控制管理。</w:t>
            </w:r>
            <w:r>
              <w:rPr>
                <w:rFonts w:hint="eastAsia" w:ascii="仿宋" w:hAnsi="仿宋" w:eastAsia="仿宋" w:cs="仿宋"/>
                <w:color w:val="auto"/>
                <w:sz w:val="24"/>
                <w:szCs w:val="24"/>
                <w:highlight w:val="none"/>
                <w:lang w:eastAsia="zh-CN"/>
              </w:rPr>
              <w:t>（投标时提供平台功能截图证明材料</w:t>
            </w:r>
            <w:r>
              <w:rPr>
                <w:rFonts w:hint="eastAsia" w:ascii="仿宋" w:hAnsi="仿宋" w:eastAsia="仿宋" w:cs="仿宋"/>
                <w:color w:val="auto"/>
                <w:sz w:val="24"/>
                <w:szCs w:val="24"/>
                <w:highlight w:val="none"/>
                <w:lang w:val="en-US" w:eastAsia="zh-CN"/>
              </w:rPr>
              <w:t>)</w:t>
            </w:r>
          </w:p>
          <w:p w14:paraId="23BB1D04">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highlight w:val="none"/>
              </w:rPr>
              <w:t>5.平台智能管控服务模块</w:t>
            </w:r>
            <w:r>
              <w:rPr>
                <w:rFonts w:hint="eastAsia" w:ascii="仿宋" w:hAnsi="仿宋" w:eastAsia="仿宋" w:cs="仿宋"/>
                <w:color w:val="auto"/>
                <w:sz w:val="24"/>
                <w:szCs w:val="24"/>
              </w:rPr>
              <w:t>：平台能对软件进行多版本控制管理，管理员可以在后台自由对软件版本进行管理控制。</w:t>
            </w:r>
          </w:p>
          <w:p w14:paraId="5C54FA6B">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rPr>
              <w:t>6.正版软件管理与服务平台应当支持部署在学校，且支持私有云平台部署。</w:t>
            </w:r>
          </w:p>
          <w:p w14:paraId="35163917">
            <w:pPr>
              <w:spacing w:line="320" w:lineRule="exact"/>
              <w:jc w:val="left"/>
              <w:rPr>
                <w:rFonts w:hint="eastAsia" w:ascii="仿宋" w:hAnsi="仿宋" w:eastAsia="仿宋" w:cs="仿宋"/>
                <w:color w:val="auto"/>
                <w:sz w:val="24"/>
                <w:szCs w:val="24"/>
                <w:lang w:val="en-US" w:eastAsia="zh-CN"/>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7.平台智能用户激活管理服务模块：授权模式，用户的激活次数授权模式也应当符合多级部门管理的模式，即，本级部门的激活数量上限，是分配给下级部门及用户的激活次数的上限。</w:t>
            </w:r>
            <w:r>
              <w:rPr>
                <w:rFonts w:hint="eastAsia" w:ascii="仿宋" w:hAnsi="仿宋" w:eastAsia="仿宋" w:cs="仿宋"/>
                <w:color w:val="auto"/>
                <w:sz w:val="24"/>
                <w:szCs w:val="24"/>
                <w:lang w:eastAsia="zh-CN"/>
              </w:rPr>
              <w:t>（投标时提供平台功能截图证明材料</w:t>
            </w:r>
            <w:r>
              <w:rPr>
                <w:rFonts w:hint="eastAsia" w:ascii="仿宋" w:hAnsi="仿宋" w:eastAsia="仿宋" w:cs="仿宋"/>
                <w:color w:val="auto"/>
                <w:sz w:val="24"/>
                <w:szCs w:val="24"/>
                <w:lang w:val="en-US" w:eastAsia="zh-CN"/>
              </w:rPr>
              <w:t>)</w:t>
            </w:r>
          </w:p>
          <w:p w14:paraId="00E6AB80">
            <w:pPr>
              <w:spacing w:line="320" w:lineRule="exact"/>
              <w:jc w:val="left"/>
              <w:rPr>
                <w:rFonts w:hint="eastAsia" w:ascii="仿宋" w:hAnsi="仿宋" w:eastAsia="仿宋" w:cs="仿宋"/>
                <w:color w:val="auto"/>
                <w:sz w:val="24"/>
                <w:szCs w:val="24"/>
                <w:highlight w:val="none"/>
                <w:lang w:eastAsia="zh-CN"/>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8.激活方式，在用户使用统一身份认证系统账号密码登录以后，直接通过点击即可完成整个激活操作，无需用户记忆任何其他激活码和代码。且一旦发生激活问题，激活客户端应当</w:t>
            </w:r>
            <w:r>
              <w:rPr>
                <w:rFonts w:hint="eastAsia" w:ascii="仿宋" w:hAnsi="仿宋" w:eastAsia="仿宋" w:cs="仿宋"/>
                <w:color w:val="auto"/>
                <w:sz w:val="24"/>
                <w:szCs w:val="24"/>
                <w:highlight w:val="none"/>
              </w:rPr>
              <w:t>给出简单快捷的解决方案。</w:t>
            </w:r>
            <w:r>
              <w:rPr>
                <w:rFonts w:hint="eastAsia" w:ascii="仿宋" w:hAnsi="仿宋" w:eastAsia="仿宋" w:cs="仿宋"/>
                <w:color w:val="auto"/>
                <w:sz w:val="24"/>
                <w:szCs w:val="24"/>
                <w:highlight w:val="none"/>
                <w:lang w:eastAsia="zh-CN"/>
              </w:rPr>
              <w:t>（投标时提供平台功能截图证明材料）</w:t>
            </w:r>
          </w:p>
          <w:p w14:paraId="2C4DEBFF">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rPr>
              <w:t>9.系统巡检，正版软件管理与服务平台服务提供商应当提供对系统的定期巡检，巡检内容包括（但不限于）正版软件管理与服务平台服务器运行情况监测、KMS服务器检查、激活测试、下载测试、系统及应用服务系统的补丁更新、数据备份检查。巡检频率每季度不少于1次。巡检发现问题应当在24小时内完成处理。</w:t>
            </w:r>
          </w:p>
          <w:p w14:paraId="3048E964">
            <w:pPr>
              <w:spacing w:line="350" w:lineRule="exact"/>
              <w:jc w:val="left"/>
              <w:rPr>
                <w:rFonts w:hint="eastAsia" w:ascii="仿宋" w:hAnsi="仿宋" w:eastAsia="仿宋" w:cs="仿宋"/>
                <w:color w:val="auto"/>
                <w:sz w:val="24"/>
                <w:szCs w:val="24"/>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10.兼容性：实现与现有平台（正版软件管理与服务平台）对接，以便进行数据迁移，保留原平台中的历史数据；保留原平台中激活工具使用方式，满足用户使用习惯，保证已激活的用户设备无需重新激活。</w:t>
            </w:r>
          </w:p>
          <w:p w14:paraId="1B4FCD6E">
            <w:pPr>
              <w:spacing w:line="350" w:lineRule="exact"/>
              <w:jc w:val="left"/>
              <w:rPr>
                <w:rFonts w:ascii="仿宋" w:hAnsi="仿宋" w:eastAsia="仿宋" w:cs="宋体"/>
                <w:color w:val="auto"/>
                <w:sz w:val="24"/>
              </w:rPr>
            </w:pPr>
            <w:r>
              <w:rPr>
                <w:rFonts w:hint="eastAsia" w:ascii="仿宋" w:hAnsi="仿宋" w:eastAsia="仿宋" w:cs="宋体"/>
                <w:color w:val="auto"/>
                <w:sz w:val="24"/>
              </w:rPr>
              <w:t>（三）服务要求</w:t>
            </w:r>
          </w:p>
          <w:p w14:paraId="00C86709">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rPr>
              <w:t>1.售后服务期限：1年，质保期从验收合格之日起计算，包括定期巡检、平台升级、数据导入、更新服务、技术支持，培训技术管理人员正确使用管理平台。</w:t>
            </w:r>
          </w:p>
          <w:p w14:paraId="232573ED">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rPr>
              <w:t>2.售后服务：提供省内客户服务支持。</w:t>
            </w:r>
          </w:p>
          <w:p w14:paraId="6EDD12A7">
            <w:pPr>
              <w:spacing w:line="320" w:lineRule="exact"/>
              <w:jc w:val="left"/>
              <w:rPr>
                <w:rFonts w:ascii="仿宋" w:hAnsi="仿宋" w:eastAsia="仿宋" w:cs="仿宋"/>
                <w:color w:val="auto"/>
                <w:sz w:val="24"/>
                <w:szCs w:val="24"/>
              </w:rPr>
            </w:pPr>
            <w:r>
              <w:rPr>
                <w:rFonts w:hint="eastAsia" w:ascii="仿宋" w:hAnsi="仿宋" w:eastAsia="仿宋" w:cs="仿宋"/>
                <w:color w:val="auto"/>
                <w:sz w:val="24"/>
                <w:szCs w:val="24"/>
              </w:rPr>
              <w:t>（1）使用培训：使用技巧培训，管理平台使用培训；培训3名以上网络管理人员，对系统进行操作培训。</w:t>
            </w:r>
          </w:p>
          <w:p w14:paraId="322187EB">
            <w:pPr>
              <w:spacing w:line="320" w:lineRule="exact"/>
              <w:jc w:val="left"/>
              <w:rPr>
                <w:rFonts w:ascii="仿宋" w:hAnsi="仿宋" w:eastAsia="仿宋" w:cs="仿宋"/>
                <w:color w:val="auto"/>
                <w:sz w:val="24"/>
                <w:szCs w:val="24"/>
                <w:highlight w:val="yellow"/>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（2）技术支持：提供不少于3人的技术支持团队（团队人员须具有同类项目实施及售后服务支持经验），提供5*8小时/周在线技术支持服务。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投标时</w:t>
            </w:r>
            <w:r>
              <w:rPr>
                <w:rFonts w:hint="eastAsia" w:ascii="仿宋" w:hAnsi="仿宋" w:eastAsia="仿宋" w:cs="仿宋"/>
                <w:color w:val="auto"/>
                <w:sz w:val="24"/>
                <w:szCs w:val="24"/>
                <w:highlight w:val="none"/>
              </w:rPr>
              <w:t>提供技术支持团队人员名单及响应截止之日前半年内连续三个月依法为技术人员缴纳社会保险参保缴费有效证明，以及实施经验证明材料，形式不限）</w:t>
            </w:r>
          </w:p>
          <w:p w14:paraId="4B680C2D">
            <w:pPr>
              <w:spacing w:line="320" w:lineRule="exact"/>
              <w:jc w:val="left"/>
              <w:rPr>
                <w:rFonts w:ascii="仿宋" w:hAnsi="仿宋" w:eastAsia="仿宋" w:cs="仿宋"/>
                <w:color w:val="auto"/>
                <w:sz w:val="24"/>
                <w:szCs w:val="24"/>
              </w:rPr>
            </w:pPr>
            <w:r>
              <w:rPr>
                <w:rFonts w:hint="eastAsia" w:ascii="宋体" w:hAnsi="宋体" w:eastAsia="宋体" w:cs="宋体"/>
                <w:color w:val="auto"/>
                <w:kern w:val="0"/>
                <w:sz w:val="24"/>
                <w:lang w:eastAsia="zh-CN"/>
              </w:rPr>
              <w:t>▲</w:t>
            </w:r>
            <w:r>
              <w:rPr>
                <w:rFonts w:hint="eastAsia" w:ascii="仿宋" w:hAnsi="仿宋" w:eastAsia="仿宋" w:cs="仿宋"/>
                <w:color w:val="auto"/>
                <w:sz w:val="24"/>
                <w:szCs w:val="24"/>
              </w:rPr>
              <w:t>3.软件在质保时间内出现新版本应免费升级。</w:t>
            </w:r>
          </w:p>
          <w:p w14:paraId="79ACC684">
            <w:pPr>
              <w:spacing w:line="350" w:lineRule="exact"/>
              <w:jc w:val="left"/>
              <w:rPr>
                <w:rFonts w:ascii="仿宋" w:hAnsi="仿宋" w:eastAsia="仿宋" w:cs="宋体"/>
                <w:color w:val="auto"/>
                <w:kern w:val="0"/>
                <w:sz w:val="24"/>
              </w:rPr>
            </w:pPr>
          </w:p>
        </w:tc>
        <w:tc>
          <w:tcPr>
            <w:tcW w:w="177" w:type="pct"/>
            <w:tcBorders>
              <w:top w:val="single" w:color="auto" w:sz="4" w:space="0"/>
              <w:left w:val="nil"/>
              <w:bottom w:val="single" w:color="auto" w:sz="4" w:space="0"/>
              <w:right w:val="single" w:color="auto" w:sz="4" w:space="0"/>
            </w:tcBorders>
            <w:vAlign w:val="center"/>
          </w:tcPr>
          <w:p w14:paraId="7448BA59">
            <w:pPr>
              <w:spacing w:line="276" w:lineRule="auto"/>
              <w:jc w:val="center"/>
              <w:rPr>
                <w:rFonts w:ascii="仿宋" w:hAnsi="仿宋" w:eastAsia="仿宋" w:cs="宋体"/>
                <w:color w:val="auto"/>
                <w:sz w:val="24"/>
              </w:rPr>
            </w:pPr>
            <w:r>
              <w:rPr>
                <w:rFonts w:hint="eastAsia" w:ascii="仿宋" w:hAnsi="仿宋" w:eastAsia="仿宋" w:cs="宋体"/>
                <w:color w:val="auto"/>
                <w:sz w:val="24"/>
              </w:rPr>
              <w:t>1</w:t>
            </w:r>
          </w:p>
        </w:tc>
        <w:tc>
          <w:tcPr>
            <w:tcW w:w="192" w:type="pct"/>
            <w:tcBorders>
              <w:top w:val="single" w:color="auto" w:sz="4" w:space="0"/>
              <w:left w:val="nil"/>
              <w:bottom w:val="single" w:color="auto" w:sz="4" w:space="0"/>
              <w:right w:val="single" w:color="auto" w:sz="4" w:space="0"/>
            </w:tcBorders>
            <w:vAlign w:val="center"/>
          </w:tcPr>
          <w:p w14:paraId="2521E70A">
            <w:pPr>
              <w:spacing w:line="276" w:lineRule="auto"/>
              <w:jc w:val="center"/>
              <w:rPr>
                <w:rFonts w:ascii="仿宋" w:hAnsi="仿宋" w:eastAsia="仿宋" w:cs="宋体"/>
                <w:color w:val="auto"/>
                <w:sz w:val="24"/>
              </w:rPr>
            </w:pPr>
            <w:r>
              <w:rPr>
                <w:rFonts w:hint="eastAsia" w:ascii="仿宋" w:hAnsi="仿宋" w:eastAsia="仿宋" w:cs="宋体"/>
                <w:color w:val="auto"/>
                <w:sz w:val="24"/>
              </w:rPr>
              <w:t>项</w:t>
            </w:r>
          </w:p>
        </w:tc>
        <w:tc>
          <w:tcPr>
            <w:tcW w:w="395" w:type="pct"/>
            <w:tcBorders>
              <w:top w:val="single" w:color="auto" w:sz="4" w:space="0"/>
              <w:left w:val="nil"/>
              <w:bottom w:val="single" w:color="auto" w:sz="4" w:space="0"/>
              <w:right w:val="single" w:color="auto" w:sz="4" w:space="0"/>
            </w:tcBorders>
            <w:vAlign w:val="center"/>
          </w:tcPr>
          <w:p w14:paraId="20A9241B">
            <w:pPr>
              <w:spacing w:line="276" w:lineRule="auto"/>
              <w:jc w:val="center"/>
              <w:rPr>
                <w:rFonts w:ascii="仿宋" w:hAnsi="仿宋" w:eastAsia="仿宋" w:cs="宋体"/>
                <w:color w:val="auto"/>
                <w:sz w:val="24"/>
              </w:rPr>
            </w:pPr>
            <w:bookmarkStart w:id="0" w:name="_GoBack"/>
            <w:r>
              <w:rPr>
                <w:rFonts w:hint="eastAsia" w:ascii="仿宋" w:hAnsi="仿宋" w:eastAsia="仿宋" w:cs="宋体"/>
                <w:color w:val="auto"/>
                <w:sz w:val="24"/>
              </w:rPr>
              <w:t>160000</w:t>
            </w:r>
            <w:bookmarkEnd w:id="0"/>
          </w:p>
        </w:tc>
        <w:tc>
          <w:tcPr>
            <w:tcW w:w="400" w:type="pct"/>
            <w:tcBorders>
              <w:top w:val="single" w:color="auto" w:sz="4" w:space="0"/>
              <w:left w:val="nil"/>
              <w:bottom w:val="single" w:color="auto" w:sz="4" w:space="0"/>
              <w:right w:val="single" w:color="auto" w:sz="4" w:space="0"/>
            </w:tcBorders>
            <w:vAlign w:val="center"/>
          </w:tcPr>
          <w:p w14:paraId="13DADF80">
            <w:pPr>
              <w:spacing w:line="276" w:lineRule="auto"/>
              <w:jc w:val="center"/>
              <w:rPr>
                <w:rFonts w:ascii="仿宋" w:hAnsi="仿宋" w:eastAsia="仿宋" w:cs="宋体"/>
                <w:color w:val="auto"/>
                <w:sz w:val="24"/>
              </w:rPr>
            </w:pPr>
            <w:r>
              <w:rPr>
                <w:rFonts w:hint="eastAsia" w:ascii="仿宋" w:hAnsi="仿宋" w:eastAsia="仿宋" w:cs="宋体"/>
                <w:color w:val="auto"/>
                <w:sz w:val="24"/>
              </w:rPr>
              <w:t>160000</w:t>
            </w:r>
          </w:p>
        </w:tc>
      </w:tr>
    </w:tbl>
    <w:p w14:paraId="40A64E0C">
      <w:pPr>
        <w:rPr>
          <w:rFonts w:ascii="仿宋" w:hAnsi="仿宋" w:eastAsia="仿宋" w:cs="仿宋"/>
          <w:b/>
          <w:color w:val="auto"/>
          <w:sz w:val="24"/>
          <w:szCs w:val="24"/>
        </w:rPr>
      </w:pPr>
    </w:p>
    <w:p w14:paraId="4ADB1B45">
      <w:pPr>
        <w:rPr>
          <w:rFonts w:ascii="仿宋" w:hAnsi="仿宋" w:eastAsia="仿宋" w:cs="仿宋"/>
          <w:b/>
          <w:color w:val="auto"/>
          <w:sz w:val="24"/>
          <w:szCs w:val="24"/>
        </w:rPr>
      </w:pPr>
    </w:p>
    <w:p w14:paraId="10EA9145">
      <w:pPr>
        <w:rPr>
          <w:rFonts w:ascii="仿宋" w:hAnsi="仿宋" w:eastAsia="仿宋" w:cs="仿宋"/>
          <w:b/>
          <w:color w:val="auto"/>
          <w:sz w:val="24"/>
          <w:szCs w:val="24"/>
        </w:rPr>
      </w:pPr>
    </w:p>
    <w:p w14:paraId="58CCEF09">
      <w:pPr>
        <w:rPr>
          <w:rFonts w:ascii="仿宋" w:hAnsi="仿宋" w:eastAsia="仿宋" w:cs="仿宋"/>
          <w:b/>
          <w:color w:val="auto"/>
          <w:sz w:val="24"/>
          <w:szCs w:val="24"/>
        </w:rPr>
      </w:pPr>
    </w:p>
    <w:p w14:paraId="3F942E73">
      <w:pPr>
        <w:pStyle w:val="2"/>
        <w:rPr>
          <w:rFonts w:ascii="仿宋" w:hAnsi="仿宋" w:eastAsia="仿宋" w:cs="仿宋"/>
          <w:b/>
          <w:color w:val="auto"/>
          <w:sz w:val="24"/>
          <w:szCs w:val="24"/>
        </w:rPr>
      </w:pPr>
    </w:p>
    <w:p w14:paraId="05F3B86C">
      <w:pPr>
        <w:pStyle w:val="4"/>
        <w:rPr>
          <w:rFonts w:ascii="仿宋" w:hAnsi="仿宋" w:eastAsia="仿宋" w:cs="仿宋"/>
          <w:b/>
          <w:color w:val="auto"/>
          <w:sz w:val="24"/>
          <w:szCs w:val="24"/>
        </w:rPr>
      </w:pPr>
    </w:p>
    <w:p w14:paraId="5899CC9A">
      <w:pPr>
        <w:pStyle w:val="4"/>
        <w:rPr>
          <w:rFonts w:ascii="仿宋" w:hAnsi="仿宋" w:eastAsia="仿宋" w:cs="仿宋"/>
          <w:b/>
          <w:color w:val="auto"/>
          <w:sz w:val="24"/>
          <w:szCs w:val="24"/>
        </w:rPr>
      </w:pPr>
    </w:p>
    <w:p w14:paraId="35DB2A28">
      <w:pPr>
        <w:pStyle w:val="4"/>
        <w:rPr>
          <w:rFonts w:ascii="仿宋" w:hAnsi="仿宋" w:eastAsia="仿宋" w:cs="仿宋"/>
          <w:b/>
          <w:color w:val="auto"/>
          <w:sz w:val="24"/>
          <w:szCs w:val="24"/>
        </w:rPr>
      </w:pPr>
    </w:p>
    <w:p w14:paraId="6612CD02">
      <w:pPr>
        <w:pStyle w:val="4"/>
        <w:rPr>
          <w:rFonts w:ascii="仿宋" w:hAnsi="仿宋" w:eastAsia="仿宋" w:cs="仿宋"/>
          <w:b/>
          <w:color w:val="auto"/>
          <w:sz w:val="24"/>
          <w:szCs w:val="24"/>
        </w:rPr>
      </w:pPr>
    </w:p>
    <w:p w14:paraId="5345751F">
      <w:pPr>
        <w:pStyle w:val="4"/>
        <w:rPr>
          <w:rFonts w:ascii="仿宋" w:hAnsi="仿宋" w:eastAsia="仿宋" w:cs="仿宋"/>
          <w:b/>
          <w:color w:val="auto"/>
          <w:sz w:val="24"/>
          <w:szCs w:val="24"/>
        </w:rPr>
      </w:pPr>
    </w:p>
    <w:p w14:paraId="4BF16792">
      <w:pPr>
        <w:pStyle w:val="4"/>
        <w:rPr>
          <w:rFonts w:ascii="仿宋" w:hAnsi="仿宋" w:eastAsia="仿宋" w:cs="仿宋"/>
          <w:b/>
          <w:color w:val="auto"/>
          <w:sz w:val="24"/>
          <w:szCs w:val="24"/>
        </w:rPr>
      </w:pPr>
    </w:p>
    <w:p w14:paraId="2E519C2D">
      <w:pPr>
        <w:pStyle w:val="4"/>
        <w:rPr>
          <w:rFonts w:ascii="仿宋" w:hAnsi="仿宋" w:eastAsia="仿宋" w:cs="仿宋"/>
          <w:b/>
          <w:color w:val="auto"/>
          <w:sz w:val="24"/>
          <w:szCs w:val="24"/>
        </w:rPr>
      </w:pPr>
    </w:p>
    <w:p w14:paraId="5EE0A2D6">
      <w:pPr>
        <w:pStyle w:val="4"/>
        <w:rPr>
          <w:rFonts w:ascii="仿宋" w:hAnsi="仿宋" w:eastAsia="仿宋" w:cs="仿宋"/>
          <w:b/>
          <w:color w:val="auto"/>
          <w:sz w:val="24"/>
          <w:szCs w:val="24"/>
        </w:rPr>
      </w:pPr>
    </w:p>
    <w:p w14:paraId="2E504996">
      <w:pPr>
        <w:pStyle w:val="4"/>
        <w:rPr>
          <w:rFonts w:ascii="仿宋" w:hAnsi="仿宋" w:eastAsia="仿宋" w:cs="仿宋"/>
          <w:b/>
          <w:color w:val="auto"/>
          <w:sz w:val="24"/>
          <w:szCs w:val="24"/>
        </w:rPr>
      </w:pPr>
    </w:p>
    <w:p w14:paraId="5303B75C">
      <w:pPr>
        <w:pStyle w:val="4"/>
        <w:rPr>
          <w:rFonts w:ascii="仿宋" w:hAnsi="仿宋" w:eastAsia="仿宋" w:cs="仿宋"/>
          <w:b/>
          <w:color w:val="auto"/>
          <w:sz w:val="24"/>
          <w:szCs w:val="24"/>
        </w:rPr>
      </w:pPr>
    </w:p>
    <w:p w14:paraId="6BE93DB4">
      <w:pPr>
        <w:pStyle w:val="4"/>
        <w:rPr>
          <w:rFonts w:ascii="仿宋" w:hAnsi="仿宋" w:eastAsia="仿宋" w:cs="仿宋"/>
          <w:b/>
          <w:color w:val="auto"/>
          <w:sz w:val="24"/>
          <w:szCs w:val="24"/>
        </w:rPr>
      </w:pPr>
    </w:p>
    <w:p w14:paraId="01C27F0A">
      <w:pPr>
        <w:pStyle w:val="4"/>
        <w:rPr>
          <w:rFonts w:ascii="仿宋" w:hAnsi="仿宋" w:eastAsia="仿宋" w:cs="仿宋"/>
          <w:b/>
          <w:color w:val="auto"/>
          <w:sz w:val="24"/>
          <w:szCs w:val="24"/>
        </w:rPr>
      </w:pPr>
    </w:p>
    <w:p w14:paraId="0C6DCB26">
      <w:pPr>
        <w:rPr>
          <w:rFonts w:ascii="仿宋" w:hAnsi="仿宋" w:eastAsia="仿宋" w:cs="仿宋"/>
          <w:b/>
          <w:color w:val="auto"/>
          <w:sz w:val="24"/>
          <w:szCs w:val="24"/>
        </w:rPr>
      </w:pPr>
    </w:p>
    <w:p w14:paraId="52AF77EC">
      <w:pPr>
        <w:rPr>
          <w:rFonts w:ascii="仿宋" w:hAnsi="仿宋" w:eastAsia="仿宋" w:cs="仿宋"/>
          <w:b/>
          <w:color w:val="auto"/>
          <w:sz w:val="24"/>
          <w:szCs w:val="24"/>
        </w:rPr>
      </w:pPr>
    </w:p>
    <w:p w14:paraId="3FCFA7A5">
      <w:pPr>
        <w:rPr>
          <w:color w:val="auto"/>
        </w:rPr>
      </w:pPr>
      <w:r>
        <w:rPr>
          <w:rFonts w:hint="eastAsia" w:ascii="仿宋" w:hAnsi="仿宋" w:eastAsia="仿宋" w:cs="仿宋"/>
          <w:b/>
          <w:color w:val="auto"/>
          <w:sz w:val="24"/>
          <w:szCs w:val="24"/>
        </w:rPr>
        <w:t>二、商务要求表：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03"/>
        <w:gridCol w:w="12264"/>
      </w:tblGrid>
      <w:tr w14:paraId="3D96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1C5F4C45">
            <w:pPr>
              <w:spacing w:line="340" w:lineRule="exact"/>
              <w:jc w:val="center"/>
              <w:rPr>
                <w:rFonts w:ascii="仿宋" w:hAnsi="仿宋" w:eastAsia="仿宋" w:cs="仿宋_GB2312"/>
                <w:color w:val="auto"/>
                <w:sz w:val="24"/>
                <w:szCs w:val="24"/>
              </w:rPr>
            </w:pPr>
            <w:r>
              <w:rPr>
                <w:rFonts w:hint="eastAsia" w:ascii="仿宋" w:hAnsi="仿宋" w:eastAsia="仿宋" w:cs="仿宋_GB2312"/>
                <w:color w:val="auto"/>
                <w:sz w:val="24"/>
                <w:szCs w:val="24"/>
              </w:rPr>
              <w:t>序号</w:t>
            </w:r>
          </w:p>
        </w:tc>
        <w:tc>
          <w:tcPr>
            <w:tcW w:w="576" w:type="pct"/>
            <w:vAlign w:val="center"/>
          </w:tcPr>
          <w:p w14:paraId="0EFDB90E">
            <w:pPr>
              <w:spacing w:line="340" w:lineRule="exact"/>
              <w:jc w:val="center"/>
              <w:rPr>
                <w:rFonts w:ascii="仿宋" w:hAnsi="仿宋" w:eastAsia="仿宋" w:cs="仿宋_GB2312"/>
                <w:color w:val="auto"/>
                <w:sz w:val="24"/>
                <w:szCs w:val="24"/>
              </w:rPr>
            </w:pPr>
            <w:r>
              <w:rPr>
                <w:rFonts w:hint="eastAsia" w:ascii="仿宋" w:hAnsi="仿宋" w:eastAsia="仿宋" w:cs="仿宋_GB2312"/>
                <w:color w:val="auto"/>
                <w:sz w:val="24"/>
                <w:szCs w:val="24"/>
              </w:rPr>
              <w:t>内容条款</w:t>
            </w:r>
          </w:p>
        </w:tc>
        <w:tc>
          <w:tcPr>
            <w:tcW w:w="4148" w:type="pct"/>
            <w:vAlign w:val="center"/>
          </w:tcPr>
          <w:p w14:paraId="36B0F43A">
            <w:pPr>
              <w:spacing w:line="340" w:lineRule="exact"/>
              <w:jc w:val="center"/>
              <w:rPr>
                <w:rFonts w:ascii="仿宋" w:hAnsi="仿宋" w:eastAsia="仿宋" w:cs="仿宋_GB2312"/>
                <w:color w:val="auto"/>
                <w:sz w:val="24"/>
                <w:szCs w:val="24"/>
              </w:rPr>
            </w:pPr>
            <w:r>
              <w:rPr>
                <w:rFonts w:hint="eastAsia" w:ascii="仿宋" w:hAnsi="仿宋" w:eastAsia="仿宋" w:cs="仿宋_GB2312"/>
                <w:color w:val="auto"/>
                <w:sz w:val="24"/>
                <w:szCs w:val="24"/>
              </w:rPr>
              <w:t>具体要求</w:t>
            </w:r>
          </w:p>
        </w:tc>
      </w:tr>
      <w:tr w14:paraId="4525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42707666">
            <w:pPr>
              <w:spacing w:line="340" w:lineRule="exact"/>
              <w:jc w:val="center"/>
              <w:rPr>
                <w:rFonts w:ascii="仿宋" w:hAnsi="仿宋" w:eastAsia="仿宋" w:cs="仿宋_GB2312"/>
                <w:color w:val="auto"/>
                <w:sz w:val="24"/>
                <w:szCs w:val="24"/>
              </w:rPr>
            </w:pPr>
            <w:r>
              <w:rPr>
                <w:rFonts w:hint="eastAsia" w:ascii="仿宋" w:hAnsi="仿宋" w:eastAsia="仿宋" w:cs="仿宋_GB2312"/>
                <w:color w:val="auto"/>
                <w:sz w:val="24"/>
                <w:szCs w:val="24"/>
              </w:rPr>
              <w:t>1</w:t>
            </w:r>
          </w:p>
        </w:tc>
        <w:tc>
          <w:tcPr>
            <w:tcW w:w="576" w:type="pct"/>
            <w:vAlign w:val="center"/>
          </w:tcPr>
          <w:p w14:paraId="6F7AFF51">
            <w:pPr>
              <w:spacing w:line="340" w:lineRule="exact"/>
              <w:jc w:val="center"/>
              <w:rPr>
                <w:rFonts w:ascii="仿宋" w:hAnsi="仿宋" w:eastAsia="仿宋" w:cs="仿宋_GB2312"/>
                <w:color w:val="auto"/>
                <w:sz w:val="24"/>
                <w:szCs w:val="24"/>
              </w:rPr>
            </w:pPr>
            <w:r>
              <w:rPr>
                <w:rFonts w:hint="eastAsia" w:ascii="仿宋" w:hAnsi="仿宋" w:eastAsia="仿宋" w:cs="仿宋_GB2312"/>
                <w:color w:val="auto"/>
                <w:sz w:val="24"/>
                <w:szCs w:val="24"/>
              </w:rPr>
              <w:t>合同签订期</w:t>
            </w:r>
          </w:p>
        </w:tc>
        <w:tc>
          <w:tcPr>
            <w:tcW w:w="4148" w:type="pct"/>
            <w:vAlign w:val="center"/>
          </w:tcPr>
          <w:p w14:paraId="5CA1C594">
            <w:pPr>
              <w:spacing w:line="340" w:lineRule="exact"/>
              <w:rPr>
                <w:rFonts w:ascii="仿宋" w:hAnsi="仿宋" w:eastAsia="仿宋" w:cs="仿宋_GB2312"/>
                <w:color w:val="auto"/>
                <w:sz w:val="24"/>
                <w:szCs w:val="24"/>
              </w:rPr>
            </w:pPr>
            <w:r>
              <w:rPr>
                <w:rFonts w:hint="eastAsia" w:ascii="仿宋" w:hAnsi="仿宋" w:eastAsia="仿宋" w:cs="仿宋_GB2312"/>
                <w:color w:val="auto"/>
                <w:sz w:val="24"/>
                <w:szCs w:val="24"/>
              </w:rPr>
              <w:t>自成交公告发出之日起</w:t>
            </w:r>
            <w:r>
              <w:rPr>
                <w:rFonts w:hint="eastAsia" w:ascii="仿宋" w:hAnsi="仿宋" w:eastAsia="仿宋" w:cs="仿宋_GB2312"/>
                <w:color w:val="auto"/>
                <w:sz w:val="24"/>
                <w:szCs w:val="24"/>
                <w:u w:val="single"/>
              </w:rPr>
              <w:t xml:space="preserve"> 25 </w:t>
            </w:r>
            <w:r>
              <w:rPr>
                <w:rFonts w:hint="eastAsia" w:ascii="仿宋" w:hAnsi="仿宋" w:eastAsia="仿宋" w:cs="仿宋_GB2312"/>
                <w:color w:val="auto"/>
                <w:sz w:val="24"/>
                <w:szCs w:val="24"/>
              </w:rPr>
              <w:t>个日历日内。</w:t>
            </w:r>
          </w:p>
        </w:tc>
      </w:tr>
      <w:tr w14:paraId="593A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4FC673AF">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2</w:t>
            </w:r>
          </w:p>
        </w:tc>
        <w:tc>
          <w:tcPr>
            <w:tcW w:w="576" w:type="pct"/>
            <w:vAlign w:val="center"/>
          </w:tcPr>
          <w:p w14:paraId="0B50EBCD">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交货时间及地点</w:t>
            </w:r>
          </w:p>
        </w:tc>
        <w:tc>
          <w:tcPr>
            <w:tcW w:w="4148" w:type="pct"/>
            <w:vAlign w:val="center"/>
          </w:tcPr>
          <w:p w14:paraId="3A72C82D">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rPr>
              <w:t>交付使用时间：合同签订之日起10日内交货安装调试验收完毕。</w:t>
            </w:r>
          </w:p>
          <w:p w14:paraId="607642BC">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rPr>
              <w:t>交货地点：广西区内由采购单位指定地点。</w:t>
            </w:r>
          </w:p>
          <w:p w14:paraId="33EAFEB7">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rPr>
              <w:t>交货方式：现场交货</w:t>
            </w:r>
          </w:p>
        </w:tc>
      </w:tr>
      <w:tr w14:paraId="3B9B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3254A36F">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3</w:t>
            </w:r>
          </w:p>
        </w:tc>
        <w:tc>
          <w:tcPr>
            <w:tcW w:w="576" w:type="pct"/>
            <w:vAlign w:val="center"/>
          </w:tcPr>
          <w:p w14:paraId="740EA06E">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产品质量保证及售后服务要求</w:t>
            </w:r>
          </w:p>
        </w:tc>
        <w:tc>
          <w:tcPr>
            <w:tcW w:w="4148" w:type="pct"/>
            <w:vAlign w:val="center"/>
          </w:tcPr>
          <w:p w14:paraId="5B48EBA4">
            <w:pPr>
              <w:tabs>
                <w:tab w:val="left" w:pos="180"/>
                <w:tab w:val="left" w:pos="1620"/>
              </w:tabs>
              <w:spacing w:line="360" w:lineRule="exact"/>
              <w:jc w:val="left"/>
              <w:rPr>
                <w:rFonts w:hint="eastAsia" w:ascii="仿宋" w:hAnsi="仿宋" w:eastAsia="仿宋" w:cs="仿宋_GB2312"/>
                <w:color w:val="auto"/>
                <w:sz w:val="24"/>
                <w:szCs w:val="24"/>
              </w:rPr>
            </w:pPr>
            <w:r>
              <w:rPr>
                <w:rFonts w:hint="eastAsia" w:ascii="仿宋" w:hAnsi="仿宋" w:eastAsia="仿宋" w:cs="仿宋_GB2312"/>
                <w:color w:val="auto"/>
                <w:sz w:val="24"/>
                <w:szCs w:val="24"/>
              </w:rPr>
              <w:t>1、供应商所投产品必须能实质性响应采购要求，全部参数不得负偏离（所投产品应完全满足或优于采购参数要求），供货时能按照采购需求的要求提供</w:t>
            </w:r>
            <w:r>
              <w:rPr>
                <w:rFonts w:hint="eastAsia" w:ascii="仿宋" w:hAnsi="仿宋" w:eastAsia="仿宋"/>
                <w:color w:val="auto"/>
                <w:sz w:val="24"/>
                <w:highlight w:val="none"/>
                <w:lang w:val="en-US" w:eastAsia="zh-CN"/>
              </w:rPr>
              <w:t>原厂</w:t>
            </w:r>
            <w:r>
              <w:rPr>
                <w:rFonts w:hint="eastAsia" w:ascii="仿宋" w:hAnsi="仿宋" w:eastAsia="仿宋"/>
                <w:color w:val="auto"/>
                <w:sz w:val="24"/>
                <w:highlight w:val="none"/>
                <w:lang w:eastAsia="zh-CN"/>
              </w:rPr>
              <w:t>正版</w:t>
            </w:r>
            <w:r>
              <w:rPr>
                <w:rFonts w:hint="eastAsia" w:ascii="仿宋" w:hAnsi="仿宋" w:eastAsia="仿宋" w:cs="仿宋_GB2312"/>
                <w:color w:val="auto"/>
                <w:sz w:val="24"/>
                <w:szCs w:val="24"/>
              </w:rPr>
              <w:t>授权证明和售后服务承诺书原件</w:t>
            </w:r>
            <w:r>
              <w:rPr>
                <w:rFonts w:hint="eastAsia" w:ascii="仿宋" w:hAnsi="仿宋" w:eastAsia="仿宋" w:cs="仿宋_GB2312"/>
                <w:color w:val="auto"/>
                <w:sz w:val="24"/>
                <w:szCs w:val="24"/>
              </w:rPr>
              <w:t>（加盖厂家公章和供应商公章），避免假冒伪劣产品。</w:t>
            </w:r>
          </w:p>
          <w:p w14:paraId="4409CD5A">
            <w:pPr>
              <w:tabs>
                <w:tab w:val="left" w:pos="180"/>
                <w:tab w:val="left" w:pos="1620"/>
              </w:tabs>
              <w:spacing w:line="360" w:lineRule="exact"/>
              <w:jc w:val="left"/>
              <w:rPr>
                <w:rFonts w:hint="eastAsia" w:ascii="仿宋" w:hAnsi="仿宋" w:eastAsia="仿宋" w:cs="仿宋_GB2312"/>
                <w:sz w:val="24"/>
                <w:szCs w:val="24"/>
              </w:rPr>
            </w:pPr>
            <w:r>
              <w:rPr>
                <w:rFonts w:hint="eastAsia" w:ascii="仿宋" w:hAnsi="仿宋" w:eastAsia="仿宋" w:cs="仿宋_GB2312"/>
                <w:sz w:val="24"/>
                <w:szCs w:val="24"/>
              </w:rPr>
              <w:t>2.对不能满足参数要求虚假响应，或者签订合同后15个工作日内无法交付使用的，采购人可作废标处理，并依法向供应商追究违约责任。</w:t>
            </w:r>
          </w:p>
          <w:p w14:paraId="2A573374">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lang w:val="en-US" w:eastAsia="zh-CN"/>
              </w:rPr>
              <w:t>3.</w:t>
            </w:r>
            <w:r>
              <w:rPr>
                <w:rFonts w:hint="eastAsia" w:ascii="仿宋" w:hAnsi="仿宋" w:eastAsia="仿宋" w:cs="仿宋_GB2312"/>
                <w:sz w:val="24"/>
                <w:szCs w:val="24"/>
              </w:rPr>
              <w:t>免费送货上门，免费安装调试合格，按国家有关规定实行“三包”，并提供不少于1年的免费质保服务（自验收合格之日起，如技术参数中有特别指明质保期的按技术参数要求,分项有特殊要求的按分项要求），免费定期回访及维护。</w:t>
            </w:r>
          </w:p>
          <w:p w14:paraId="1D37D230">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lang w:val="en-US" w:eastAsia="zh-CN"/>
              </w:rPr>
              <w:t>4.</w:t>
            </w:r>
            <w:r>
              <w:rPr>
                <w:rFonts w:hint="eastAsia" w:ascii="仿宋" w:hAnsi="仿宋" w:eastAsia="仿宋" w:cs="仿宋_GB2312"/>
                <w:sz w:val="24"/>
                <w:szCs w:val="24"/>
              </w:rPr>
              <w:t>故障响应时间：成交人接到故障通知后需在1小时内做出响应（电话），同时南宁市内在2小时内派工程师到现场进行故障解除；南宁市外在6小时内派工程师到现场进行故障解除。</w:t>
            </w:r>
          </w:p>
          <w:p w14:paraId="018738CF">
            <w:pPr>
              <w:tabs>
                <w:tab w:val="left" w:pos="180"/>
                <w:tab w:val="left" w:pos="1620"/>
              </w:tabs>
              <w:spacing w:line="360" w:lineRule="exact"/>
              <w:rPr>
                <w:rFonts w:ascii="仿宋" w:hAnsi="仿宋" w:eastAsia="仿宋" w:cs="仿宋_GB2312"/>
                <w:sz w:val="24"/>
                <w:szCs w:val="24"/>
              </w:rPr>
            </w:pPr>
            <w:r>
              <w:rPr>
                <w:rFonts w:hint="eastAsia" w:ascii="仿宋" w:hAnsi="仿宋" w:eastAsia="仿宋" w:cs="仿宋_GB2312"/>
                <w:sz w:val="24"/>
                <w:szCs w:val="24"/>
                <w:lang w:val="en-US" w:eastAsia="zh-CN"/>
              </w:rPr>
              <w:t>5.</w:t>
            </w:r>
            <w:r>
              <w:rPr>
                <w:rFonts w:hint="eastAsia" w:ascii="仿宋" w:hAnsi="仿宋" w:eastAsia="仿宋" w:cs="仿宋_GB2312"/>
                <w:sz w:val="24"/>
                <w:szCs w:val="24"/>
              </w:rPr>
              <w:t>免费培训采购单位维护人员，保证维护人员能进行日常运行维护工作等。</w:t>
            </w:r>
          </w:p>
        </w:tc>
      </w:tr>
      <w:tr w14:paraId="17D2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457FBE2B">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4</w:t>
            </w:r>
          </w:p>
        </w:tc>
        <w:tc>
          <w:tcPr>
            <w:tcW w:w="576" w:type="pct"/>
            <w:vAlign w:val="center"/>
          </w:tcPr>
          <w:p w14:paraId="50AF5C66">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付款方式和条件</w:t>
            </w:r>
          </w:p>
        </w:tc>
        <w:tc>
          <w:tcPr>
            <w:tcW w:w="4148" w:type="pct"/>
            <w:vAlign w:val="center"/>
          </w:tcPr>
          <w:p w14:paraId="72789AA8">
            <w:pPr>
              <w:spacing w:line="360" w:lineRule="exact"/>
              <w:jc w:val="left"/>
              <w:rPr>
                <w:rFonts w:ascii="仿宋" w:hAnsi="仿宋" w:eastAsia="仿宋" w:cs="仿宋_GB2312"/>
                <w:sz w:val="24"/>
                <w:szCs w:val="24"/>
              </w:rPr>
            </w:pPr>
            <w:r>
              <w:rPr>
                <w:rFonts w:hint="eastAsia" w:ascii="仿宋" w:hAnsi="仿宋" w:eastAsia="仿宋" w:cs="仿宋_GB2312"/>
                <w:sz w:val="24"/>
                <w:szCs w:val="24"/>
              </w:rPr>
              <w:t>签订合同后成交供货商完成供货，并按照采购人要求安装调试完毕，经甲方最终验收合格，甲方自收到供应商的增值税专用发票后15个工作日内，一次性支付100%合同款。</w:t>
            </w:r>
          </w:p>
        </w:tc>
      </w:tr>
      <w:tr w14:paraId="6908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6F05C095">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5</w:t>
            </w:r>
          </w:p>
        </w:tc>
        <w:tc>
          <w:tcPr>
            <w:tcW w:w="576" w:type="pct"/>
            <w:vAlign w:val="center"/>
          </w:tcPr>
          <w:p w14:paraId="4AB9FDC7">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安装及验收要求</w:t>
            </w:r>
          </w:p>
        </w:tc>
        <w:tc>
          <w:tcPr>
            <w:tcW w:w="4148" w:type="pct"/>
            <w:vAlign w:val="center"/>
          </w:tcPr>
          <w:p w14:paraId="5C4999A0">
            <w:pPr>
              <w:spacing w:line="340" w:lineRule="exact"/>
              <w:jc w:val="left"/>
              <w:rPr>
                <w:rFonts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1.合同生效后【</w:t>
            </w:r>
            <w:r>
              <w:rPr>
                <w:rFonts w:ascii="仿宋" w:hAnsi="仿宋" w:eastAsia="仿宋" w:cs="仿宋_GB2312"/>
                <w:color w:val="000000" w:themeColor="text1"/>
                <w:sz w:val="24"/>
                <w:szCs w:val="24"/>
                <w14:textFill>
                  <w14:solidFill>
                    <w14:schemeClr w14:val="tx1"/>
                  </w14:solidFill>
                </w14:textFill>
              </w:rPr>
              <w:t>5</w:t>
            </w:r>
            <w:r>
              <w:rPr>
                <w:rFonts w:hint="eastAsia" w:ascii="仿宋" w:hAnsi="仿宋" w:eastAsia="仿宋" w:cs="仿宋_GB2312"/>
                <w:color w:val="000000" w:themeColor="text1"/>
                <w:sz w:val="24"/>
                <w:szCs w:val="24"/>
                <w14:textFill>
                  <w14:solidFill>
                    <w14:schemeClr w14:val="tx1"/>
                  </w14:solidFill>
                </w14:textFill>
              </w:rPr>
              <w:t>】个工作日内，供应商应将产品交付至采购人指定地点，开通服务授权，提供现场安装调试服务、操作培训、技术指导等，并提交产品相关操作指南和使用说明书（如有）。</w:t>
            </w:r>
          </w:p>
          <w:p w14:paraId="0E978344">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rPr>
              <w:t>2、验收标准：按合同要求及国家标准进行验收。在货物验收时由采购单位对照采购文件的功能目标及技术指标全面核对检验，对所有要求出具的证明文件的原件进行核查（如有），如不符合采购文件的技术需求及要求以及提供虚假承诺的，按相关规定做退货处理及违约处理，成交供应商承担所有责任和费用，采购人保留进一步追究责任的权利。</w:t>
            </w:r>
          </w:p>
          <w:p w14:paraId="65939002">
            <w:pPr>
              <w:tabs>
                <w:tab w:val="left" w:pos="180"/>
                <w:tab w:val="left" w:pos="1620"/>
              </w:tabs>
              <w:spacing w:line="360" w:lineRule="exact"/>
              <w:jc w:val="left"/>
              <w:rPr>
                <w:rFonts w:ascii="仿宋" w:hAnsi="仿宋" w:eastAsia="仿宋" w:cs="仿宋_GB2312"/>
                <w:sz w:val="24"/>
                <w:szCs w:val="24"/>
              </w:rPr>
            </w:pPr>
            <w:r>
              <w:rPr>
                <w:rFonts w:hint="eastAsia" w:ascii="仿宋" w:hAnsi="仿宋" w:eastAsia="仿宋" w:cs="仿宋_GB2312"/>
                <w:sz w:val="24"/>
                <w:szCs w:val="24"/>
              </w:rPr>
              <w:t>3、验收过程中所产生的一切费用均由成交供应商承担。</w:t>
            </w:r>
          </w:p>
        </w:tc>
      </w:tr>
      <w:tr w14:paraId="2A12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Align w:val="center"/>
          </w:tcPr>
          <w:p w14:paraId="065A3799">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6</w:t>
            </w:r>
          </w:p>
        </w:tc>
        <w:tc>
          <w:tcPr>
            <w:tcW w:w="576" w:type="pct"/>
            <w:vAlign w:val="center"/>
          </w:tcPr>
          <w:p w14:paraId="4E13ABDE">
            <w:pPr>
              <w:tabs>
                <w:tab w:val="left" w:pos="180"/>
                <w:tab w:val="left" w:pos="1620"/>
              </w:tabs>
              <w:spacing w:line="360" w:lineRule="exact"/>
              <w:jc w:val="center"/>
              <w:rPr>
                <w:rFonts w:ascii="仿宋" w:hAnsi="仿宋" w:eastAsia="仿宋" w:cs="仿宋_GB2312"/>
                <w:sz w:val="24"/>
                <w:szCs w:val="24"/>
              </w:rPr>
            </w:pPr>
            <w:r>
              <w:rPr>
                <w:rFonts w:hint="eastAsia" w:ascii="仿宋" w:hAnsi="仿宋" w:eastAsia="仿宋" w:cs="仿宋_GB2312"/>
                <w:sz w:val="24"/>
                <w:szCs w:val="24"/>
              </w:rPr>
              <w:t>其他说明</w:t>
            </w:r>
          </w:p>
        </w:tc>
        <w:tc>
          <w:tcPr>
            <w:tcW w:w="4148" w:type="pct"/>
            <w:vAlign w:val="center"/>
          </w:tcPr>
          <w:p w14:paraId="63B541D5">
            <w:pPr>
              <w:spacing w:line="360" w:lineRule="exact"/>
              <w:jc w:val="left"/>
              <w:rPr>
                <w:rFonts w:ascii="仿宋" w:hAnsi="仿宋" w:eastAsia="仿宋" w:cs="仿宋_GB2312"/>
                <w:sz w:val="24"/>
                <w:szCs w:val="24"/>
              </w:rPr>
            </w:pPr>
            <w:r>
              <w:rPr>
                <w:rFonts w:hint="eastAsia" w:ascii="仿宋" w:hAnsi="仿宋" w:eastAsia="仿宋" w:cs="仿宋_GB2312"/>
                <w:sz w:val="24"/>
                <w:szCs w:val="24"/>
              </w:rPr>
              <w:t>1、本项目按总价包干，为交钥匙项目，竞标报价中须包含货款、随配附件、保险、送货上门服务、现场安装调试、保修等各种费用和售后服务、培训、税金及其他所有成本费用的总和。报价时应考虑相关费用。</w:t>
            </w:r>
          </w:p>
          <w:p w14:paraId="3BAB6E95">
            <w:pPr>
              <w:spacing w:line="340" w:lineRule="exact"/>
              <w:jc w:val="left"/>
              <w:rPr>
                <w:rFonts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2、供应商必须实质性响应本项目标注“</w:t>
            </w:r>
            <w:r>
              <w:rPr>
                <w:rFonts w:hint="eastAsia" w:ascii="仿宋" w:hAnsi="仿宋" w:eastAsia="仿宋" w:cs="仿宋_GB2312"/>
                <w:color w:val="000000" w:themeColor="text1"/>
                <w:sz w:val="24"/>
                <w:szCs w:val="24"/>
                <w:lang w:eastAsia="zh-CN"/>
                <w14:textFill>
                  <w14:solidFill>
                    <w14:schemeClr w14:val="tx1"/>
                  </w14:solidFill>
                </w14:textFill>
              </w:rPr>
              <w:t>▲</w:t>
            </w:r>
            <w:r>
              <w:rPr>
                <w:rFonts w:hint="eastAsia" w:ascii="仿宋" w:hAnsi="仿宋" w:eastAsia="仿宋" w:cs="仿宋_GB2312"/>
                <w:color w:val="000000" w:themeColor="text1"/>
                <w:sz w:val="24"/>
                <w:szCs w:val="24"/>
                <w14:textFill>
                  <w14:solidFill>
                    <w14:schemeClr w14:val="tx1"/>
                  </w14:solidFill>
                </w14:textFill>
              </w:rPr>
              <w:t>”的技术参数要求，不允许负偏离，对技术参数要求中一般技术指标响应的负偏离项数不超过3项，否则视为无效响应。投标时，供应商所投产品必须满足或优于技术参数配置要求（需上传《商务、技术响应偏离情况说明表》，格式自拟），否则视为无效响应。</w:t>
            </w:r>
          </w:p>
          <w:p w14:paraId="3ABE1AAD">
            <w:pPr>
              <w:spacing w:line="340" w:lineRule="exact"/>
              <w:jc w:val="left"/>
              <w:rPr>
                <w:rFonts w:ascii="仿宋" w:hAnsi="仿宋" w:eastAsia="仿宋" w:cs="仿宋_GB2312"/>
                <w:color w:val="000000" w:themeColor="text1"/>
                <w:sz w:val="24"/>
                <w:szCs w:val="24"/>
                <w14:textFill>
                  <w14:solidFill>
                    <w14:schemeClr w14:val="tx1"/>
                  </w14:solidFill>
                </w14:textFill>
              </w:rPr>
            </w:pPr>
            <w:r>
              <w:rPr>
                <w:rFonts w:hint="eastAsia" w:ascii="仿宋" w:hAnsi="仿宋" w:eastAsia="仿宋" w:cs="仿宋_GB2312"/>
                <w:color w:val="000000" w:themeColor="text1"/>
                <w:sz w:val="24"/>
                <w:szCs w:val="24"/>
                <w14:textFill>
                  <w14:solidFill>
                    <w14:schemeClr w14:val="tx1"/>
                  </w14:solidFill>
                </w14:textFill>
              </w:rPr>
              <w:t>3、供应商在参与竞标报价前需仔细阅读项目采购的技术及商务要求，评估自身履约能力，谢绝恶意低价、不按要求报价、中标后无故放弃、不按合同履行等违约行为。对出现此类行为的预中标供应商，将根据政府采购违约处理规则，依法依规提请政采云平台进行处罚，处罚内容包括停止推送报价信息、禁止报价等，并记入政府采购诚信档案。为确保合同履约责任，采购单位有权将反向竞价单中的商务服务要求列入合同条款，否则有权拒签合同。</w:t>
            </w:r>
          </w:p>
        </w:tc>
      </w:tr>
    </w:tbl>
    <w:p w14:paraId="19999827"/>
    <w:p w14:paraId="4F3ED34A"/>
    <w:p w14:paraId="2A2C3357"/>
    <w:p w14:paraId="590B6DC1"/>
    <w:p w14:paraId="66F84550"/>
    <w:p w14:paraId="5AABAF27"/>
    <w:p w14:paraId="7D1DBC83"/>
    <w:p w14:paraId="290EC797"/>
    <w:p w14:paraId="4ED9C354"/>
    <w:p w14:paraId="16DBA8EA"/>
    <w:p w14:paraId="58D8394E"/>
    <w:p w14:paraId="0F54EC2B"/>
    <w:p w14:paraId="2FE3ECA8"/>
    <w:p w14:paraId="32242A3A"/>
    <w:p w14:paraId="1DBE7AC9"/>
    <w:p w14:paraId="515EC767"/>
    <w:p w14:paraId="432C216D"/>
    <w:sectPr>
      <w:pgSz w:w="16838" w:h="11906" w:orient="landscape"/>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pStyle w:val="6"/>
      <w:suff w:val="space"/>
      <w:lvlText w:val="%1"/>
      <w:lvlJc w:val="left"/>
      <w:pPr>
        <w:ind w:left="431" w:hanging="431"/>
      </w:pPr>
      <w:rPr>
        <w:rFonts w:hint="default" w:ascii="Arial" w:hAnsi="Arial" w:eastAsia="黑体" w:cs="Times New Roman"/>
        <w:b/>
        <w:i w:val="0"/>
        <w:iCs w:val="0"/>
        <w:caps w:val="0"/>
        <w:strike w:val="0"/>
        <w:dstrike w:val="0"/>
        <w:vanish w:val="0"/>
        <w:spacing w:val="0"/>
        <w:kern w:val="0"/>
        <w:position w:val="0"/>
        <w:sz w:val="32"/>
        <w:szCs w:val="32"/>
        <w:u w:val="none"/>
        <w:vertAlign w:val="baseline"/>
      </w:rPr>
    </w:lvl>
    <w:lvl w:ilvl="1" w:tentative="0">
      <w:start w:val="1"/>
      <w:numFmt w:val="decimal"/>
      <w:suff w:val="space"/>
      <w:lvlText w:val="%1.%2"/>
      <w:lvlJc w:val="left"/>
      <w:pPr>
        <w:ind w:left="567" w:hanging="567"/>
      </w:pPr>
      <w:rPr>
        <w:rFonts w:hint="default" w:ascii="Arial" w:hAnsi="Arial" w:eastAsia="黑体"/>
        <w:b/>
        <w:i w:val="0"/>
        <w:sz w:val="28"/>
        <w:szCs w:val="28"/>
      </w:rPr>
    </w:lvl>
    <w:lvl w:ilvl="2" w:tentative="0">
      <w:start w:val="1"/>
      <w:numFmt w:val="decimal"/>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73BB2D03"/>
    <w:multiLevelType w:val="multilevel"/>
    <w:tmpl w:val="73BB2D03"/>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2NDNjNDIxZjA5ZWJhZjVhNzRmM2MyMDA1MGE1YjQifQ=="/>
  </w:docVars>
  <w:rsids>
    <w:rsidRoot w:val="134445DF"/>
    <w:rsid w:val="00003624"/>
    <w:rsid w:val="00082483"/>
    <w:rsid w:val="00092F74"/>
    <w:rsid w:val="000C48E1"/>
    <w:rsid w:val="00135D64"/>
    <w:rsid w:val="001A453E"/>
    <w:rsid w:val="001F662E"/>
    <w:rsid w:val="002557F5"/>
    <w:rsid w:val="002C3FD0"/>
    <w:rsid w:val="002F032F"/>
    <w:rsid w:val="00345E4E"/>
    <w:rsid w:val="00476F23"/>
    <w:rsid w:val="00575D77"/>
    <w:rsid w:val="00593FB6"/>
    <w:rsid w:val="00602D8F"/>
    <w:rsid w:val="006471AA"/>
    <w:rsid w:val="006479A1"/>
    <w:rsid w:val="006C7368"/>
    <w:rsid w:val="007E299F"/>
    <w:rsid w:val="00860C5D"/>
    <w:rsid w:val="0094346A"/>
    <w:rsid w:val="00A224EB"/>
    <w:rsid w:val="00A72CFD"/>
    <w:rsid w:val="00A93D66"/>
    <w:rsid w:val="00B9292A"/>
    <w:rsid w:val="00BD762E"/>
    <w:rsid w:val="00D21A3F"/>
    <w:rsid w:val="00D66844"/>
    <w:rsid w:val="00DF3DF2"/>
    <w:rsid w:val="00E36899"/>
    <w:rsid w:val="00EB0358"/>
    <w:rsid w:val="00F03D45"/>
    <w:rsid w:val="0C6A568B"/>
    <w:rsid w:val="0CAD06C0"/>
    <w:rsid w:val="0D0F6EE2"/>
    <w:rsid w:val="0FB32491"/>
    <w:rsid w:val="109C6092"/>
    <w:rsid w:val="10E47E0C"/>
    <w:rsid w:val="12ED5AC6"/>
    <w:rsid w:val="131C0CEA"/>
    <w:rsid w:val="134445DF"/>
    <w:rsid w:val="14D7277E"/>
    <w:rsid w:val="150F77F4"/>
    <w:rsid w:val="17646C71"/>
    <w:rsid w:val="189F7A56"/>
    <w:rsid w:val="1A956DAE"/>
    <w:rsid w:val="20AB570D"/>
    <w:rsid w:val="263B6C8E"/>
    <w:rsid w:val="27C67151"/>
    <w:rsid w:val="29541C77"/>
    <w:rsid w:val="2C264BCE"/>
    <w:rsid w:val="2F5E587B"/>
    <w:rsid w:val="30385D92"/>
    <w:rsid w:val="31FB190E"/>
    <w:rsid w:val="38B01895"/>
    <w:rsid w:val="3AA01F4C"/>
    <w:rsid w:val="3B702E61"/>
    <w:rsid w:val="3EA86980"/>
    <w:rsid w:val="3EAF1179"/>
    <w:rsid w:val="3F53452A"/>
    <w:rsid w:val="40262A25"/>
    <w:rsid w:val="46475E01"/>
    <w:rsid w:val="46945BC9"/>
    <w:rsid w:val="46B67B95"/>
    <w:rsid w:val="472E143F"/>
    <w:rsid w:val="488C4AA4"/>
    <w:rsid w:val="4A530227"/>
    <w:rsid w:val="4AB41C5B"/>
    <w:rsid w:val="50DE5B41"/>
    <w:rsid w:val="54AA72B3"/>
    <w:rsid w:val="5B1E4266"/>
    <w:rsid w:val="5EE000BE"/>
    <w:rsid w:val="62B36DF6"/>
    <w:rsid w:val="65F17832"/>
    <w:rsid w:val="67E95539"/>
    <w:rsid w:val="6D943EDD"/>
    <w:rsid w:val="6E4B1BE8"/>
    <w:rsid w:val="71E2490E"/>
    <w:rsid w:val="71E97DFA"/>
    <w:rsid w:val="75E11C3A"/>
    <w:rsid w:val="78623556"/>
    <w:rsid w:val="7DDE1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0"/>
    <w:pPr>
      <w:keepNext/>
      <w:keepLines/>
      <w:numPr>
        <w:ilvl w:val="0"/>
        <w:numId w:val="1"/>
      </w:numPr>
      <w:shd w:val="clear" w:color="auto" w:fill="4EAEA0"/>
      <w:spacing w:line="360" w:lineRule="auto"/>
      <w:jc w:val="left"/>
      <w:outlineLvl w:val="0"/>
    </w:pPr>
    <w:rPr>
      <w:rFonts w:ascii="Calibri" w:hAnsi="Calibri" w:eastAsia="黑体" w:cs="Times New Roman"/>
      <w:b/>
      <w:bCs/>
      <w:color w:val="FFFFFF"/>
      <w:kern w:val="44"/>
      <w:sz w:val="44"/>
      <w:szCs w:val="44"/>
      <w:shd w:val="clear" w:color="auto" w:fill="4EAEA0"/>
    </w:rPr>
  </w:style>
  <w:style w:type="paragraph" w:styleId="7">
    <w:name w:val="heading 4"/>
    <w:basedOn w:val="1"/>
    <w:next w:val="1"/>
    <w:qFormat/>
    <w:uiPriority w:val="9"/>
    <w:pPr>
      <w:keepNext/>
      <w:keepLines/>
      <w:widowControl/>
      <w:spacing w:before="120" w:after="120" w:line="360" w:lineRule="auto"/>
      <w:jc w:val="center"/>
      <w:outlineLvl w:val="3"/>
    </w:pPr>
    <w:rPr>
      <w:rFonts w:ascii="Arial" w:hAnsi="Arial" w:eastAsia="黑体"/>
      <w:kern w:val="0"/>
      <w:sz w:val="28"/>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firstLineChars="200"/>
    </w:pPr>
    <w:rPr>
      <w:rFonts w:ascii="Times New Roman" w:eastAsia="宋体"/>
      <w:sz w:val="21"/>
      <w:szCs w:val="24"/>
    </w:rPr>
  </w:style>
  <w:style w:type="paragraph" w:styleId="3">
    <w:name w:val="Body Text Indent"/>
    <w:basedOn w:val="1"/>
    <w:qFormat/>
    <w:uiPriority w:val="0"/>
    <w:pPr>
      <w:ind w:firstLine="830" w:firstLineChars="352"/>
    </w:pPr>
    <w:rPr>
      <w:rFonts w:ascii="仿宋_GB2312" w:eastAsia="仿宋_GB2312" w:cs="仿宋_GB2312"/>
      <w:sz w:val="32"/>
      <w:szCs w:val="32"/>
    </w:rPr>
  </w:style>
  <w:style w:type="paragraph" w:styleId="4">
    <w:name w:val="Body Text First Indent"/>
    <w:basedOn w:val="5"/>
    <w:unhideWhenUsed/>
    <w:qFormat/>
    <w:uiPriority w:val="99"/>
    <w:pPr>
      <w:tabs>
        <w:tab w:val="left" w:pos="567"/>
      </w:tabs>
      <w:ind w:firstLine="420" w:firstLineChars="100"/>
    </w:pPr>
  </w:style>
  <w:style w:type="paragraph" w:styleId="5">
    <w:name w:val="Body Text"/>
    <w:basedOn w:val="1"/>
    <w:next w:val="1"/>
    <w:qFormat/>
    <w:uiPriority w:val="99"/>
    <w:pPr>
      <w:spacing w:line="380" w:lineRule="exact"/>
    </w:pPr>
    <w:rPr>
      <w:sz w:val="24"/>
    </w:rPr>
  </w:style>
  <w:style w:type="paragraph" w:styleId="8">
    <w:name w:val="Normal Indent"/>
    <w:basedOn w:val="1"/>
    <w:next w:val="1"/>
    <w:qFormat/>
    <w:uiPriority w:val="0"/>
    <w:pPr>
      <w:ind w:firstLine="420"/>
    </w:pPr>
    <w:rPr>
      <w:szCs w:val="20"/>
    </w:rPr>
  </w:style>
  <w:style w:type="paragraph" w:styleId="9">
    <w:name w:val="annotation text"/>
    <w:basedOn w:val="1"/>
    <w:qFormat/>
    <w:uiPriority w:val="0"/>
    <w:pPr>
      <w:jc w:val="left"/>
    </w:pPr>
  </w:style>
  <w:style w:type="character" w:customStyle="1" w:styleId="12">
    <w:name w:val="NormalCharacter"/>
    <w:qFormat/>
    <w:uiPriority w:val="0"/>
  </w:style>
  <w:style w:type="paragraph" w:customStyle="1" w:styleId="1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1905</Words>
  <Characters>2102</Characters>
  <Lines>30</Lines>
  <Paragraphs>8</Paragraphs>
  <TotalTime>14</TotalTime>
  <ScaleCrop>false</ScaleCrop>
  <LinksUpToDate>false</LinksUpToDate>
  <CharactersWithSpaces>2113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2026-06-02T07:56:00Z</dcterms:created>
  <dc:creator>kamassa</dc:creator>
  <cp:lastModifiedBy>易云梅</cp:lastModifiedBy>
  <dcterms:modified xsi:type="dcterms:W3CDTF">2026-06-12T08:07:29Z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27C617BEA7B14BBBBD26458F0D2B2ABF_13</vt:lpwstr>
  </property>
  <property fmtid="{D5CDD505-2E9C-101B-9397-08002B2CF9AE}" pid="4" name="KSOTemplateDocerSaveRecord">
    <vt:lpwstr>eyJoZGlkIjoiOGQ4MTZiYTBkODUwOTk2Y2FmZjk4OTdlNzZjYmRlZDkiLCJ1c2VySWQiOiIxNDk5MzI0MzA5In0=</vt:lpwstr>
  </property>
</Properties>
</file>