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F5DA950">
      <w:pPr>
        <w:keepNext w:val="0"/>
        <w:keepLines w:val="0"/>
        <w:pageBreakBefore w:val="0"/>
        <w:widowControl/>
        <w:kinsoku/>
        <w:wordWrap/>
        <w:overflowPunct/>
        <w:topLinePunct w:val="0"/>
        <w:autoSpaceDE/>
        <w:autoSpaceDN/>
        <w:bidi w:val="0"/>
        <w:spacing w:line="288" w:lineRule="auto"/>
        <w:jc w:val="center"/>
        <w:textAlignment w:val="auto"/>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lang w:val="en-US" w:eastAsia="zh-CN"/>
        </w:rPr>
        <w:t>室内显示设备购置清单</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024"/>
        <w:gridCol w:w="1077"/>
        <w:gridCol w:w="9310"/>
        <w:gridCol w:w="656"/>
        <w:gridCol w:w="656"/>
        <w:gridCol w:w="1037"/>
        <w:gridCol w:w="1155"/>
      </w:tblGrid>
      <w:tr w14:paraId="237A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22" w:type="pct"/>
            <w:vAlign w:val="center"/>
          </w:tcPr>
          <w:p w14:paraId="18B1C556">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序号</w:t>
            </w:r>
          </w:p>
        </w:tc>
        <w:tc>
          <w:tcPr>
            <w:tcW w:w="328" w:type="pct"/>
            <w:vAlign w:val="center"/>
          </w:tcPr>
          <w:p w14:paraId="5E8967E4">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名称</w:t>
            </w:r>
          </w:p>
        </w:tc>
        <w:tc>
          <w:tcPr>
            <w:tcW w:w="345" w:type="pct"/>
            <w:vAlign w:val="center"/>
          </w:tcPr>
          <w:p w14:paraId="72DCD02D">
            <w:pPr>
              <w:keepNext w:val="0"/>
              <w:keepLines w:val="0"/>
              <w:pageBreakBefore w:val="0"/>
              <w:kinsoku/>
              <w:wordWrap/>
              <w:overflowPunct/>
              <w:topLinePunct w:val="0"/>
              <w:autoSpaceDE/>
              <w:autoSpaceDN/>
              <w:bidi w:val="0"/>
              <w:spacing w:line="288" w:lineRule="auto"/>
              <w:jc w:val="center"/>
              <w:textAlignment w:val="auto"/>
              <w:rPr>
                <w:rFonts w:hint="default"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参考品牌</w:t>
            </w:r>
          </w:p>
        </w:tc>
        <w:tc>
          <w:tcPr>
            <w:tcW w:w="2982" w:type="pct"/>
            <w:vAlign w:val="center"/>
          </w:tcPr>
          <w:p w14:paraId="1AF2A0D5">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规格参数</w:t>
            </w:r>
          </w:p>
        </w:tc>
        <w:tc>
          <w:tcPr>
            <w:tcW w:w="210" w:type="pct"/>
            <w:vAlign w:val="center"/>
          </w:tcPr>
          <w:p w14:paraId="47E28092">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数量</w:t>
            </w:r>
          </w:p>
        </w:tc>
        <w:tc>
          <w:tcPr>
            <w:tcW w:w="210" w:type="pct"/>
            <w:vAlign w:val="center"/>
          </w:tcPr>
          <w:p w14:paraId="27AA3CB8">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单位</w:t>
            </w:r>
          </w:p>
        </w:tc>
        <w:tc>
          <w:tcPr>
            <w:tcW w:w="332" w:type="pct"/>
            <w:vAlign w:val="center"/>
          </w:tcPr>
          <w:p w14:paraId="417169E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单价（元）</w:t>
            </w:r>
          </w:p>
        </w:tc>
        <w:tc>
          <w:tcPr>
            <w:tcW w:w="370" w:type="pct"/>
            <w:vAlign w:val="center"/>
          </w:tcPr>
          <w:p w14:paraId="5010D55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合价（元）</w:t>
            </w:r>
          </w:p>
        </w:tc>
      </w:tr>
      <w:tr w14:paraId="32B7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22" w:type="pct"/>
            <w:vAlign w:val="center"/>
          </w:tcPr>
          <w:p w14:paraId="332DF16E">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p>
        </w:tc>
        <w:tc>
          <w:tcPr>
            <w:tcW w:w="328" w:type="pct"/>
            <w:vAlign w:val="center"/>
          </w:tcPr>
          <w:p w14:paraId="363CBE27">
            <w:pPr>
              <w:keepNext w:val="0"/>
              <w:keepLines w:val="0"/>
              <w:pageBreakBefore w:val="0"/>
              <w:kinsoku/>
              <w:wordWrap/>
              <w:overflowPunct/>
              <w:topLinePunct w:val="0"/>
              <w:autoSpaceDE/>
              <w:autoSpaceDN/>
              <w:bidi w:val="0"/>
              <w:spacing w:line="288" w:lineRule="auto"/>
              <w:jc w:val="center"/>
              <w:textAlignment w:val="auto"/>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室内LED显示屏</w:t>
            </w:r>
          </w:p>
        </w:tc>
        <w:tc>
          <w:tcPr>
            <w:tcW w:w="345" w:type="pct"/>
            <w:vAlign w:val="center"/>
          </w:tcPr>
          <w:p w14:paraId="03AFEA0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12BCAEA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30E6B8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0DCEC74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786B527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58E34E7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C5A07DE">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6851DC0B">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1BBDF04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20"/>
                <w:szCs w:val="20"/>
                <w:highlight w:val="none"/>
                <w:lang w:val="en-US" w:eastAsia="zh-CN"/>
              </w:rPr>
            </w:pPr>
          </w:p>
          <w:p w14:paraId="7003496C">
            <w:pPr>
              <w:keepNext w:val="0"/>
              <w:keepLines w:val="0"/>
              <w:pageBreakBefore w:val="0"/>
              <w:kinsoku/>
              <w:wordWrap/>
              <w:overflowPunct/>
              <w:topLinePunct w:val="0"/>
              <w:autoSpaceDE/>
              <w:autoSpaceDN/>
              <w:bidi w:val="0"/>
              <w:spacing w:line="288" w:lineRule="auto"/>
              <w:textAlignment w:val="auto"/>
              <w:rPr>
                <w:rFonts w:hint="default" w:ascii="宋体" w:hAnsi="宋体" w:eastAsia="宋体" w:cs="宋体"/>
                <w:b w:val="0"/>
                <w:bCs w:val="0"/>
                <w:color w:val="auto"/>
                <w:sz w:val="20"/>
                <w:szCs w:val="20"/>
                <w:highlight w:val="none"/>
                <w:lang w:val="en-US"/>
              </w:rPr>
            </w:pPr>
            <w:r>
              <w:rPr>
                <w:rFonts w:hint="eastAsia" w:ascii="宋体" w:hAnsi="宋体" w:cs="宋体"/>
                <w:b w:val="0"/>
                <w:bCs w:val="0"/>
                <w:color w:val="auto"/>
                <w:sz w:val="20"/>
                <w:szCs w:val="20"/>
                <w:highlight w:val="none"/>
                <w:lang w:val="en-US" w:eastAsia="zh-CN"/>
              </w:rPr>
              <w:t>蓝普</w:t>
            </w:r>
            <w:r>
              <w:rPr>
                <w:rFonts w:hint="eastAsia" w:ascii="宋体" w:hAnsi="宋体" w:eastAsia="宋体" w:cs="宋体"/>
                <w:b w:val="0"/>
                <w:bCs w:val="0"/>
                <w:color w:val="auto"/>
                <w:sz w:val="20"/>
                <w:szCs w:val="20"/>
                <w:highlight w:val="none"/>
                <w:lang w:eastAsia="zh-CN"/>
              </w:rPr>
              <w:t>、</w:t>
            </w:r>
            <w:r>
              <w:rPr>
                <w:rFonts w:hint="eastAsia" w:ascii="宋体" w:hAnsi="宋体" w:cs="宋体"/>
                <w:b w:val="0"/>
                <w:bCs w:val="0"/>
                <w:color w:val="auto"/>
                <w:sz w:val="20"/>
                <w:szCs w:val="20"/>
                <w:highlight w:val="none"/>
                <w:lang w:val="en-US" w:eastAsia="zh-CN"/>
              </w:rPr>
              <w:t>创维、海峡彩亮（或同档次品牌以上）</w:t>
            </w:r>
          </w:p>
          <w:p w14:paraId="400B590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358659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54A18F0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BBBD68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90BE88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12FA82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44B462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FCA392D">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039BF708">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5E68A6B7">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kern w:val="2"/>
                <w:sz w:val="20"/>
                <w:szCs w:val="20"/>
                <w:highlight w:val="none"/>
                <w:lang w:val="en-US" w:eastAsia="zh-CN" w:bidi="ar-SA"/>
              </w:rPr>
            </w:pPr>
          </w:p>
        </w:tc>
        <w:tc>
          <w:tcPr>
            <w:tcW w:w="2982" w:type="pct"/>
          </w:tcPr>
          <w:p w14:paraId="0088123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微软雅黑" w:hAnsi="微软雅黑" w:eastAsia="微软雅黑" w:cs="微软雅黑"/>
                <w:b w:val="0"/>
                <w:bCs w:val="0"/>
                <w:i w:val="0"/>
                <w:iCs w:val="0"/>
                <w:color w:val="000000"/>
                <w:kern w:val="0"/>
                <w:sz w:val="20"/>
                <w:szCs w:val="20"/>
                <w:highlight w:val="none"/>
                <w:u w:val="none"/>
                <w:lang w:val="en-US" w:eastAsia="zh-CN"/>
              </w:rPr>
            </w:pPr>
            <w:r>
              <w:rPr>
                <w:rFonts w:hint="eastAsia" w:ascii="微软雅黑" w:hAnsi="微软雅黑" w:eastAsia="微软雅黑" w:cs="微软雅黑"/>
                <w:b w:val="0"/>
                <w:bCs w:val="0"/>
                <w:i w:val="0"/>
                <w:iCs w:val="0"/>
                <w:color w:val="000000"/>
                <w:kern w:val="0"/>
                <w:sz w:val="20"/>
                <w:szCs w:val="20"/>
                <w:lang w:val="en-US" w:eastAsia="zh-CN" w:bidi="ar-SA"/>
              </w:rPr>
              <w:t>一、</w:t>
            </w:r>
            <w:r>
              <w:rPr>
                <w:rFonts w:hint="eastAsia" w:ascii="宋体" w:hAnsi="宋体" w:cs="宋体"/>
                <w:b/>
                <w:bCs/>
                <w:color w:val="auto"/>
                <w:kern w:val="0"/>
                <w:sz w:val="20"/>
                <w:szCs w:val="20"/>
                <w:highlight w:val="none"/>
                <w:lang w:val="en-US" w:eastAsia="zh-CN"/>
              </w:rPr>
              <w:t>屏幕</w:t>
            </w:r>
            <w:r>
              <w:rPr>
                <w:rFonts w:hint="eastAsia" w:ascii="宋体" w:hAnsi="宋体" w:cs="宋体"/>
                <w:b w:val="0"/>
                <w:bCs w:val="0"/>
                <w:color w:val="auto"/>
                <w:kern w:val="0"/>
                <w:sz w:val="20"/>
                <w:szCs w:val="20"/>
                <w:highlight w:val="none"/>
                <w:lang w:val="en-US" w:eastAsia="zh-CN"/>
              </w:rPr>
              <w:t>（</w:t>
            </w:r>
            <w:r>
              <w:rPr>
                <w:rFonts w:hint="eastAsia" w:ascii="微软雅黑" w:hAnsi="微软雅黑" w:eastAsia="微软雅黑" w:cs="微软雅黑"/>
                <w:b w:val="0"/>
                <w:bCs w:val="0"/>
                <w:i w:val="0"/>
                <w:iCs w:val="0"/>
                <w:color w:val="000000"/>
                <w:kern w:val="0"/>
                <w:sz w:val="20"/>
                <w:szCs w:val="20"/>
                <w:highlight w:val="none"/>
                <w:u w:val="none"/>
                <w:lang w:val="en-US" w:eastAsia="zh-CN"/>
              </w:rPr>
              <w:t>7.9㎡）</w:t>
            </w:r>
          </w:p>
          <w:p w14:paraId="156529E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w:t>
            </w:r>
            <w:bookmarkStart w:id="0" w:name="_GoBack"/>
            <w:bookmarkEnd w:id="0"/>
            <w:r>
              <w:rPr>
                <w:rFonts w:hint="default" w:ascii="宋体" w:hAnsi="宋体" w:cs="宋体"/>
                <w:b w:val="0"/>
                <w:bCs w:val="0"/>
                <w:color w:val="auto"/>
                <w:kern w:val="0"/>
                <w:sz w:val="20"/>
                <w:szCs w:val="20"/>
                <w:highlight w:val="none"/>
                <w:lang w:val="en-US" w:eastAsia="zh-CN"/>
              </w:rPr>
              <w:t>1、屏体尺寸宽度≥</w:t>
            </w:r>
            <w:r>
              <w:rPr>
                <w:rFonts w:hint="eastAsia" w:ascii="宋体" w:hAnsi="宋体" w:cs="宋体"/>
                <w:b w:val="0"/>
                <w:bCs w:val="0"/>
                <w:color w:val="auto"/>
                <w:kern w:val="0"/>
                <w:sz w:val="20"/>
                <w:szCs w:val="20"/>
                <w:highlight w:val="none"/>
                <w:lang w:val="en-US" w:eastAsia="zh-CN"/>
              </w:rPr>
              <w:t>3.93</w:t>
            </w:r>
            <w:r>
              <w:rPr>
                <w:rFonts w:hint="default" w:ascii="宋体" w:hAnsi="宋体" w:cs="宋体"/>
                <w:b w:val="0"/>
                <w:bCs w:val="0"/>
                <w:color w:val="auto"/>
                <w:kern w:val="0"/>
                <w:sz w:val="20"/>
                <w:szCs w:val="20"/>
                <w:highlight w:val="none"/>
                <w:lang w:val="en-US" w:eastAsia="zh-CN"/>
              </w:rPr>
              <w:t>米，高度≥</w:t>
            </w:r>
            <w:r>
              <w:rPr>
                <w:rFonts w:hint="eastAsia" w:ascii="宋体" w:hAnsi="宋体" w:cs="宋体"/>
                <w:b w:val="0"/>
                <w:bCs w:val="0"/>
                <w:color w:val="auto"/>
                <w:kern w:val="0"/>
                <w:sz w:val="20"/>
                <w:szCs w:val="20"/>
                <w:highlight w:val="none"/>
                <w:lang w:val="en-US" w:eastAsia="zh-CN"/>
              </w:rPr>
              <w:t>2</w:t>
            </w:r>
            <w:r>
              <w:rPr>
                <w:rFonts w:hint="default" w:ascii="宋体" w:hAnsi="宋体" w:cs="宋体"/>
                <w:b w:val="0"/>
                <w:bCs w:val="0"/>
                <w:color w:val="auto"/>
                <w:kern w:val="0"/>
                <w:sz w:val="20"/>
                <w:szCs w:val="20"/>
                <w:highlight w:val="none"/>
                <w:lang w:val="en-US" w:eastAsia="zh-CN"/>
              </w:rPr>
              <w:t>.0</w:t>
            </w:r>
            <w:r>
              <w:rPr>
                <w:rFonts w:hint="eastAsia" w:ascii="宋体" w:hAnsi="宋体" w:cs="宋体"/>
                <w:b w:val="0"/>
                <w:bCs w:val="0"/>
                <w:color w:val="auto"/>
                <w:kern w:val="0"/>
                <w:sz w:val="20"/>
                <w:szCs w:val="20"/>
                <w:highlight w:val="none"/>
                <w:lang w:val="en-US" w:eastAsia="zh-CN"/>
              </w:rPr>
              <w:t>1</w:t>
            </w:r>
            <w:r>
              <w:rPr>
                <w:rFonts w:hint="default" w:ascii="宋体" w:hAnsi="宋体" w:cs="宋体"/>
                <w:b w:val="0"/>
                <w:bCs w:val="0"/>
                <w:color w:val="auto"/>
                <w:kern w:val="0"/>
                <w:sz w:val="20"/>
                <w:szCs w:val="20"/>
                <w:highlight w:val="none"/>
                <w:lang w:val="en-US" w:eastAsia="zh-CN"/>
              </w:rPr>
              <w:t>米</w:t>
            </w:r>
            <w:r>
              <w:rPr>
                <w:rFonts w:hint="eastAsia" w:ascii="宋体" w:hAnsi="宋体" w:cs="宋体"/>
                <w:b w:val="0"/>
                <w:bCs w:val="0"/>
                <w:color w:val="auto"/>
                <w:kern w:val="0"/>
                <w:sz w:val="20"/>
                <w:szCs w:val="20"/>
                <w:highlight w:val="none"/>
                <w:lang w:val="en-US" w:eastAsia="zh-CN"/>
              </w:rPr>
              <w:t>；</w:t>
            </w:r>
          </w:p>
          <w:p w14:paraId="6C63F23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w:t>
            </w:r>
            <w:r>
              <w:rPr>
                <w:rFonts w:hint="eastAsia" w:ascii="宋体" w:hAnsi="宋体" w:cs="宋体"/>
                <w:b w:val="0"/>
                <w:bCs w:val="0"/>
                <w:color w:val="auto"/>
                <w:kern w:val="0"/>
                <w:sz w:val="20"/>
                <w:szCs w:val="20"/>
                <w:highlight w:val="none"/>
                <w:lang w:val="en-US" w:eastAsia="zh-CN"/>
              </w:rPr>
              <w:t>2、</w:t>
            </w:r>
            <w:r>
              <w:rPr>
                <w:rFonts w:hint="default" w:ascii="宋体" w:hAnsi="宋体" w:cs="宋体"/>
                <w:b w:val="0"/>
                <w:bCs w:val="0"/>
                <w:color w:val="auto"/>
                <w:kern w:val="0"/>
                <w:sz w:val="20"/>
                <w:szCs w:val="20"/>
                <w:highlight w:val="none"/>
                <w:lang w:val="en-US" w:eastAsia="zh-CN"/>
              </w:rPr>
              <w:t>点间距:≤1.538mm；室内全彩屏-1R1G1B-SMD；</w:t>
            </w:r>
          </w:p>
          <w:p w14:paraId="172F9F9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yellow"/>
                <w:lang w:val="en-US" w:eastAsia="zh-CN"/>
              </w:rPr>
            </w:pPr>
            <w:r>
              <w:rPr>
                <w:rFonts w:hint="eastAsia" w:ascii="宋体" w:hAnsi="宋体" w:cs="宋体"/>
                <w:b w:val="0"/>
                <w:bCs w:val="0"/>
                <w:color w:val="auto"/>
                <w:kern w:val="0"/>
                <w:sz w:val="20"/>
                <w:szCs w:val="20"/>
                <w:highlight w:val="none"/>
                <w:lang w:val="en-US" w:eastAsia="zh-CN"/>
              </w:rPr>
              <w:t>3</w:t>
            </w:r>
            <w:r>
              <w:rPr>
                <w:rFonts w:hint="default" w:ascii="宋体" w:hAnsi="宋体" w:cs="宋体"/>
                <w:b w:val="0"/>
                <w:bCs w:val="0"/>
                <w:color w:val="auto"/>
                <w:kern w:val="0"/>
                <w:sz w:val="20"/>
                <w:szCs w:val="20"/>
                <w:highlight w:val="none"/>
                <w:lang w:val="en-US" w:eastAsia="zh-CN"/>
              </w:rPr>
              <w:t>、模组尺寸：320mm*160mm；模组分辨率：208*104；</w:t>
            </w:r>
          </w:p>
          <w:p w14:paraId="0D8C9B8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4</w:t>
            </w:r>
            <w:r>
              <w:rPr>
                <w:rFonts w:hint="default" w:ascii="宋体" w:hAnsi="宋体" w:cs="宋体"/>
                <w:b w:val="0"/>
                <w:bCs w:val="0"/>
                <w:color w:val="auto"/>
                <w:kern w:val="0"/>
                <w:sz w:val="20"/>
                <w:szCs w:val="20"/>
                <w:highlight w:val="none"/>
                <w:lang w:val="en-US" w:eastAsia="zh-CN"/>
              </w:rPr>
              <w:t>、LED 显示屏保护接地端子应有标记。</w:t>
            </w:r>
          </w:p>
          <w:p w14:paraId="6B90EB4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w:t>
            </w:r>
            <w:r>
              <w:rPr>
                <w:rFonts w:hint="eastAsia" w:ascii="宋体" w:hAnsi="宋体" w:cs="宋体"/>
                <w:b w:val="0"/>
                <w:bCs w:val="0"/>
                <w:color w:val="auto"/>
                <w:kern w:val="0"/>
                <w:sz w:val="20"/>
                <w:szCs w:val="20"/>
                <w:highlight w:val="none"/>
                <w:lang w:val="en-US" w:eastAsia="zh-CN"/>
              </w:rPr>
              <w:t>5</w:t>
            </w:r>
            <w:r>
              <w:rPr>
                <w:rFonts w:hint="default" w:ascii="宋体" w:hAnsi="宋体" w:cs="宋体"/>
                <w:b w:val="0"/>
                <w:bCs w:val="0"/>
                <w:color w:val="auto"/>
                <w:kern w:val="0"/>
                <w:sz w:val="20"/>
                <w:szCs w:val="20"/>
                <w:highlight w:val="none"/>
                <w:lang w:val="en-US" w:eastAsia="zh-CN"/>
              </w:rPr>
              <w:t>、刷新率:≥3840Hz；</w:t>
            </w:r>
            <w:r>
              <w:rPr>
                <w:rFonts w:hint="eastAsia" w:ascii="宋体" w:hAnsi="宋体" w:cs="宋体"/>
                <w:b/>
                <w:bCs/>
                <w:color w:val="auto"/>
                <w:kern w:val="0"/>
                <w:sz w:val="20"/>
                <w:szCs w:val="20"/>
                <w:highlight w:val="none"/>
                <w:lang w:val="en-US" w:eastAsia="zh-CN"/>
              </w:rPr>
              <w:t>（投标时须提供国家认可的第三方检测机构出具的关于该功能检测报告复印件）</w:t>
            </w:r>
          </w:p>
          <w:p w14:paraId="2FEA150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6</w:t>
            </w:r>
            <w:r>
              <w:rPr>
                <w:rFonts w:hint="default" w:ascii="宋体" w:hAnsi="宋体" w:cs="宋体"/>
                <w:b w:val="0"/>
                <w:bCs w:val="0"/>
                <w:color w:val="auto"/>
                <w:kern w:val="0"/>
                <w:sz w:val="20"/>
                <w:szCs w:val="20"/>
                <w:highlight w:val="none"/>
                <w:lang w:val="en-US" w:eastAsia="zh-CN"/>
              </w:rPr>
              <w:t>、LED显示屏的可视角度，水平视角应≥160°，垂直视角应≥140°；</w:t>
            </w:r>
          </w:p>
          <w:p w14:paraId="003D5C3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7</w:t>
            </w:r>
            <w:r>
              <w:rPr>
                <w:rFonts w:hint="default" w:ascii="宋体" w:hAnsi="宋体" w:cs="宋体"/>
                <w:b w:val="0"/>
                <w:bCs w:val="0"/>
                <w:color w:val="auto"/>
                <w:kern w:val="0"/>
                <w:sz w:val="20"/>
                <w:szCs w:val="20"/>
                <w:highlight w:val="none"/>
                <w:lang w:val="en-US" w:eastAsia="zh-CN"/>
              </w:rPr>
              <w:t>、发光点中心距偏差≤2%；</w:t>
            </w:r>
          </w:p>
          <w:p w14:paraId="5DAA686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8</w:t>
            </w:r>
            <w:r>
              <w:rPr>
                <w:rFonts w:hint="default" w:ascii="宋体" w:hAnsi="宋体" w:cs="宋体"/>
                <w:b w:val="0"/>
                <w:bCs w:val="0"/>
                <w:color w:val="auto"/>
                <w:kern w:val="0"/>
                <w:sz w:val="20"/>
                <w:szCs w:val="20"/>
                <w:highlight w:val="none"/>
                <w:lang w:val="en-US" w:eastAsia="zh-CN"/>
              </w:rPr>
              <w:t>、抗</w:t>
            </w:r>
            <w:r>
              <w:rPr>
                <w:rFonts w:hint="eastAsia" w:ascii="宋体" w:hAnsi="宋体" w:cs="宋体"/>
                <w:b w:val="0"/>
                <w:bCs w:val="0"/>
                <w:color w:val="auto"/>
                <w:kern w:val="0"/>
                <w:sz w:val="20"/>
                <w:szCs w:val="20"/>
                <w:highlight w:val="none"/>
                <w:lang w:val="en-US" w:eastAsia="zh-CN"/>
              </w:rPr>
              <w:t>振动性能</w:t>
            </w:r>
            <w:r>
              <w:rPr>
                <w:rFonts w:hint="default" w:ascii="宋体" w:hAnsi="宋体" w:cs="宋体"/>
                <w:b w:val="0"/>
                <w:bCs w:val="0"/>
                <w:color w:val="auto"/>
                <w:kern w:val="0"/>
                <w:sz w:val="20"/>
                <w:szCs w:val="20"/>
                <w:highlight w:val="none"/>
                <w:lang w:val="en-US" w:eastAsia="zh-CN"/>
              </w:rPr>
              <w:t>:振动频率：5Hz-55Hz-5Hz</w:t>
            </w: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振动幅度：0.19mm</w:t>
            </w:r>
            <w:r>
              <w:rPr>
                <w:rFonts w:hint="eastAsia" w:ascii="宋体" w:hAnsi="宋体" w:cs="宋体"/>
                <w:b w:val="0"/>
                <w:bCs w:val="0"/>
                <w:color w:val="auto"/>
                <w:kern w:val="0"/>
                <w:sz w:val="20"/>
                <w:szCs w:val="20"/>
                <w:highlight w:val="none"/>
                <w:lang w:val="en-US" w:eastAsia="zh-CN"/>
              </w:rPr>
              <w:t>，</w:t>
            </w:r>
            <w:r>
              <w:rPr>
                <w:rFonts w:hint="default" w:ascii="宋体" w:hAnsi="宋体" w:cs="宋体"/>
                <w:b w:val="0"/>
                <w:bCs w:val="0"/>
                <w:color w:val="auto"/>
                <w:kern w:val="0"/>
                <w:sz w:val="20"/>
                <w:szCs w:val="20"/>
                <w:highlight w:val="none"/>
                <w:lang w:val="en-US" w:eastAsia="zh-CN"/>
              </w:rPr>
              <w:t>振动(正弦)扫频速率：5min/次；冲击试验:GB 4943.1-2022 信息技术设备安全 第1部分 通用要求；支持通过配套软件0-100%无级调节，设置亮度定时调节，及通过亮度传感器自动调节（手动/自动/软件/任意调节）；</w:t>
            </w:r>
          </w:p>
          <w:p w14:paraId="240F8DC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w:t>
            </w:r>
            <w:r>
              <w:rPr>
                <w:rFonts w:hint="eastAsia" w:ascii="宋体" w:hAnsi="宋体" w:cs="宋体"/>
                <w:b w:val="0"/>
                <w:bCs w:val="0"/>
                <w:color w:val="auto"/>
                <w:kern w:val="0"/>
                <w:sz w:val="20"/>
                <w:szCs w:val="20"/>
                <w:highlight w:val="none"/>
                <w:lang w:val="en-US" w:eastAsia="zh-CN"/>
              </w:rPr>
              <w:t>9</w:t>
            </w:r>
            <w:r>
              <w:rPr>
                <w:rFonts w:hint="default" w:ascii="宋体" w:hAnsi="宋体" w:cs="宋体"/>
                <w:b w:val="0"/>
                <w:bCs w:val="0"/>
                <w:color w:val="auto"/>
                <w:kern w:val="0"/>
                <w:sz w:val="20"/>
                <w:szCs w:val="20"/>
                <w:highlight w:val="none"/>
                <w:lang w:val="en-US" w:eastAsia="zh-CN"/>
              </w:rPr>
              <w:t>、亮度:≥500cd/m²；</w:t>
            </w:r>
            <w:r>
              <w:rPr>
                <w:rFonts w:hint="eastAsia" w:ascii="宋体" w:hAnsi="宋体" w:cs="宋体"/>
                <w:b/>
                <w:bCs/>
                <w:color w:val="auto"/>
                <w:kern w:val="0"/>
                <w:sz w:val="20"/>
                <w:szCs w:val="20"/>
                <w:highlight w:val="none"/>
                <w:lang w:val="en-US" w:eastAsia="zh-CN"/>
              </w:rPr>
              <w:t>（投标时须提供国家认可的第三方检测机构出具的关于该功能检测报告复印件）</w:t>
            </w:r>
          </w:p>
          <w:p w14:paraId="391CBDB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10</w:t>
            </w:r>
            <w:r>
              <w:rPr>
                <w:rFonts w:hint="default" w:ascii="宋体" w:hAnsi="宋体" w:cs="宋体"/>
                <w:b w:val="0"/>
                <w:bCs w:val="0"/>
                <w:color w:val="auto"/>
                <w:kern w:val="0"/>
                <w:sz w:val="20"/>
                <w:szCs w:val="20"/>
                <w:highlight w:val="none"/>
                <w:lang w:val="en-US" w:eastAsia="zh-CN"/>
              </w:rPr>
              <w:t>、模组平整度:≤0.1mm ；</w:t>
            </w:r>
          </w:p>
          <w:p w14:paraId="6272508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yellow"/>
                <w:lang w:val="en-US" w:eastAsia="zh-CN"/>
              </w:rPr>
            </w:pPr>
            <w:r>
              <w:rPr>
                <w:rFonts w:hint="default" w:ascii="宋体" w:hAnsi="宋体" w:cs="宋体"/>
                <w:b w:val="0"/>
                <w:bCs w:val="0"/>
                <w:color w:val="auto"/>
                <w:kern w:val="0"/>
                <w:sz w:val="20"/>
                <w:szCs w:val="20"/>
                <w:highlight w:val="none"/>
                <w:lang w:val="en-US" w:eastAsia="zh-CN"/>
              </w:rPr>
              <w:t>1</w:t>
            </w:r>
            <w:r>
              <w:rPr>
                <w:rFonts w:hint="eastAsia" w:ascii="宋体" w:hAnsi="宋体" w:cs="宋体"/>
                <w:b w:val="0"/>
                <w:bCs w:val="0"/>
                <w:color w:val="auto"/>
                <w:kern w:val="0"/>
                <w:sz w:val="20"/>
                <w:szCs w:val="20"/>
                <w:highlight w:val="none"/>
                <w:lang w:val="en-US" w:eastAsia="zh-CN"/>
              </w:rPr>
              <w:t>1</w:t>
            </w:r>
            <w:r>
              <w:rPr>
                <w:rFonts w:hint="default" w:ascii="宋体" w:hAnsi="宋体" w:cs="宋体"/>
                <w:b w:val="0"/>
                <w:bCs w:val="0"/>
                <w:color w:val="auto"/>
                <w:kern w:val="0"/>
                <w:sz w:val="20"/>
                <w:szCs w:val="20"/>
                <w:highlight w:val="none"/>
                <w:lang w:val="en-US" w:eastAsia="zh-CN"/>
              </w:rPr>
              <w:t>、抗拉力测试：</w:t>
            </w:r>
            <w:r>
              <w:rPr>
                <w:rFonts w:hint="eastAsia" w:ascii="宋体" w:hAnsi="宋体" w:cs="宋体"/>
                <w:b w:val="0"/>
                <w:bCs w:val="0"/>
                <w:color w:val="auto"/>
                <w:kern w:val="0"/>
                <w:sz w:val="20"/>
                <w:szCs w:val="20"/>
                <w:highlight w:val="none"/>
                <w:lang w:val="en-US" w:eastAsia="zh-CN"/>
              </w:rPr>
              <w:t>符合SJ/T11141:标准，LED显示屏灯珠抗拉机械强度≥lkg，下压受力≥200KN，抗拉拉力≥14Fm (kN)</w:t>
            </w:r>
          </w:p>
          <w:p w14:paraId="41BDC84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w:t>
            </w:r>
            <w:r>
              <w:rPr>
                <w:rFonts w:hint="eastAsia" w:ascii="宋体" w:hAnsi="宋体" w:cs="宋体"/>
                <w:b w:val="0"/>
                <w:bCs w:val="0"/>
                <w:color w:val="auto"/>
                <w:kern w:val="0"/>
                <w:sz w:val="20"/>
                <w:szCs w:val="20"/>
                <w:highlight w:val="none"/>
                <w:lang w:val="en-US" w:eastAsia="zh-CN"/>
              </w:rPr>
              <w:t>2</w:t>
            </w:r>
            <w:r>
              <w:rPr>
                <w:rFonts w:hint="default" w:ascii="宋体" w:hAnsi="宋体" w:cs="宋体"/>
                <w:b w:val="0"/>
                <w:bCs w:val="0"/>
                <w:color w:val="auto"/>
                <w:kern w:val="0"/>
                <w:sz w:val="20"/>
                <w:szCs w:val="20"/>
                <w:highlight w:val="none"/>
                <w:lang w:val="en-US" w:eastAsia="zh-CN"/>
              </w:rPr>
              <w:t>、最大功耗:≤460W/m²，平均功耗≤150W/m²；</w:t>
            </w:r>
          </w:p>
          <w:p w14:paraId="1F79448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w:t>
            </w:r>
            <w:r>
              <w:rPr>
                <w:rFonts w:hint="eastAsia" w:ascii="宋体" w:hAnsi="宋体" w:cs="宋体"/>
                <w:b w:val="0"/>
                <w:bCs w:val="0"/>
                <w:color w:val="auto"/>
                <w:kern w:val="0"/>
                <w:sz w:val="20"/>
                <w:szCs w:val="20"/>
                <w:highlight w:val="none"/>
                <w:lang w:val="en-US" w:eastAsia="zh-CN"/>
              </w:rPr>
              <w:t>3</w:t>
            </w:r>
            <w:r>
              <w:rPr>
                <w:rFonts w:hint="default" w:ascii="宋体" w:hAnsi="宋体" w:cs="宋体"/>
                <w:b w:val="0"/>
                <w:bCs w:val="0"/>
                <w:color w:val="auto"/>
                <w:kern w:val="0"/>
                <w:sz w:val="20"/>
                <w:szCs w:val="20"/>
                <w:highlight w:val="none"/>
                <w:lang w:val="en-US" w:eastAsia="zh-CN"/>
              </w:rPr>
              <w:t>、平均使用寿命：≥100000小时；</w:t>
            </w:r>
          </w:p>
          <w:p w14:paraId="7E49D90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w:t>
            </w:r>
            <w:r>
              <w:rPr>
                <w:rFonts w:hint="eastAsia" w:ascii="宋体" w:hAnsi="宋体" w:cs="宋体"/>
                <w:b w:val="0"/>
                <w:bCs w:val="0"/>
                <w:color w:val="auto"/>
                <w:kern w:val="0"/>
                <w:sz w:val="20"/>
                <w:szCs w:val="20"/>
                <w:highlight w:val="none"/>
                <w:lang w:val="en-US" w:eastAsia="zh-CN"/>
              </w:rPr>
              <w:t>4</w:t>
            </w:r>
            <w:r>
              <w:rPr>
                <w:rFonts w:hint="default" w:ascii="宋体" w:hAnsi="宋体" w:cs="宋体"/>
                <w:b w:val="0"/>
                <w:bCs w:val="0"/>
                <w:color w:val="auto"/>
                <w:kern w:val="0"/>
                <w:sz w:val="20"/>
                <w:szCs w:val="20"/>
                <w:highlight w:val="none"/>
                <w:lang w:val="en-US" w:eastAsia="zh-CN"/>
              </w:rPr>
              <w:t>、对比度：≥5000：1</w:t>
            </w:r>
            <w:r>
              <w:rPr>
                <w:rFonts w:hint="eastAsia" w:ascii="宋体" w:hAnsi="宋体" w:cs="宋体"/>
                <w:b w:val="0"/>
                <w:bCs w:val="0"/>
                <w:color w:val="auto"/>
                <w:kern w:val="0"/>
                <w:sz w:val="20"/>
                <w:szCs w:val="20"/>
                <w:highlight w:val="none"/>
                <w:lang w:val="en-US" w:eastAsia="zh-CN"/>
              </w:rPr>
              <w:t>。</w:t>
            </w:r>
          </w:p>
          <w:p w14:paraId="7E184DC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二、</w:t>
            </w:r>
            <w:r>
              <w:rPr>
                <w:rFonts w:hint="eastAsia" w:ascii="宋体" w:hAnsi="宋体" w:cs="宋体"/>
                <w:b/>
                <w:bCs/>
                <w:color w:val="auto"/>
                <w:kern w:val="2"/>
                <w:sz w:val="20"/>
                <w:szCs w:val="20"/>
                <w:highlight w:val="none"/>
                <w:lang w:val="en-US" w:eastAsia="zh-CN" w:bidi="ar-SA"/>
              </w:rPr>
              <w:t>主控设备（1台）</w:t>
            </w:r>
          </w:p>
          <w:p w14:paraId="5485EFD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 xml:space="preserve">整屏分辨率：2496*1248=3115008                </w:t>
            </w:r>
          </w:p>
          <w:p w14:paraId="3ED7E91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▲支持设备间和网口间冗余备份多台控制器及控制器间任意网口指定备份其他区域控制范围内容，</w:t>
            </w:r>
            <w:r>
              <w:rPr>
                <w:rFonts w:hint="eastAsia" w:ascii="宋体" w:hAnsi="宋体" w:cs="宋体"/>
                <w:b/>
                <w:bCs/>
                <w:color w:val="auto"/>
                <w:kern w:val="0"/>
                <w:sz w:val="20"/>
                <w:szCs w:val="20"/>
                <w:highlight w:val="none"/>
                <w:lang w:val="en-US" w:eastAsia="zh-CN"/>
              </w:rPr>
              <w:t>（投标时须提供国家认可的第三方检测机构出具的关于该功能检测报告复印件）</w:t>
            </w:r>
            <w:r>
              <w:rPr>
                <w:rFonts w:hint="eastAsia" w:ascii="宋体" w:hAnsi="宋体" w:cs="宋体"/>
                <w:b w:val="0"/>
                <w:bCs w:val="0"/>
                <w:color w:val="auto"/>
                <w:kern w:val="0"/>
                <w:sz w:val="20"/>
                <w:szCs w:val="20"/>
                <w:highlight w:val="none"/>
                <w:lang w:val="en-US" w:eastAsia="zh-CN"/>
              </w:rPr>
              <w:t>。</w:t>
            </w:r>
          </w:p>
          <w:p w14:paraId="71C63F3C">
            <w:pPr>
              <w:keepNext w:val="0"/>
              <w:keepLines w:val="0"/>
              <w:pageBreakBefore w:val="0"/>
              <w:widowControl w:val="0"/>
              <w:numPr>
                <w:ilvl w:val="0"/>
                <w:numId w:val="1"/>
              </w:numPr>
              <w:kinsoku/>
              <w:wordWrap/>
              <w:overflowPunct/>
              <w:topLinePunct w:val="0"/>
              <w:autoSpaceDN/>
              <w:bidi w:val="0"/>
              <w:adjustRightInd/>
              <w:spacing w:line="460" w:lineRule="exact"/>
              <w:jc w:val="left"/>
              <w:textAlignment w:val="auto"/>
              <w:rPr>
                <w:rFonts w:hint="eastAsia" w:ascii="宋体" w:hAnsi="宋体" w:cs="宋体"/>
                <w:b/>
                <w:bCs/>
                <w:color w:val="auto"/>
                <w:kern w:val="2"/>
                <w:sz w:val="20"/>
                <w:szCs w:val="20"/>
                <w:highlight w:val="none"/>
                <w:lang w:val="en-US" w:eastAsia="zh-CN" w:bidi="ar-SA"/>
              </w:rPr>
            </w:pPr>
            <w:r>
              <w:rPr>
                <w:rFonts w:hint="eastAsia" w:ascii="宋体" w:hAnsi="宋体" w:cs="宋体"/>
                <w:b/>
                <w:bCs/>
                <w:color w:val="auto"/>
                <w:kern w:val="2"/>
                <w:sz w:val="20"/>
                <w:szCs w:val="20"/>
                <w:highlight w:val="none"/>
                <w:lang w:val="en-US" w:eastAsia="zh-CN" w:bidi="ar-SA"/>
              </w:rPr>
              <w:t>接收设备（1项）</w:t>
            </w:r>
          </w:p>
          <w:p w14:paraId="3FB2A0F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1.集成8个HUB75，无需再配转接板</w:t>
            </w:r>
            <w:r>
              <w:rPr>
                <w:rFonts w:hint="eastAsia" w:ascii="宋体" w:hAnsi="宋体" w:cs="宋体"/>
                <w:b w:val="0"/>
                <w:bCs w:val="0"/>
                <w:color w:val="auto"/>
                <w:kern w:val="0"/>
                <w:sz w:val="20"/>
                <w:szCs w:val="20"/>
                <w:highlight w:val="none"/>
                <w:lang w:val="en-US" w:eastAsia="zh-CN"/>
              </w:rPr>
              <w:t>；</w:t>
            </w:r>
          </w:p>
          <w:p w14:paraId="495A92F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2.单卡最大带载128×1024像素，最多支持16组并行数据</w:t>
            </w:r>
            <w:r>
              <w:rPr>
                <w:rFonts w:hint="eastAsia" w:ascii="宋体" w:hAnsi="宋体" w:cs="宋体"/>
                <w:b w:val="0"/>
                <w:bCs w:val="0"/>
                <w:color w:val="auto"/>
                <w:kern w:val="0"/>
                <w:sz w:val="20"/>
                <w:szCs w:val="20"/>
                <w:highlight w:val="none"/>
                <w:lang w:val="en-US" w:eastAsia="zh-CN"/>
              </w:rPr>
              <w:t>；</w:t>
            </w:r>
          </w:p>
          <w:p w14:paraId="0B84211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3.支持8bit色深视频源输入输出，单色灰阶为256，可搭配出16777216种混合色彩</w:t>
            </w:r>
            <w:r>
              <w:rPr>
                <w:rFonts w:hint="eastAsia" w:ascii="宋体" w:hAnsi="宋体" w:cs="宋体"/>
                <w:b w:val="0"/>
                <w:bCs w:val="0"/>
                <w:color w:val="auto"/>
                <w:kern w:val="0"/>
                <w:sz w:val="20"/>
                <w:szCs w:val="20"/>
                <w:highlight w:val="none"/>
                <w:lang w:val="en-US" w:eastAsia="zh-CN"/>
              </w:rPr>
              <w:t>。</w:t>
            </w:r>
          </w:p>
          <w:p w14:paraId="57AE8DD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bCs/>
                <w:color w:val="auto"/>
                <w:kern w:val="2"/>
                <w:sz w:val="20"/>
                <w:szCs w:val="20"/>
                <w:highlight w:val="none"/>
                <w:lang w:val="en-US" w:eastAsia="zh-CN" w:bidi="ar-SA"/>
              </w:rPr>
            </w:pPr>
            <w:r>
              <w:rPr>
                <w:rFonts w:hint="eastAsia" w:ascii="宋体" w:hAnsi="宋体" w:cs="宋体"/>
                <w:b/>
                <w:bCs/>
                <w:color w:val="auto"/>
                <w:kern w:val="0"/>
                <w:sz w:val="20"/>
                <w:szCs w:val="20"/>
                <w:highlight w:val="none"/>
                <w:lang w:val="en-US" w:eastAsia="zh-CN"/>
              </w:rPr>
              <w:t>四、</w:t>
            </w:r>
            <w:r>
              <w:rPr>
                <w:rFonts w:hint="eastAsia" w:ascii="宋体" w:hAnsi="宋体" w:cs="宋体"/>
                <w:b/>
                <w:bCs/>
                <w:color w:val="auto"/>
                <w:kern w:val="2"/>
                <w:sz w:val="20"/>
                <w:szCs w:val="20"/>
                <w:highlight w:val="none"/>
                <w:lang w:val="en-US" w:eastAsia="zh-CN" w:bidi="ar-SA"/>
              </w:rPr>
              <w:t>LED全彩电源（1项）</w:t>
            </w:r>
          </w:p>
          <w:p w14:paraId="3A377F9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5V40A200w</w:t>
            </w:r>
          </w:p>
          <w:p w14:paraId="0ADF3FD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五、</w:t>
            </w:r>
            <w:r>
              <w:rPr>
                <w:rFonts w:hint="eastAsia" w:ascii="宋体" w:hAnsi="宋体" w:cs="宋体"/>
                <w:b/>
                <w:bCs/>
                <w:color w:val="auto"/>
                <w:kern w:val="2"/>
                <w:sz w:val="20"/>
                <w:szCs w:val="20"/>
                <w:highlight w:val="none"/>
                <w:lang w:val="en-US" w:eastAsia="zh-CN" w:bidi="ar-SA"/>
              </w:rPr>
              <w:t>黑色铝型材+钢结构</w:t>
            </w:r>
          </w:p>
          <w:p w14:paraId="412A867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1、采用专用支架，拼接效果好，安装简单，美观轻巧</w:t>
            </w:r>
            <w:r>
              <w:rPr>
                <w:rFonts w:hint="eastAsia" w:ascii="宋体" w:hAnsi="宋体" w:cs="宋体"/>
                <w:b w:val="0"/>
                <w:bCs w:val="0"/>
                <w:color w:val="auto"/>
                <w:kern w:val="0"/>
                <w:sz w:val="20"/>
                <w:szCs w:val="20"/>
                <w:highlight w:val="none"/>
                <w:lang w:val="en-US" w:eastAsia="zh-CN"/>
              </w:rPr>
              <w:t>；</w:t>
            </w:r>
          </w:p>
          <w:p w14:paraId="0B36E8B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2、为保障显示屏的整体平整度及避免钢结构日久变形</w:t>
            </w:r>
            <w:r>
              <w:rPr>
                <w:rFonts w:hint="eastAsia" w:ascii="宋体" w:hAnsi="宋体" w:cs="宋体"/>
                <w:b w:val="0"/>
                <w:bCs w:val="0"/>
                <w:color w:val="auto"/>
                <w:kern w:val="0"/>
                <w:sz w:val="20"/>
                <w:szCs w:val="20"/>
                <w:highlight w:val="none"/>
                <w:lang w:val="en-US" w:eastAsia="zh-CN"/>
              </w:rPr>
              <w:t>；</w:t>
            </w:r>
          </w:p>
          <w:p w14:paraId="2B69B9D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3、为保障显示屏的整体平整度及避免钢结构日久变形，LED屏幕的安装需专业技术人员现场指导安装</w:t>
            </w:r>
            <w:r>
              <w:rPr>
                <w:rFonts w:hint="eastAsia" w:ascii="宋体" w:hAnsi="宋体" w:cs="宋体"/>
                <w:b w:val="0"/>
                <w:bCs w:val="0"/>
                <w:color w:val="auto"/>
                <w:kern w:val="0"/>
                <w:sz w:val="20"/>
                <w:szCs w:val="20"/>
                <w:highlight w:val="none"/>
                <w:lang w:val="en-US" w:eastAsia="zh-CN"/>
              </w:rPr>
              <w:t>。</w:t>
            </w:r>
          </w:p>
          <w:p w14:paraId="2D2BF40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六、</w:t>
            </w:r>
            <w:r>
              <w:rPr>
                <w:rFonts w:hint="eastAsia" w:ascii="宋体" w:hAnsi="宋体" w:cs="宋体"/>
                <w:b/>
                <w:bCs/>
                <w:color w:val="auto"/>
                <w:kern w:val="2"/>
                <w:sz w:val="20"/>
                <w:szCs w:val="20"/>
                <w:highlight w:val="none"/>
                <w:lang w:val="en-US" w:eastAsia="zh-CN" w:bidi="ar-SA"/>
              </w:rPr>
              <w:t>播控软件（1套）</w:t>
            </w:r>
          </w:p>
          <w:p w14:paraId="5FD3B5D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显示屏专用播放软件</w:t>
            </w:r>
          </w:p>
          <w:p w14:paraId="52FC80B5">
            <w:pPr>
              <w:keepNext w:val="0"/>
              <w:keepLines w:val="0"/>
              <w:pageBreakBefore w:val="0"/>
              <w:widowControl w:val="0"/>
              <w:numPr>
                <w:ilvl w:val="0"/>
                <w:numId w:val="2"/>
              </w:numPr>
              <w:kinsoku/>
              <w:wordWrap/>
              <w:overflowPunct/>
              <w:topLinePunct w:val="0"/>
              <w:autoSpaceDN/>
              <w:bidi w:val="0"/>
              <w:adjustRightInd/>
              <w:spacing w:line="460" w:lineRule="exact"/>
              <w:jc w:val="left"/>
              <w:textAlignment w:val="auto"/>
              <w:rPr>
                <w:rFonts w:hint="eastAsia" w:ascii="宋体" w:hAnsi="宋体" w:cs="宋体"/>
                <w:b/>
                <w:bCs/>
                <w:color w:val="auto"/>
                <w:kern w:val="2"/>
                <w:sz w:val="20"/>
                <w:szCs w:val="20"/>
                <w:highlight w:val="none"/>
                <w:lang w:val="en-US" w:eastAsia="zh-CN" w:bidi="ar-SA"/>
              </w:rPr>
            </w:pPr>
            <w:r>
              <w:rPr>
                <w:rFonts w:hint="eastAsia" w:ascii="宋体" w:hAnsi="宋体" w:cs="宋体"/>
                <w:b/>
                <w:bCs/>
                <w:color w:val="auto"/>
                <w:kern w:val="2"/>
                <w:sz w:val="20"/>
                <w:szCs w:val="20"/>
                <w:highlight w:val="none"/>
                <w:lang w:val="en-US" w:eastAsia="zh-CN" w:bidi="ar-SA"/>
              </w:rPr>
              <w:t>安装调试</w:t>
            </w:r>
          </w:p>
          <w:p w14:paraId="3C18FCC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含屏体内部布线</w:t>
            </w:r>
          </w:p>
          <w:p w14:paraId="635B0A96">
            <w:pPr>
              <w:keepNext w:val="0"/>
              <w:keepLines w:val="0"/>
              <w:pageBreakBefore w:val="0"/>
              <w:widowControl w:val="0"/>
              <w:numPr>
                <w:ilvl w:val="0"/>
                <w:numId w:val="2"/>
              </w:numPr>
              <w:kinsoku/>
              <w:wordWrap/>
              <w:overflowPunct/>
              <w:topLinePunct w:val="0"/>
              <w:autoSpaceDN/>
              <w:bidi w:val="0"/>
              <w:adjustRightInd/>
              <w:spacing w:line="460" w:lineRule="exact"/>
              <w:ind w:left="0" w:leftChars="0" w:firstLine="0" w:firstLineChars="0"/>
              <w:jc w:val="left"/>
              <w:textAlignment w:val="auto"/>
              <w:rPr>
                <w:rFonts w:hint="eastAsia" w:ascii="宋体" w:hAnsi="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综合布线</w:t>
            </w:r>
            <w:r>
              <w:rPr>
                <w:rFonts w:hint="eastAsia" w:ascii="宋体" w:hAnsi="宋体" w:cs="宋体"/>
                <w:b/>
                <w:bCs/>
                <w:color w:val="auto"/>
                <w:kern w:val="2"/>
                <w:sz w:val="20"/>
                <w:szCs w:val="20"/>
                <w:highlight w:val="none"/>
                <w:lang w:val="en-US" w:eastAsia="zh-CN" w:bidi="ar-SA"/>
              </w:rPr>
              <w:t>（1项）</w:t>
            </w:r>
          </w:p>
          <w:p w14:paraId="1A55ED0C">
            <w:pPr>
              <w:keepNext w:val="0"/>
              <w:keepLines w:val="0"/>
              <w:pageBreakBefore w:val="0"/>
              <w:widowControl w:val="0"/>
              <w:numPr>
                <w:ilvl w:val="0"/>
                <w:numId w:val="0"/>
              </w:numPr>
              <w:kinsoku/>
              <w:wordWrap/>
              <w:overflowPunct/>
              <w:topLinePunct w:val="0"/>
              <w:autoSpaceDN/>
              <w:bidi w:val="0"/>
              <w:adjustRightInd/>
              <w:spacing w:line="460" w:lineRule="exact"/>
              <w:ind w:leftChars="0"/>
              <w:jc w:val="left"/>
              <w:textAlignment w:val="auto"/>
              <w:rPr>
                <w:rFonts w:hint="eastAsia"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主电缆线；预留4平方电缆线2组，网线8条，音频线2组</w:t>
            </w:r>
          </w:p>
          <w:p w14:paraId="6AD066BC">
            <w:pPr>
              <w:keepNext w:val="0"/>
              <w:keepLines w:val="0"/>
              <w:pageBreakBefore w:val="0"/>
              <w:widowControl w:val="0"/>
              <w:numPr>
                <w:ilvl w:val="0"/>
                <w:numId w:val="0"/>
              </w:numPr>
              <w:kinsoku/>
              <w:wordWrap/>
              <w:overflowPunct/>
              <w:topLinePunct w:val="0"/>
              <w:autoSpaceDN/>
              <w:bidi w:val="0"/>
              <w:adjustRightInd/>
              <w:spacing w:line="460" w:lineRule="exact"/>
              <w:ind w:leftChars="0"/>
              <w:jc w:val="left"/>
              <w:textAlignment w:val="auto"/>
              <w:rPr>
                <w:rFonts w:hint="default" w:ascii="宋体" w:hAnsi="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九、</w:t>
            </w:r>
            <w:r>
              <w:rPr>
                <w:rFonts w:hint="eastAsia" w:ascii="宋体" w:hAnsi="宋体" w:cs="宋体"/>
                <w:b/>
                <w:bCs/>
                <w:color w:val="auto"/>
                <w:kern w:val="2"/>
                <w:sz w:val="20"/>
                <w:szCs w:val="20"/>
                <w:highlight w:val="none"/>
                <w:lang w:val="en-US" w:eastAsia="zh-CN" w:bidi="ar-SA"/>
              </w:rPr>
              <w:t>备品备件（1项）</w:t>
            </w:r>
          </w:p>
          <w:p w14:paraId="01EA1AA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20"/>
                <w:szCs w:val="20"/>
                <w:highlight w:val="none"/>
                <w:lang w:val="en-US" w:eastAsia="zh-CN"/>
              </w:rPr>
            </w:pPr>
            <w:r>
              <w:rPr>
                <w:rFonts w:hint="eastAsia" w:ascii="宋体" w:hAnsi="宋体" w:cs="宋体"/>
                <w:b w:val="0"/>
                <w:bCs w:val="0"/>
                <w:color w:val="auto"/>
                <w:kern w:val="0"/>
                <w:sz w:val="20"/>
                <w:szCs w:val="20"/>
                <w:highlight w:val="none"/>
                <w:lang w:val="en-US" w:eastAsia="zh-CN"/>
              </w:rPr>
              <w:t>套餐含单元板2张电源及接收卡各1</w:t>
            </w:r>
          </w:p>
          <w:p w14:paraId="0DF010A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十、</w:t>
            </w:r>
            <w:r>
              <w:rPr>
                <w:rFonts w:hint="eastAsia" w:ascii="宋体" w:hAnsi="宋体" w:cs="宋体"/>
                <w:b/>
                <w:bCs/>
                <w:color w:val="auto"/>
                <w:kern w:val="2"/>
                <w:sz w:val="20"/>
                <w:szCs w:val="20"/>
                <w:highlight w:val="none"/>
                <w:lang w:val="en-US" w:eastAsia="zh-CN" w:bidi="ar-SA"/>
              </w:rPr>
              <w:t>智能安全供电器</w:t>
            </w:r>
          </w:p>
          <w:p w14:paraId="03E8182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1.设备功率：16KW</w:t>
            </w:r>
          </w:p>
          <w:p w14:paraId="333793C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▲2.高强度防火抗干扰外壳采用航空级高强度金属材质，通过国家级防火认证，兼具抗电磁干扰（EMI）与抗外力冲击性能，可承受≥1000N冲击载荷，显著提升设备耐用性，使用寿命延长至10年以上。</w:t>
            </w:r>
            <w:r>
              <w:rPr>
                <w:rFonts w:hint="eastAsia" w:ascii="宋体" w:hAnsi="宋体" w:cs="宋体"/>
                <w:b/>
                <w:bCs/>
                <w:color w:val="auto"/>
                <w:kern w:val="0"/>
                <w:sz w:val="20"/>
                <w:szCs w:val="20"/>
                <w:highlight w:val="none"/>
                <w:lang w:val="en-US" w:eastAsia="zh-CN"/>
              </w:rPr>
              <w:t>（投标时须提供国家认可的第三方检测机构出具的关于该功能检测报告复印件）</w:t>
            </w:r>
          </w:p>
          <w:p w14:paraId="33CB587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3.支持显示屏内部空间嵌入或吊顶安装，仅需2颗M4螺丝固定（无需膨胀螺丝），单人10分钟内可完成安装。</w:t>
            </w:r>
          </w:p>
          <w:p w14:paraId="7DD2D5D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4.采用分布式上电技术，启停时无触点吸合噪音，运行噪音≤20dB，较传统设备降低90%。</w:t>
            </w:r>
          </w:p>
          <w:p w14:paraId="5ED3B39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5.内置双散热风机，配合全金属外壳导热设计，散热效率提升40%，可在-20℃~60℃宽温环境下稳定运行，避免高温老化导致的故障。</w:t>
            </w:r>
          </w:p>
          <w:p w14:paraId="328D251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6.设备自带≥4.3英寸彩色触控屏实时显示三相电参数（电压/电流/ 功率/用电量）及12类信息查看（高压/低压/漏电/雷击 /过流/高温/烟雾/湿度/粉尘/亮度/自动重合闸/合闸前检测等）。</w:t>
            </w:r>
            <w:r>
              <w:rPr>
                <w:rFonts w:hint="eastAsia" w:ascii="宋体" w:hAnsi="宋体" w:cs="宋体"/>
                <w:b/>
                <w:bCs/>
                <w:color w:val="auto"/>
                <w:kern w:val="0"/>
                <w:sz w:val="20"/>
                <w:szCs w:val="20"/>
                <w:highlight w:val="none"/>
                <w:lang w:val="en-US" w:eastAsia="zh-CN"/>
              </w:rPr>
              <w:t>（投标时须提供国家认可的第三方检测机构出具的关于该功能检测报告复印件）</w:t>
            </w:r>
          </w:p>
          <w:p w14:paraId="4462F34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▲7.支持身份证识别、Ukey数字密钥、动态二维码/短信密码登录。</w:t>
            </w:r>
            <w:r>
              <w:rPr>
                <w:rFonts w:hint="eastAsia" w:ascii="宋体" w:hAnsi="宋体" w:cs="宋体"/>
                <w:b/>
                <w:bCs/>
                <w:color w:val="auto"/>
                <w:kern w:val="0"/>
                <w:sz w:val="20"/>
                <w:szCs w:val="20"/>
                <w:highlight w:val="none"/>
                <w:lang w:val="en-US" w:eastAsia="zh-CN"/>
              </w:rPr>
              <w:t>（投标时须提供国家认可的第三方检测机构出具的关于该功能检测报告复印件）</w:t>
            </w:r>
          </w:p>
          <w:p w14:paraId="221F6D8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▲8.内置2组10A标准五孔插座，支持独立定时控制（精度±1秒），可设定显示屏与音频设备启停时差（如显示屏提前10分钟开机预热，下班同步关闭音视频等），解决LED显示屏与音频同步控制问题。</w:t>
            </w:r>
            <w:r>
              <w:rPr>
                <w:rFonts w:hint="eastAsia" w:ascii="宋体" w:hAnsi="宋体" w:cs="宋体"/>
                <w:b/>
                <w:bCs/>
                <w:color w:val="auto"/>
                <w:kern w:val="0"/>
                <w:sz w:val="20"/>
                <w:szCs w:val="20"/>
                <w:highlight w:val="none"/>
                <w:lang w:val="en-US" w:eastAsia="zh-CN"/>
              </w:rPr>
              <w:t>（投标时须提供国家认可的第三方检测机构出具的关于该功能检测报告复印件）</w:t>
            </w:r>
          </w:p>
          <w:p w14:paraId="577E467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▲9.输出航空插头：输入/输出采用M20航空插头，标准化防呆设计，非专业人员亦可操作，接线效率提升50%。</w:t>
            </w:r>
            <w:r>
              <w:rPr>
                <w:rFonts w:hint="eastAsia" w:ascii="宋体" w:hAnsi="宋体" w:cs="宋体"/>
                <w:b/>
                <w:bCs/>
                <w:color w:val="auto"/>
                <w:kern w:val="0"/>
                <w:sz w:val="20"/>
                <w:szCs w:val="20"/>
                <w:highlight w:val="none"/>
                <w:lang w:val="en-US" w:eastAsia="zh-CN"/>
              </w:rPr>
              <w:t>（投标时须提供国家认可的第三方检测机构出具的关于该功能检测报告复印件）</w:t>
            </w:r>
          </w:p>
          <w:p w14:paraId="557F40B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▲10.采用 2P 双极保护器，集成1英寸高清液晶显示屏，实时动态显示电压、电流、功率等关键运行参数，设备状态一目了然，支持快速监控与故障诊断，显著提升运维效率。</w:t>
            </w:r>
            <w:r>
              <w:rPr>
                <w:rFonts w:hint="eastAsia" w:ascii="宋体" w:hAnsi="宋体" w:cs="宋体"/>
                <w:b/>
                <w:bCs/>
                <w:color w:val="auto"/>
                <w:kern w:val="0"/>
                <w:sz w:val="20"/>
                <w:szCs w:val="20"/>
                <w:highlight w:val="none"/>
                <w:lang w:val="en-US" w:eastAsia="zh-CN"/>
              </w:rPr>
              <w:t>（投标时须提供国家认可的第三方检测机构出具的关于该功能检测报告复印件）</w:t>
            </w:r>
          </w:p>
          <w:p w14:paraId="220AD71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11.支持局域网电脑控制（RJ45）、中控iPad控制（485）、无线遥控（2.4GHz）、WLAN移动端软件控制、86盒触控面板控制、4G无线控制可选。</w:t>
            </w:r>
          </w:p>
          <w:p w14:paraId="2D18278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r>
              <w:rPr>
                <w:rFonts w:hint="default" w:ascii="宋体" w:hAnsi="宋体" w:cs="宋体"/>
                <w:b w:val="0"/>
                <w:bCs w:val="0"/>
                <w:color w:val="auto"/>
                <w:kern w:val="0"/>
                <w:sz w:val="20"/>
                <w:szCs w:val="20"/>
                <w:highlight w:val="none"/>
                <w:lang w:val="en-US" w:eastAsia="zh-CN"/>
              </w:rPr>
              <w:t>12.遥控器配备实时动态显示设备开关状态、操作指令执行结果。按键支持视觉提示（如按开启时遥控器指示灯亮起、无效指令则无反应），无需频繁往返现场或查看终端设备，操作状态通过指示灯实时可视化反馈。</w:t>
            </w:r>
            <w:r>
              <w:rPr>
                <w:rFonts w:hint="eastAsia" w:ascii="宋体" w:hAnsi="宋体" w:cs="宋体"/>
                <w:b/>
                <w:bCs/>
                <w:color w:val="auto"/>
                <w:kern w:val="0"/>
                <w:sz w:val="20"/>
                <w:szCs w:val="20"/>
                <w:highlight w:val="none"/>
                <w:lang w:val="en-US" w:eastAsia="zh-CN"/>
              </w:rPr>
              <w:t>（投标时须提供国家认可的第三方检测机构出具的关于该功能检测报告复印件）</w:t>
            </w:r>
          </w:p>
          <w:p w14:paraId="30D4302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p>
        </w:tc>
        <w:tc>
          <w:tcPr>
            <w:tcW w:w="210" w:type="pct"/>
            <w:vAlign w:val="center"/>
          </w:tcPr>
          <w:p w14:paraId="5E486287">
            <w:pPr>
              <w:keepNext w:val="0"/>
              <w:keepLines w:val="0"/>
              <w:widowControl/>
              <w:suppressLineNumbers w:val="0"/>
              <w:jc w:val="center"/>
              <w:textAlignment w:val="center"/>
              <w:rPr>
                <w:rFonts w:hint="default" w:ascii="宋体" w:hAnsi="宋体" w:eastAsia="宋体" w:cs="宋体"/>
                <w:color w:val="auto"/>
                <w:kern w:val="2"/>
                <w:sz w:val="20"/>
                <w:szCs w:val="20"/>
                <w:highlight w:val="none"/>
                <w:vertAlign w:val="baseline"/>
                <w:lang w:val="en-US" w:eastAsia="zh-CN" w:bidi="ar-SA"/>
              </w:rPr>
            </w:pPr>
            <w:r>
              <w:rPr>
                <w:rFonts w:hint="eastAsia" w:ascii="宋体" w:hAnsi="宋体" w:cs="宋体"/>
                <w:color w:val="auto"/>
                <w:kern w:val="2"/>
                <w:sz w:val="20"/>
                <w:szCs w:val="20"/>
                <w:highlight w:val="none"/>
                <w:vertAlign w:val="baseline"/>
                <w:lang w:val="en-US" w:eastAsia="zh-CN" w:bidi="ar-SA"/>
              </w:rPr>
              <w:t>1</w:t>
            </w:r>
          </w:p>
        </w:tc>
        <w:tc>
          <w:tcPr>
            <w:tcW w:w="210" w:type="pct"/>
            <w:vAlign w:val="center"/>
          </w:tcPr>
          <w:p w14:paraId="4456A230">
            <w:pPr>
              <w:keepNext w:val="0"/>
              <w:keepLines w:val="0"/>
              <w:widowControl/>
              <w:suppressLineNumbers w:val="0"/>
              <w:jc w:val="center"/>
              <w:textAlignment w:val="center"/>
              <w:rPr>
                <w:rFonts w:hint="default" w:ascii="宋体" w:hAnsi="宋体" w:eastAsia="宋体" w:cs="宋体"/>
                <w:color w:val="auto"/>
                <w:kern w:val="2"/>
                <w:sz w:val="20"/>
                <w:szCs w:val="20"/>
                <w:highlight w:val="none"/>
                <w:vertAlign w:val="baseline"/>
                <w:lang w:val="en-US" w:eastAsia="zh-CN" w:bidi="ar-SA"/>
              </w:rPr>
            </w:pPr>
            <w:r>
              <w:rPr>
                <w:rFonts w:hint="eastAsia" w:ascii="宋体" w:hAnsi="宋体" w:cs="宋体"/>
                <w:color w:val="auto"/>
                <w:kern w:val="2"/>
                <w:sz w:val="20"/>
                <w:szCs w:val="20"/>
                <w:highlight w:val="none"/>
                <w:vertAlign w:val="baseline"/>
                <w:lang w:val="en-US" w:eastAsia="zh-CN" w:bidi="ar-SA"/>
              </w:rPr>
              <w:t>套</w:t>
            </w:r>
          </w:p>
        </w:tc>
        <w:tc>
          <w:tcPr>
            <w:tcW w:w="332" w:type="pct"/>
            <w:shd w:val="clear" w:color="auto" w:fill="auto"/>
            <w:vAlign w:val="center"/>
          </w:tcPr>
          <w:p w14:paraId="74167A36">
            <w:pPr>
              <w:keepNext w:val="0"/>
              <w:keepLines w:val="0"/>
              <w:widowControl/>
              <w:suppressLineNumbers w:val="0"/>
              <w:jc w:val="center"/>
              <w:textAlignment w:val="center"/>
              <w:rPr>
                <w:rFonts w:hint="default" w:ascii="黑体" w:hAnsi="宋体" w:eastAsia="黑体" w:cs="黑体"/>
                <w:b/>
                <w:bCs/>
                <w:i w:val="0"/>
                <w:iCs w:val="0"/>
                <w:color w:val="000000"/>
                <w:kern w:val="2"/>
                <w:sz w:val="22"/>
                <w:szCs w:val="22"/>
                <w:highlight w:val="none"/>
                <w:u w:val="none"/>
                <w:lang w:val="en-US" w:eastAsia="zh-CN" w:bidi="ar-SA"/>
              </w:rPr>
            </w:pPr>
            <w:r>
              <w:rPr>
                <w:rFonts w:hint="default" w:ascii="宋体" w:hAnsi="宋体" w:eastAsia="宋体" w:cs="宋体"/>
                <w:b w:val="0"/>
                <w:bCs w:val="0"/>
                <w:i w:val="0"/>
                <w:iCs w:val="0"/>
                <w:color w:val="000000"/>
                <w:kern w:val="2"/>
                <w:sz w:val="22"/>
                <w:szCs w:val="22"/>
                <w:highlight w:val="none"/>
                <w:u w:val="none"/>
                <w:lang w:val="en-US" w:eastAsia="zh-CN" w:bidi="ar-SA"/>
              </w:rPr>
              <w:t xml:space="preserve"> </w:t>
            </w:r>
            <w:r>
              <w:rPr>
                <w:rFonts w:hint="eastAsia" w:ascii="宋体" w:hAnsi="宋体" w:cs="宋体"/>
                <w:b w:val="0"/>
                <w:bCs w:val="0"/>
                <w:i w:val="0"/>
                <w:iCs w:val="0"/>
                <w:color w:val="000000"/>
                <w:kern w:val="2"/>
                <w:sz w:val="22"/>
                <w:szCs w:val="22"/>
                <w:highlight w:val="none"/>
                <w:u w:val="none"/>
                <w:lang w:val="en-US" w:eastAsia="zh-CN" w:bidi="ar-SA"/>
              </w:rPr>
              <w:t>59200</w:t>
            </w:r>
          </w:p>
        </w:tc>
        <w:tc>
          <w:tcPr>
            <w:tcW w:w="370" w:type="pct"/>
            <w:shd w:val="clear" w:color="auto" w:fill="auto"/>
            <w:vAlign w:val="center"/>
          </w:tcPr>
          <w:p w14:paraId="37E15E30">
            <w:pPr>
              <w:keepNext w:val="0"/>
              <w:keepLines w:val="0"/>
              <w:widowControl/>
              <w:suppressLineNumbers w:val="0"/>
              <w:jc w:val="center"/>
              <w:textAlignment w:val="center"/>
              <w:rPr>
                <w:rFonts w:hint="default" w:ascii="黑体" w:hAnsi="宋体" w:eastAsia="黑体" w:cs="黑体"/>
                <w:b w:val="0"/>
                <w:bCs w:val="0"/>
                <w:i w:val="0"/>
                <w:iCs w:val="0"/>
                <w:color w:val="000000"/>
                <w:kern w:val="2"/>
                <w:sz w:val="22"/>
                <w:szCs w:val="22"/>
                <w:highlight w:val="none"/>
                <w:u w:val="none"/>
                <w:lang w:val="en-US" w:eastAsia="zh-CN" w:bidi="ar-SA"/>
              </w:rPr>
            </w:pPr>
            <w:r>
              <w:rPr>
                <w:rFonts w:hint="default" w:ascii="宋体" w:hAnsi="宋体" w:eastAsia="宋体" w:cs="宋体"/>
                <w:b w:val="0"/>
                <w:bCs w:val="0"/>
                <w:i w:val="0"/>
                <w:iCs w:val="0"/>
                <w:color w:val="000000"/>
                <w:kern w:val="2"/>
                <w:sz w:val="22"/>
                <w:szCs w:val="22"/>
                <w:highlight w:val="none"/>
                <w:u w:val="none"/>
                <w:lang w:val="en-US" w:eastAsia="zh-CN" w:bidi="ar-SA"/>
              </w:rPr>
              <w:t xml:space="preserve"> </w:t>
            </w:r>
            <w:r>
              <w:rPr>
                <w:rFonts w:hint="eastAsia" w:ascii="宋体" w:hAnsi="宋体" w:cs="宋体"/>
                <w:b w:val="0"/>
                <w:bCs w:val="0"/>
                <w:i w:val="0"/>
                <w:iCs w:val="0"/>
                <w:color w:val="000000"/>
                <w:kern w:val="2"/>
                <w:sz w:val="22"/>
                <w:szCs w:val="22"/>
                <w:highlight w:val="none"/>
                <w:u w:val="none"/>
                <w:lang w:val="en-US" w:eastAsia="zh-CN" w:bidi="ar-SA"/>
              </w:rPr>
              <w:t>59200</w:t>
            </w:r>
          </w:p>
        </w:tc>
      </w:tr>
      <w:tr w14:paraId="0AF0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22" w:type="pct"/>
            <w:vAlign w:val="center"/>
          </w:tcPr>
          <w:p w14:paraId="3EEF55ED">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color w:val="auto"/>
                <w:sz w:val="20"/>
                <w:szCs w:val="20"/>
                <w:highlight w:val="none"/>
              </w:rPr>
            </w:pPr>
          </w:p>
        </w:tc>
        <w:tc>
          <w:tcPr>
            <w:tcW w:w="328" w:type="pct"/>
            <w:vAlign w:val="center"/>
          </w:tcPr>
          <w:p w14:paraId="53798B45">
            <w:pPr>
              <w:keepNext w:val="0"/>
              <w:keepLines w:val="0"/>
              <w:pageBreakBefore w:val="0"/>
              <w:kinsoku/>
              <w:wordWrap/>
              <w:overflowPunct/>
              <w:topLinePunct w:val="0"/>
              <w:autoSpaceDE/>
              <w:autoSpaceDN/>
              <w:bidi w:val="0"/>
              <w:spacing w:line="288" w:lineRule="auto"/>
              <w:jc w:val="center"/>
              <w:textAlignment w:val="auto"/>
              <w:rPr>
                <w:rFonts w:hint="eastAsia" w:ascii="宋体" w:hAnsi="宋体" w:cs="宋体"/>
                <w:color w:val="auto"/>
                <w:kern w:val="2"/>
                <w:sz w:val="20"/>
                <w:szCs w:val="20"/>
                <w:highlight w:val="none"/>
                <w:lang w:val="en-US" w:eastAsia="zh-CN" w:bidi="ar-SA"/>
              </w:rPr>
            </w:pPr>
          </w:p>
        </w:tc>
        <w:tc>
          <w:tcPr>
            <w:tcW w:w="345" w:type="pct"/>
            <w:vAlign w:val="center"/>
          </w:tcPr>
          <w:p w14:paraId="263354C5">
            <w:pPr>
              <w:keepNext w:val="0"/>
              <w:keepLines w:val="0"/>
              <w:pageBreakBefore w:val="0"/>
              <w:kinsoku/>
              <w:wordWrap/>
              <w:overflowPunct/>
              <w:topLinePunct w:val="0"/>
              <w:autoSpaceDE/>
              <w:autoSpaceDN/>
              <w:bidi w:val="0"/>
              <w:spacing w:line="288" w:lineRule="auto"/>
              <w:textAlignment w:val="auto"/>
              <w:rPr>
                <w:rFonts w:hint="eastAsia" w:ascii="宋体" w:hAnsi="宋体" w:cs="宋体"/>
                <w:b w:val="0"/>
                <w:bCs w:val="0"/>
                <w:color w:val="auto"/>
                <w:kern w:val="2"/>
                <w:sz w:val="20"/>
                <w:szCs w:val="20"/>
                <w:highlight w:val="none"/>
                <w:lang w:val="en-US" w:eastAsia="zh-CN" w:bidi="ar-SA"/>
              </w:rPr>
            </w:pPr>
          </w:p>
        </w:tc>
        <w:tc>
          <w:tcPr>
            <w:tcW w:w="2982" w:type="pct"/>
            <w:vAlign w:val="center"/>
          </w:tcPr>
          <w:p w14:paraId="6B67008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p>
        </w:tc>
        <w:tc>
          <w:tcPr>
            <w:tcW w:w="210" w:type="pct"/>
            <w:vAlign w:val="center"/>
          </w:tcPr>
          <w:p w14:paraId="0B0879A1">
            <w:pPr>
              <w:keepNext w:val="0"/>
              <w:keepLines w:val="0"/>
              <w:widowControl/>
              <w:suppressLineNumbers w:val="0"/>
              <w:jc w:val="center"/>
              <w:textAlignment w:val="center"/>
              <w:rPr>
                <w:rFonts w:hint="default" w:ascii="宋体" w:hAnsi="宋体" w:cs="宋体"/>
                <w:color w:val="auto"/>
                <w:kern w:val="2"/>
                <w:sz w:val="20"/>
                <w:szCs w:val="20"/>
                <w:highlight w:val="none"/>
                <w:vertAlign w:val="baseline"/>
                <w:lang w:val="en-US" w:eastAsia="zh-CN" w:bidi="ar-SA"/>
              </w:rPr>
            </w:pPr>
          </w:p>
        </w:tc>
        <w:tc>
          <w:tcPr>
            <w:tcW w:w="210" w:type="pct"/>
            <w:vAlign w:val="center"/>
          </w:tcPr>
          <w:p w14:paraId="4195AA16">
            <w:pPr>
              <w:keepNext w:val="0"/>
              <w:keepLines w:val="0"/>
              <w:widowControl/>
              <w:suppressLineNumbers w:val="0"/>
              <w:jc w:val="center"/>
              <w:textAlignment w:val="center"/>
              <w:rPr>
                <w:rFonts w:hint="default" w:ascii="宋体" w:hAnsi="宋体" w:cs="宋体"/>
                <w:color w:val="auto"/>
                <w:kern w:val="2"/>
                <w:sz w:val="20"/>
                <w:szCs w:val="20"/>
                <w:highlight w:val="none"/>
                <w:vertAlign w:val="baseline"/>
                <w:lang w:val="en-US" w:eastAsia="zh-CN" w:bidi="ar-SA"/>
              </w:rPr>
            </w:pPr>
          </w:p>
        </w:tc>
        <w:tc>
          <w:tcPr>
            <w:tcW w:w="332" w:type="pct"/>
            <w:shd w:val="clear" w:color="auto" w:fill="auto"/>
            <w:vAlign w:val="center"/>
          </w:tcPr>
          <w:p w14:paraId="79E5FF42">
            <w:pPr>
              <w:keepNext w:val="0"/>
              <w:keepLines w:val="0"/>
              <w:widowControl/>
              <w:suppressLineNumbers w:val="0"/>
              <w:jc w:val="center"/>
              <w:textAlignment w:val="center"/>
              <w:rPr>
                <w:rFonts w:hint="default" w:ascii="黑体" w:hAnsi="宋体" w:eastAsia="黑体" w:cs="黑体"/>
                <w:b/>
                <w:bCs/>
                <w:i w:val="0"/>
                <w:iCs w:val="0"/>
                <w:color w:val="000000"/>
                <w:kern w:val="2"/>
                <w:sz w:val="22"/>
                <w:szCs w:val="22"/>
                <w:highlight w:val="none"/>
                <w:u w:val="none"/>
                <w:lang w:val="en-US" w:eastAsia="zh-CN" w:bidi="ar-SA"/>
              </w:rPr>
            </w:pPr>
          </w:p>
        </w:tc>
        <w:tc>
          <w:tcPr>
            <w:tcW w:w="370" w:type="pct"/>
            <w:shd w:val="clear" w:color="auto" w:fill="auto"/>
            <w:vAlign w:val="center"/>
          </w:tcPr>
          <w:p w14:paraId="77FB200D">
            <w:pPr>
              <w:keepNext w:val="0"/>
              <w:keepLines w:val="0"/>
              <w:widowControl/>
              <w:suppressLineNumbers w:val="0"/>
              <w:jc w:val="center"/>
              <w:textAlignment w:val="center"/>
              <w:rPr>
                <w:rFonts w:hint="default" w:ascii="黑体" w:hAnsi="宋体" w:eastAsia="黑体" w:cs="黑体"/>
                <w:b w:val="0"/>
                <w:bCs w:val="0"/>
                <w:i w:val="0"/>
                <w:iCs w:val="0"/>
                <w:color w:val="000000"/>
                <w:kern w:val="2"/>
                <w:sz w:val="22"/>
                <w:szCs w:val="22"/>
                <w:highlight w:val="none"/>
                <w:u w:val="none"/>
                <w:lang w:val="en-US" w:eastAsia="zh-CN" w:bidi="ar-SA"/>
              </w:rPr>
            </w:pPr>
          </w:p>
        </w:tc>
      </w:tr>
      <w:tr w14:paraId="3CD9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629" w:type="pct"/>
            <w:gridSpan w:val="7"/>
            <w:vAlign w:val="center"/>
          </w:tcPr>
          <w:p w14:paraId="4F873D1F">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b/>
                <w:bCs/>
                <w:color w:val="auto"/>
                <w:kern w:val="0"/>
                <w:sz w:val="20"/>
                <w:szCs w:val="20"/>
                <w:highlight w:val="none"/>
                <w:lang w:val="en-US" w:eastAsia="zh-CN"/>
              </w:rPr>
              <w:t>合计</w:t>
            </w:r>
          </w:p>
        </w:tc>
        <w:tc>
          <w:tcPr>
            <w:tcW w:w="370" w:type="pct"/>
            <w:shd w:val="clear" w:color="auto" w:fill="auto"/>
            <w:vAlign w:val="center"/>
          </w:tcPr>
          <w:p w14:paraId="1BBA2033">
            <w:pPr>
              <w:keepNext w:val="0"/>
              <w:keepLines w:val="0"/>
              <w:widowControl/>
              <w:suppressLineNumbers w:val="0"/>
              <w:jc w:val="left"/>
              <w:textAlignment w:val="center"/>
              <w:rPr>
                <w:rFonts w:hint="default" w:ascii="宋体" w:hAnsi="宋体" w:eastAsia="宋体" w:cs="宋体"/>
                <w:b w:val="0"/>
                <w:bCs w:val="0"/>
                <w:i w:val="0"/>
                <w:iCs w:val="0"/>
                <w:color w:val="000000"/>
                <w:kern w:val="2"/>
                <w:sz w:val="22"/>
                <w:szCs w:val="22"/>
                <w:highlight w:val="none"/>
                <w:u w:val="none"/>
                <w:lang w:val="en-US" w:eastAsia="zh-CN" w:bidi="ar-SA"/>
              </w:rPr>
            </w:pPr>
            <w:r>
              <w:rPr>
                <w:rFonts w:hint="default" w:ascii="宋体" w:hAnsi="宋体" w:eastAsia="宋体" w:cs="宋体"/>
                <w:b w:val="0"/>
                <w:bCs w:val="0"/>
                <w:i w:val="0"/>
                <w:iCs w:val="0"/>
                <w:color w:val="000000"/>
                <w:kern w:val="2"/>
                <w:sz w:val="22"/>
                <w:szCs w:val="22"/>
                <w:highlight w:val="none"/>
                <w:u w:val="none"/>
                <w:lang w:val="en-US" w:eastAsia="zh-CN" w:bidi="ar-SA"/>
              </w:rPr>
              <w:t xml:space="preserve"> </w:t>
            </w:r>
            <w:r>
              <w:rPr>
                <w:rFonts w:hint="eastAsia" w:ascii="宋体" w:hAnsi="宋体" w:cs="宋体"/>
                <w:b w:val="0"/>
                <w:bCs w:val="0"/>
                <w:i w:val="0"/>
                <w:iCs w:val="0"/>
                <w:color w:val="000000"/>
                <w:kern w:val="2"/>
                <w:sz w:val="22"/>
                <w:szCs w:val="22"/>
                <w:highlight w:val="none"/>
                <w:u w:val="none"/>
                <w:lang w:val="en-US" w:eastAsia="zh-CN" w:bidi="ar-SA"/>
              </w:rPr>
              <w:t>59200</w:t>
            </w:r>
          </w:p>
        </w:tc>
      </w:tr>
    </w:tbl>
    <w:p w14:paraId="35AC63D4">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6994DBBB">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4624"/>
      </w:tblGrid>
      <w:tr w14:paraId="1548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2"/>
          </w:tcPr>
          <w:p w14:paraId="6724E585">
            <w:pPr>
              <w:rPr>
                <w:rFonts w:hint="eastAsia" w:ascii="宋体" w:hAnsi="宋体" w:eastAsia="宋体" w:cs="宋体"/>
                <w:color w:val="auto"/>
                <w:highlight w:val="none"/>
                <w:vertAlign w:val="baseline"/>
              </w:rPr>
            </w:pPr>
            <w:r>
              <w:rPr>
                <w:rFonts w:hint="eastAsia" w:ascii="宋体" w:hAnsi="宋体" w:eastAsia="宋体" w:cs="Calibri"/>
                <w:b/>
                <w:bCs/>
                <w:color w:val="auto"/>
                <w:kern w:val="0"/>
                <w:sz w:val="20"/>
                <w:szCs w:val="20"/>
                <w:highlight w:val="none"/>
                <w:lang w:val="en-US" w:eastAsia="zh-CN"/>
              </w:rPr>
              <w:t>▲</w:t>
            </w:r>
            <w:r>
              <w:rPr>
                <w:rFonts w:hint="eastAsia" w:ascii="宋体" w:hAnsi="宋体" w:eastAsia="宋体" w:cs="宋体"/>
                <w:b/>
                <w:bCs/>
                <w:color w:val="auto"/>
                <w:kern w:val="0"/>
                <w:szCs w:val="21"/>
                <w:highlight w:val="none"/>
              </w:rPr>
              <w:t>二、商务服务要求表</w:t>
            </w:r>
          </w:p>
        </w:tc>
      </w:tr>
      <w:tr w14:paraId="668C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7B70F0AD">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5"/>
                <w:rFonts w:hint="eastAsia" w:ascii="宋体" w:hAnsi="宋体" w:eastAsia="宋体" w:cs="宋体"/>
                <w:color w:val="auto"/>
                <w:sz w:val="21"/>
                <w:szCs w:val="21"/>
                <w:highlight w:val="none"/>
              </w:rPr>
              <w:t>交货时间及地点</w:t>
            </w:r>
          </w:p>
        </w:tc>
        <w:tc>
          <w:tcPr>
            <w:tcW w:w="14624" w:type="dxa"/>
            <w:shd w:val="clear" w:color="auto" w:fill="auto"/>
            <w:vAlign w:val="center"/>
          </w:tcPr>
          <w:p w14:paraId="55E9414F">
            <w:pPr>
              <w:widowControl/>
              <w:numPr>
                <w:ilvl w:val="0"/>
                <w:numId w:val="0"/>
              </w:numPr>
              <w:snapToGrid w:val="0"/>
              <w:spacing w:line="400" w:lineRule="exact"/>
              <w:jc w:val="left"/>
              <w:textAlignment w:val="center"/>
              <w:rPr>
                <w:rFonts w:hint="eastAsia" w:ascii="宋体" w:hAnsi="宋体" w:cs="宋体"/>
                <w:kern w:val="0"/>
                <w:szCs w:val="21"/>
                <w:highlight w:val="none"/>
              </w:rPr>
            </w:pPr>
            <w:r>
              <w:rPr>
                <w:rFonts w:hint="eastAsia" w:ascii="宋体" w:hAnsi="宋体" w:cs="宋体"/>
                <w:kern w:val="0"/>
                <w:szCs w:val="21"/>
                <w:highlight w:val="none"/>
              </w:rPr>
              <w:t>1、合同签订日期：中标通知书发出后</w:t>
            </w:r>
            <w:r>
              <w:rPr>
                <w:rFonts w:hint="eastAsia" w:ascii="宋体" w:hAnsi="宋体" w:cs="宋体"/>
                <w:kern w:val="0"/>
                <w:szCs w:val="21"/>
                <w:highlight w:val="none"/>
                <w:lang w:val="en-US" w:eastAsia="zh-CN"/>
              </w:rPr>
              <w:t>7</w:t>
            </w:r>
            <w:r>
              <w:rPr>
                <w:rFonts w:hint="eastAsia" w:ascii="宋体" w:hAnsi="宋体" w:cs="宋体"/>
                <w:kern w:val="0"/>
                <w:szCs w:val="21"/>
                <w:highlight w:val="none"/>
              </w:rPr>
              <w:t xml:space="preserve">日内。 </w:t>
            </w:r>
          </w:p>
          <w:p w14:paraId="59F8EBB0">
            <w:pPr>
              <w:widowControl/>
              <w:numPr>
                <w:ilvl w:val="0"/>
                <w:numId w:val="0"/>
              </w:numPr>
              <w:snapToGrid w:val="0"/>
              <w:spacing w:line="400" w:lineRule="exact"/>
              <w:jc w:val="left"/>
              <w:textAlignment w:val="center"/>
              <w:rPr>
                <w:rFonts w:hint="eastAsia" w:ascii="宋体" w:hAnsi="宋体" w:cs="宋体"/>
                <w:kern w:val="0"/>
                <w:szCs w:val="21"/>
                <w:highlight w:val="none"/>
              </w:rPr>
            </w:pPr>
            <w:r>
              <w:rPr>
                <w:rFonts w:hint="eastAsia" w:ascii="宋体" w:hAnsi="宋体" w:cs="宋体"/>
                <w:kern w:val="0"/>
                <w:szCs w:val="21"/>
                <w:highlight w:val="none"/>
              </w:rPr>
              <w:t>2、交货（实施）时间：合同签订之日起</w:t>
            </w:r>
            <w:r>
              <w:rPr>
                <w:rFonts w:hint="eastAsia" w:ascii="宋体" w:hAnsi="宋体" w:cs="宋体"/>
                <w:kern w:val="0"/>
                <w:szCs w:val="21"/>
                <w:highlight w:val="none"/>
                <w:lang w:val="en-US" w:eastAsia="zh-CN"/>
              </w:rPr>
              <w:t>10</w:t>
            </w:r>
            <w:r>
              <w:rPr>
                <w:rFonts w:hint="eastAsia" w:ascii="宋体" w:hAnsi="宋体" w:cs="宋体"/>
                <w:kern w:val="0"/>
                <w:szCs w:val="21"/>
                <w:highlight w:val="none"/>
              </w:rPr>
              <w:t>个日历日内交货并安装调试完毕。</w:t>
            </w:r>
          </w:p>
          <w:p w14:paraId="3BE34CE9">
            <w:pPr>
              <w:widowControl/>
              <w:snapToGrid w:val="0"/>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Style w:val="15"/>
                <w:rFonts w:hint="eastAsia" w:ascii="宋体" w:hAnsi="宋体" w:eastAsia="宋体" w:cs="宋体"/>
                <w:color w:val="auto"/>
                <w:sz w:val="21"/>
                <w:szCs w:val="21"/>
                <w:highlight w:val="none"/>
                <w:lang w:val="en-US" w:eastAsia="zh-CN"/>
              </w:rPr>
              <w:t>3</w:t>
            </w:r>
            <w:r>
              <w:rPr>
                <w:rStyle w:val="15"/>
                <w:rFonts w:hint="eastAsia" w:ascii="宋体" w:hAnsi="宋体" w:eastAsia="宋体" w:cs="宋体"/>
                <w:color w:val="auto"/>
                <w:sz w:val="21"/>
                <w:szCs w:val="21"/>
                <w:highlight w:val="none"/>
                <w:lang w:eastAsia="zh-CN"/>
              </w:rPr>
              <w:t>、</w:t>
            </w:r>
            <w:r>
              <w:rPr>
                <w:rStyle w:val="15"/>
                <w:rFonts w:hint="default" w:ascii="宋体" w:hAnsi="宋体" w:eastAsia="宋体" w:cs="宋体"/>
                <w:color w:val="auto"/>
                <w:sz w:val="21"/>
                <w:szCs w:val="21"/>
                <w:highlight w:val="none"/>
              </w:rPr>
              <w:t>交货地点：</w:t>
            </w:r>
            <w:r>
              <w:rPr>
                <w:rFonts w:hint="eastAsia" w:ascii="宋体" w:hAnsi="宋体" w:cs="宋体"/>
                <w:szCs w:val="21"/>
                <w:highlight w:val="none"/>
              </w:rPr>
              <w:t>广西南宁市采购人指定地点（广西水利电力职业技术学院）</w:t>
            </w:r>
            <w:r>
              <w:rPr>
                <w:rStyle w:val="15"/>
                <w:rFonts w:hint="default" w:ascii="宋体" w:hAnsi="宋体" w:eastAsia="宋体" w:cs="宋体"/>
                <w:color w:val="auto"/>
                <w:sz w:val="21"/>
                <w:szCs w:val="21"/>
                <w:highlight w:val="none"/>
              </w:rPr>
              <w:t>。</w:t>
            </w:r>
          </w:p>
        </w:tc>
      </w:tr>
      <w:tr w14:paraId="5B2C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ABD7DCC">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5"/>
                <w:rFonts w:hint="eastAsia" w:ascii="宋体" w:hAnsi="宋体" w:eastAsia="宋体" w:cs="宋体"/>
                <w:color w:val="auto"/>
                <w:sz w:val="21"/>
                <w:szCs w:val="21"/>
                <w:highlight w:val="none"/>
              </w:rPr>
              <w:t>质保期</w:t>
            </w:r>
          </w:p>
        </w:tc>
        <w:tc>
          <w:tcPr>
            <w:tcW w:w="14624" w:type="dxa"/>
            <w:shd w:val="clear" w:color="auto" w:fill="auto"/>
            <w:vAlign w:val="center"/>
          </w:tcPr>
          <w:p w14:paraId="23EDCCBE">
            <w:pPr>
              <w:widowControl/>
              <w:numPr>
                <w:ilvl w:val="0"/>
                <w:numId w:val="0"/>
              </w:numPr>
              <w:jc w:val="left"/>
              <w:textAlignment w:val="center"/>
              <w:rPr>
                <w:rFonts w:hint="eastAsia" w:ascii="宋体" w:hAnsi="宋体" w:eastAsia="宋体" w:cs="宋体"/>
                <w:color w:val="auto"/>
                <w:kern w:val="2"/>
                <w:sz w:val="21"/>
                <w:szCs w:val="21"/>
                <w:highlight w:val="none"/>
                <w:lang w:val="en-US" w:eastAsia="zh-CN" w:bidi="ar-SA"/>
              </w:rPr>
            </w:pPr>
            <w:r>
              <w:rPr>
                <w:rStyle w:val="15"/>
                <w:rFonts w:hint="default" w:ascii="宋体" w:hAnsi="宋体" w:eastAsia="宋体" w:cs="宋体"/>
                <w:color w:val="auto"/>
                <w:sz w:val="21"/>
                <w:szCs w:val="21"/>
                <w:highlight w:val="none"/>
              </w:rPr>
              <w:t>按国家有关规定或厂家承诺实行“三包”，</w:t>
            </w:r>
            <w:r>
              <w:rPr>
                <w:rFonts w:hint="eastAsia" w:ascii="宋体" w:hAnsi="宋体" w:cs="宋体"/>
                <w:kern w:val="0"/>
                <w:szCs w:val="21"/>
                <w:highlight w:val="none"/>
              </w:rPr>
              <w:t>质保期从验收合格之日起整机不少于</w:t>
            </w:r>
            <w:r>
              <w:rPr>
                <w:rFonts w:hint="eastAsia" w:ascii="宋体" w:hAnsi="宋体" w:cs="宋体"/>
                <w:kern w:val="0"/>
                <w:szCs w:val="21"/>
                <w:highlight w:val="none"/>
                <w:u w:val="single"/>
                <w:lang w:val="en-US" w:eastAsia="zh-CN"/>
              </w:rPr>
              <w:t>3</w:t>
            </w:r>
            <w:r>
              <w:rPr>
                <w:rFonts w:hint="eastAsia" w:ascii="宋体" w:hAnsi="宋体" w:cs="宋体"/>
                <w:kern w:val="0"/>
                <w:szCs w:val="21"/>
                <w:highlight w:val="none"/>
              </w:rPr>
              <w:t>年（技术参数中有特别指明质保期的按参数要求，厂家质保期高于采购要求的按厂家质保）</w:t>
            </w:r>
            <w:r>
              <w:rPr>
                <w:rStyle w:val="15"/>
                <w:rFonts w:hint="default" w:ascii="宋体" w:hAnsi="宋体" w:eastAsia="宋体" w:cs="宋体"/>
                <w:color w:val="auto"/>
                <w:sz w:val="21"/>
                <w:szCs w:val="21"/>
                <w:highlight w:val="none"/>
              </w:rPr>
              <w:t>，质保期内全免费上门维修、免费更换零部件，质保期过后提供终身技术支持和维护。</w:t>
            </w:r>
          </w:p>
        </w:tc>
      </w:tr>
      <w:tr w14:paraId="4E1F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891CE8A">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产品质量与售后服务要求</w:t>
            </w:r>
          </w:p>
        </w:tc>
        <w:tc>
          <w:tcPr>
            <w:tcW w:w="14624" w:type="dxa"/>
            <w:shd w:val="clear" w:color="auto" w:fill="auto"/>
            <w:vAlign w:val="center"/>
          </w:tcPr>
          <w:p w14:paraId="4011C85E">
            <w:pPr>
              <w:widowControl/>
              <w:snapToGrid w:val="0"/>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所投产品必须能实质性响应采购要求（所投产品应完全满足或优于采购参数要求），供货时能按照采购需求的要求提供厂家的供货证明和售后服务承诺书原件，避免假冒伪劣产品。对不能满足参数要求虚假响应，采购人可作废标处理，并依法向供应商追究违约责任。</w:t>
            </w:r>
          </w:p>
          <w:p w14:paraId="47281F61">
            <w:pPr>
              <w:widowControl/>
              <w:snapToGrid w:val="0"/>
              <w:spacing w:line="400" w:lineRule="exact"/>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故障响应时间：成交供应商收到采购人的故障维修通知后30分钟内电话服务应答，2小时内到达现场进行维修，4小时内排除故障，如24小时内无法修复的，质保期内成交供应商应无条件更换新设备或提供代用设备，或采取使设备可正常运转的措施。</w:t>
            </w:r>
          </w:p>
        </w:tc>
      </w:tr>
      <w:tr w14:paraId="118B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DBED3ED">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实施和安装要求</w:t>
            </w:r>
          </w:p>
        </w:tc>
        <w:tc>
          <w:tcPr>
            <w:tcW w:w="14624" w:type="dxa"/>
            <w:shd w:val="clear" w:color="auto" w:fill="auto"/>
            <w:vAlign w:val="center"/>
          </w:tcPr>
          <w:p w14:paraId="4DFD51E1">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本项目为交钥匙工程，成交后，供应商需应严格按竞标产品的安装规范要求进行安装调试，保证设备正常运行，质量合格。</w:t>
            </w:r>
          </w:p>
          <w:p w14:paraId="3897F2EA">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（1）根据采购要求的工期提供项目实施方案及进度安排计划表；</w:t>
            </w:r>
          </w:p>
          <w:p w14:paraId="248AD737">
            <w:pPr>
              <w:spacing w:line="40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供应商必须服从采购单位现场负责人的指挥，按指定地点进行设备安装、调试，确保设备安装符合国家现行技术规范标准；</w:t>
            </w:r>
          </w:p>
          <w:p w14:paraId="726392B3">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（3）安装过程中的所有安全保障由供应商自行负责；</w:t>
            </w:r>
          </w:p>
          <w:p w14:paraId="1A4230A6">
            <w:pPr>
              <w:spacing w:line="400" w:lineRule="exac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）项目实施过程中产生的垃圾废料由供应商负责清理至校外。</w:t>
            </w:r>
          </w:p>
        </w:tc>
      </w:tr>
      <w:tr w14:paraId="55B1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C362CE8">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5"/>
                <w:rFonts w:hint="eastAsia" w:ascii="宋体" w:hAnsi="宋体" w:eastAsia="宋体" w:cs="宋体"/>
                <w:color w:val="auto"/>
                <w:sz w:val="21"/>
                <w:szCs w:val="21"/>
                <w:highlight w:val="none"/>
              </w:rPr>
              <w:t>付款方式</w:t>
            </w:r>
          </w:p>
        </w:tc>
        <w:tc>
          <w:tcPr>
            <w:tcW w:w="14624" w:type="dxa"/>
            <w:shd w:val="clear" w:color="auto" w:fill="auto"/>
            <w:vAlign w:val="center"/>
          </w:tcPr>
          <w:p w14:paraId="52FA89C8">
            <w:pPr>
              <w:widowControl/>
              <w:snapToGrid w:val="0"/>
              <w:spacing w:line="400" w:lineRule="exact"/>
              <w:jc w:val="left"/>
              <w:textAlignment w:val="center"/>
              <w:rPr>
                <w:rFonts w:hint="eastAsia" w:ascii="宋体" w:hAnsi="宋体" w:eastAsia="宋体" w:cs="宋体"/>
                <w:color w:val="auto"/>
                <w:sz w:val="21"/>
                <w:szCs w:val="21"/>
                <w:highlight w:val="none"/>
                <w:lang w:val="en-US" w:eastAsia="zh-CN"/>
              </w:rPr>
            </w:pPr>
            <w:r>
              <w:rPr>
                <w:szCs w:val="21"/>
                <w:highlight w:val="none"/>
              </w:rPr>
              <w:t> </w:t>
            </w:r>
            <w:r>
              <w:rPr>
                <w:rFonts w:hint="eastAsia" w:ascii="宋体" w:hAnsi="宋体"/>
                <w:kern w:val="0"/>
                <w:szCs w:val="21"/>
                <w:highlight w:val="none"/>
              </w:rPr>
              <w:t>项目全部货物服务交付并安装调试至正常运行，经采购人最终验收合格后，中标人开具增值税专用发票给采购人，采购人在收到发票后10个工作日内一次性支付100%合同货款。</w:t>
            </w:r>
          </w:p>
        </w:tc>
      </w:tr>
      <w:tr w14:paraId="1114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25E5B12">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5"/>
                <w:rFonts w:hint="eastAsia" w:ascii="宋体" w:hAnsi="宋体" w:eastAsia="宋体" w:cs="宋体"/>
                <w:color w:val="auto"/>
                <w:sz w:val="21"/>
                <w:szCs w:val="21"/>
                <w:highlight w:val="none"/>
              </w:rPr>
              <w:t>验收要求</w:t>
            </w:r>
          </w:p>
        </w:tc>
        <w:tc>
          <w:tcPr>
            <w:tcW w:w="14624" w:type="dxa"/>
            <w:shd w:val="clear" w:color="auto" w:fill="auto"/>
            <w:vAlign w:val="center"/>
          </w:tcPr>
          <w:p w14:paraId="1EE60033">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验收标准：按合同要求及国家标准进行验收。验收时，采购人将严格按照合同要求及国家标准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保留进一步追究责任的权利。 </w:t>
            </w:r>
          </w:p>
          <w:p w14:paraId="1EC41D59">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供应商完成设备安装与调试后，需对拟交付的合同成果及其组件进行自检并提出书面验收申请，经采购人同意后共同组织验收，签写相应验收意见并签名确认。如对验收存在异议的，可聘请第三方按合同约定组织验收，所有费用由成交供应商负责。</w:t>
            </w:r>
          </w:p>
          <w:p w14:paraId="344AE140">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3、货物（设备）验收合格，项目约定产品或服务方可正式交接，双方对相关货物清单、随机附件及验收结论意见书等书面材料进行清点签字后，作为项目的最终验收。</w:t>
            </w:r>
          </w:p>
          <w:p w14:paraId="70F06C5C">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4、验收费用：验收所产生的劳务费、检验费及相关发生的全部费用均由成交人承担。</w:t>
            </w:r>
          </w:p>
        </w:tc>
      </w:tr>
      <w:tr w14:paraId="3AC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982A134">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其他要求</w:t>
            </w:r>
          </w:p>
        </w:tc>
        <w:tc>
          <w:tcPr>
            <w:tcW w:w="14624" w:type="dxa"/>
            <w:shd w:val="clear" w:color="auto" w:fill="auto"/>
            <w:vAlign w:val="center"/>
          </w:tcPr>
          <w:p w14:paraId="4E6B1206">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1、供应商必须实质性响应本项目标注“▲”的技术参数要求，不允许负偏离，对技术参数要求中非标注“▲”的技术参数负偏离项数不超过</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项，否则视为无效响应。投标时，供应商所投产品须满足或优于技术参数配置要求【需提供《商务、技术响应、偏离情况说明表》（格式自拟）、《竞标报价表》和投标产品的《技术参数配置清单》（格式见附件）及检测报告复印件等相关佐证材料，以上材料加盖供应商公章】， 否则视为无效响应。</w:t>
            </w:r>
          </w:p>
          <w:p w14:paraId="0D81F7CC">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2、根据《财政部 发展改革委 生态环境部 市场监管总局关于调整优化节能产品、环境标志产品政府采购执行机制的通知》（财库〔2019〕9 号）和《关于印发节能产品政府采购品目清单的通知》（财库〔2019〕19 号）的规定，本项目采购的产品如属于节能产品政府采购品目清单内标注“</w:t>
            </w:r>
            <w:r>
              <w:rPr>
                <w:rFonts w:hint="eastAsia" w:ascii="宋体" w:hAnsi="宋体" w:cs="宋体"/>
                <w:b w:val="0"/>
                <w:bCs w:val="0"/>
                <w:color w:val="auto"/>
                <w:kern w:val="0"/>
                <w:sz w:val="20"/>
                <w:szCs w:val="20"/>
                <w:highlight w:val="none"/>
                <w:lang w:val="en-US" w:eastAsia="zh-CN"/>
              </w:rPr>
              <w:t>★</w:t>
            </w:r>
            <w:r>
              <w:rPr>
                <w:rFonts w:hint="eastAsia" w:ascii="宋体" w:hAnsi="宋体" w:eastAsia="宋体" w:cs="宋体"/>
                <w:color w:val="auto"/>
                <w:szCs w:val="21"/>
                <w:highlight w:val="none"/>
                <w:lang w:val="en-US" w:eastAsia="zh-CN"/>
              </w:rPr>
              <w:t>”的产品的，供应商的竞标货物必须使用政府强制采购的节能产品，竞标时须提供国家确定的认证机构出具的、处于有效期之内的有效的节能产品认证证书复印件并加盖供应商公章，否则响应文件作无效竞标处理。</w:t>
            </w:r>
          </w:p>
          <w:p w14:paraId="234862E8">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供应商在参与竞标报价前需仔细阅读项目采购的技术及商务要求，评估自身履约能力，谢绝恶意低价、不按要求报价、中标后无故放弃、不按合同履行等违约行为。对出现此类行为的成交供应商，将根据在线竞价违约处理规则，依法依规提请政采云平台进行处罚，并保留依法追究违约责任的权利，供应商的违约行为列入不良记录记入政府采购诚信档案。采购单位有权将在线询价单中的商务要求列入合同条款，否则有权拒签合同。</w:t>
            </w:r>
          </w:p>
          <w:p w14:paraId="72C7B0A5">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中标公示期内若有其他供应商质疑情况下，中标单位必须提供与标书技术要求及功能符合的样品一套至采购人处进行整体性能与标书文件核对，协助质疑答复。如出现所提供样品不符招标要求或无法提供样品，均视为虚假应标处理并根据招标法及标书要求追究法律责任。</w:t>
            </w:r>
          </w:p>
        </w:tc>
      </w:tr>
    </w:tbl>
    <w:p w14:paraId="7FFFC52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42380685">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399A27B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74C1ECEB">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2D39C015">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47AC602F">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056D399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579234A8">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3E626ABD">
      <w:pPr>
        <w:rPr>
          <w:color w:val="auto"/>
          <w:highlight w:val="none"/>
        </w:rPr>
      </w:pPr>
      <w:r>
        <w:rPr>
          <w:rFonts w:hint="eastAsia"/>
          <w:color w:val="auto"/>
          <w:highlight w:val="none"/>
        </w:rPr>
        <w:t>附件</w:t>
      </w:r>
    </w:p>
    <w:p w14:paraId="60A5A090">
      <w:pPr>
        <w:tabs>
          <w:tab w:val="left" w:pos="3479"/>
        </w:tabs>
        <w:spacing w:line="520" w:lineRule="exact"/>
        <w:jc w:val="center"/>
        <w:rPr>
          <w:rFonts w:hint="eastAsia" w:ascii="宋体" w:hAnsi="宋体" w:cs="宋体"/>
          <w:b/>
          <w:color w:val="auto"/>
          <w:sz w:val="32"/>
          <w:szCs w:val="32"/>
          <w:highlight w:val="none"/>
        </w:rPr>
      </w:pPr>
      <w:r>
        <w:rPr>
          <w:rFonts w:hint="eastAsia" w:ascii="宋体" w:hAnsi="宋体" w:cs="宋体"/>
          <w:b/>
          <w:color w:val="auto"/>
          <w:sz w:val="44"/>
          <w:szCs w:val="44"/>
          <w:highlight w:val="none"/>
        </w:rPr>
        <w:t>竞  标  报  价  表</w:t>
      </w:r>
    </w:p>
    <w:p w14:paraId="4D0D8E3A">
      <w:pPr>
        <w:spacing w:line="520" w:lineRule="exact"/>
        <w:jc w:val="center"/>
        <w:rPr>
          <w:rFonts w:hint="eastAsia" w:ascii="方正小标宋简体" w:hAnsi="方正小标宋简体" w:eastAsia="方正小标宋简体" w:cs="方正小标宋简体"/>
          <w:bCs/>
          <w:color w:val="auto"/>
          <w:sz w:val="32"/>
          <w:szCs w:val="32"/>
          <w:highlight w:val="none"/>
        </w:rPr>
      </w:pPr>
    </w:p>
    <w:p w14:paraId="1C161FB7">
      <w:pPr>
        <w:snapToGrid w:val="0"/>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                                                                                    单位：元</w:t>
      </w:r>
    </w:p>
    <w:tbl>
      <w:tblPr>
        <w:tblStyle w:val="7"/>
        <w:tblW w:w="14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343"/>
        <w:gridCol w:w="2865"/>
        <w:gridCol w:w="1050"/>
        <w:gridCol w:w="1590"/>
        <w:gridCol w:w="1445"/>
        <w:gridCol w:w="2383"/>
      </w:tblGrid>
      <w:tr w14:paraId="529E6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38" w:type="dxa"/>
            <w:tcBorders>
              <w:top w:val="single" w:color="auto" w:sz="4" w:space="0"/>
              <w:left w:val="single" w:color="auto" w:sz="4" w:space="0"/>
              <w:bottom w:val="single" w:color="auto" w:sz="4" w:space="0"/>
              <w:right w:val="single" w:color="auto" w:sz="4" w:space="0"/>
            </w:tcBorders>
            <w:vAlign w:val="center"/>
          </w:tcPr>
          <w:p w14:paraId="17CB5E63">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项号</w:t>
            </w:r>
          </w:p>
        </w:tc>
        <w:tc>
          <w:tcPr>
            <w:tcW w:w="4343" w:type="dxa"/>
            <w:tcBorders>
              <w:top w:val="single" w:color="auto" w:sz="4" w:space="0"/>
              <w:left w:val="single" w:color="auto" w:sz="4" w:space="0"/>
              <w:bottom w:val="single" w:color="auto" w:sz="4" w:space="0"/>
              <w:right w:val="single" w:color="auto" w:sz="4" w:space="0"/>
            </w:tcBorders>
            <w:vAlign w:val="center"/>
          </w:tcPr>
          <w:p w14:paraId="6FF0CA90">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货物名称</w:t>
            </w:r>
          </w:p>
        </w:tc>
        <w:tc>
          <w:tcPr>
            <w:tcW w:w="2865" w:type="dxa"/>
            <w:tcBorders>
              <w:top w:val="single" w:color="auto" w:sz="4" w:space="0"/>
              <w:left w:val="single" w:color="auto" w:sz="4" w:space="0"/>
              <w:bottom w:val="single" w:color="auto" w:sz="4" w:space="0"/>
              <w:right w:val="single" w:color="auto" w:sz="4" w:space="0"/>
            </w:tcBorders>
            <w:vAlign w:val="center"/>
          </w:tcPr>
          <w:p w14:paraId="0397E4E9">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品牌</w:t>
            </w:r>
          </w:p>
        </w:tc>
        <w:tc>
          <w:tcPr>
            <w:tcW w:w="1050" w:type="dxa"/>
            <w:tcBorders>
              <w:top w:val="single" w:color="auto" w:sz="4" w:space="0"/>
              <w:left w:val="single" w:color="auto" w:sz="4" w:space="0"/>
              <w:bottom w:val="single" w:color="auto" w:sz="4" w:space="0"/>
              <w:right w:val="single" w:color="auto" w:sz="4" w:space="0"/>
            </w:tcBorders>
            <w:vAlign w:val="center"/>
          </w:tcPr>
          <w:p w14:paraId="75357603">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1EFD5A36">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数量</w:t>
            </w:r>
          </w:p>
          <w:p w14:paraId="787A8CAD">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①</w:t>
            </w:r>
          </w:p>
        </w:tc>
        <w:tc>
          <w:tcPr>
            <w:tcW w:w="1445" w:type="dxa"/>
            <w:tcBorders>
              <w:top w:val="single" w:color="auto" w:sz="4" w:space="0"/>
              <w:left w:val="single" w:color="auto" w:sz="4" w:space="0"/>
              <w:bottom w:val="single" w:color="auto" w:sz="4" w:space="0"/>
              <w:right w:val="single" w:color="auto" w:sz="4" w:space="0"/>
            </w:tcBorders>
            <w:vAlign w:val="center"/>
          </w:tcPr>
          <w:p w14:paraId="1073B87E">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单价</w:t>
            </w:r>
          </w:p>
          <w:p w14:paraId="42798620">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②</w:t>
            </w:r>
          </w:p>
        </w:tc>
        <w:tc>
          <w:tcPr>
            <w:tcW w:w="2383" w:type="dxa"/>
            <w:tcBorders>
              <w:top w:val="single" w:color="auto" w:sz="4" w:space="0"/>
              <w:left w:val="single" w:color="auto" w:sz="4" w:space="0"/>
              <w:bottom w:val="single" w:color="auto" w:sz="4" w:space="0"/>
              <w:right w:val="single" w:color="auto" w:sz="4" w:space="0"/>
            </w:tcBorders>
            <w:vAlign w:val="center"/>
          </w:tcPr>
          <w:p w14:paraId="4B1B56FC">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竞标报价</w:t>
            </w:r>
          </w:p>
          <w:p w14:paraId="72E4E7D2">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③=①×②</w:t>
            </w:r>
          </w:p>
        </w:tc>
      </w:tr>
      <w:tr w14:paraId="73C8A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21028E75">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1</w:t>
            </w:r>
          </w:p>
        </w:tc>
        <w:tc>
          <w:tcPr>
            <w:tcW w:w="4343" w:type="dxa"/>
            <w:tcBorders>
              <w:top w:val="single" w:color="auto" w:sz="4" w:space="0"/>
              <w:left w:val="single" w:color="auto" w:sz="4" w:space="0"/>
              <w:bottom w:val="single" w:color="auto" w:sz="4" w:space="0"/>
              <w:right w:val="single" w:color="auto" w:sz="4" w:space="0"/>
            </w:tcBorders>
            <w:vAlign w:val="center"/>
          </w:tcPr>
          <w:p w14:paraId="7A1FDE31">
            <w:pPr>
              <w:spacing w:line="360" w:lineRule="auto"/>
              <w:jc w:val="center"/>
              <w:rPr>
                <w:rFonts w:hint="eastAsia" w:ascii="宋体" w:hAnsi="宋体" w:cs="仿宋_GB2312"/>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39BE6C7">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EF12633">
            <w:pPr>
              <w:spacing w:line="360" w:lineRule="exact"/>
              <w:jc w:val="center"/>
              <w:rPr>
                <w:rFonts w:hint="eastAsia" w:ascii="宋体" w:hAnsi="宋体" w:eastAsia="宋体" w:cs="仿宋_GB2312"/>
                <w:b/>
                <w:bCs/>
                <w:color w:val="auto"/>
                <w:szCs w:val="21"/>
                <w:highlight w:val="none"/>
                <w:lang w:val="en-US" w:eastAsia="zh-CN"/>
              </w:rPr>
            </w:pPr>
            <w:r>
              <w:rPr>
                <w:rFonts w:hint="eastAsia" w:ascii="宋体" w:hAnsi="宋体" w:cs="仿宋_GB2312"/>
                <w:b/>
                <w:bCs/>
                <w:color w:val="auto"/>
                <w:szCs w:val="21"/>
                <w:highlight w:val="none"/>
                <w:lang w:val="en-US" w:eastAsia="zh-CN"/>
              </w:rPr>
              <w:t>套</w:t>
            </w:r>
          </w:p>
        </w:tc>
        <w:tc>
          <w:tcPr>
            <w:tcW w:w="1590" w:type="dxa"/>
            <w:tcBorders>
              <w:top w:val="single" w:color="auto" w:sz="4" w:space="0"/>
              <w:left w:val="single" w:color="auto" w:sz="4" w:space="0"/>
              <w:bottom w:val="single" w:color="auto" w:sz="4" w:space="0"/>
              <w:right w:val="single" w:color="auto" w:sz="4" w:space="0"/>
            </w:tcBorders>
            <w:vAlign w:val="center"/>
          </w:tcPr>
          <w:p w14:paraId="04535E6E">
            <w:pPr>
              <w:spacing w:line="360" w:lineRule="exact"/>
              <w:jc w:val="center"/>
              <w:rPr>
                <w:rFonts w:hint="eastAsia" w:ascii="宋体" w:hAnsi="宋体" w:eastAsia="宋体" w:cs="仿宋_GB2312"/>
                <w:b/>
                <w:bCs/>
                <w:color w:val="auto"/>
                <w:szCs w:val="21"/>
                <w:highlight w:val="none"/>
                <w:lang w:val="en-US" w:eastAsia="zh-CN"/>
              </w:rPr>
            </w:pPr>
            <w:r>
              <w:rPr>
                <w:rFonts w:hint="eastAsia" w:ascii="宋体" w:hAnsi="宋体" w:cs="仿宋_GB2312"/>
                <w:b/>
                <w:bCs/>
                <w:color w:val="auto"/>
                <w:szCs w:val="21"/>
                <w:highlight w:val="none"/>
                <w:lang w:val="en-US" w:eastAsia="zh-CN"/>
              </w:rPr>
              <w:t>1</w:t>
            </w:r>
          </w:p>
        </w:tc>
        <w:tc>
          <w:tcPr>
            <w:tcW w:w="1445" w:type="dxa"/>
            <w:tcBorders>
              <w:top w:val="single" w:color="auto" w:sz="4" w:space="0"/>
              <w:left w:val="single" w:color="auto" w:sz="4" w:space="0"/>
              <w:bottom w:val="single" w:color="auto" w:sz="4" w:space="0"/>
              <w:right w:val="single" w:color="auto" w:sz="4" w:space="0"/>
            </w:tcBorders>
            <w:vAlign w:val="center"/>
          </w:tcPr>
          <w:p w14:paraId="0D5A44A8">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5B089854">
            <w:pPr>
              <w:spacing w:line="360" w:lineRule="auto"/>
              <w:jc w:val="center"/>
              <w:rPr>
                <w:rFonts w:hint="eastAsia" w:ascii="宋体" w:hAnsi="宋体" w:cs="仿宋_GB2312"/>
                <w:color w:val="auto"/>
                <w:szCs w:val="21"/>
                <w:highlight w:val="none"/>
              </w:rPr>
            </w:pPr>
          </w:p>
        </w:tc>
      </w:tr>
      <w:tr w14:paraId="6262D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743A395D">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2</w:t>
            </w:r>
          </w:p>
        </w:tc>
        <w:tc>
          <w:tcPr>
            <w:tcW w:w="4343" w:type="dxa"/>
            <w:tcBorders>
              <w:top w:val="single" w:color="auto" w:sz="4" w:space="0"/>
              <w:left w:val="single" w:color="auto" w:sz="4" w:space="0"/>
              <w:bottom w:val="single" w:color="auto" w:sz="4" w:space="0"/>
              <w:right w:val="single" w:color="auto" w:sz="4" w:space="0"/>
            </w:tcBorders>
            <w:vAlign w:val="center"/>
          </w:tcPr>
          <w:p w14:paraId="78B7AC7A">
            <w:pPr>
              <w:spacing w:line="360" w:lineRule="auto"/>
              <w:jc w:val="center"/>
              <w:rPr>
                <w:rFonts w:hint="eastAsia" w:ascii="宋体" w:hAnsi="宋体" w:cs="仿宋_GB2312"/>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960C2BA">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01B1D88">
            <w:pPr>
              <w:spacing w:line="360" w:lineRule="exact"/>
              <w:jc w:val="center"/>
              <w:rPr>
                <w:rFonts w:hint="eastAsia" w:ascii="宋体" w:hAnsi="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B48BA95">
            <w:pPr>
              <w:spacing w:line="360" w:lineRule="exact"/>
              <w:jc w:val="center"/>
              <w:rPr>
                <w:rFonts w:hint="eastAsia" w:ascii="宋体" w:hAnsi="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702AA73D">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2F5EC972">
            <w:pPr>
              <w:spacing w:line="360" w:lineRule="auto"/>
              <w:jc w:val="center"/>
              <w:rPr>
                <w:rFonts w:hint="eastAsia" w:ascii="宋体" w:hAnsi="宋体" w:cs="仿宋_GB2312"/>
                <w:color w:val="auto"/>
                <w:szCs w:val="21"/>
                <w:highlight w:val="none"/>
              </w:rPr>
            </w:pPr>
          </w:p>
        </w:tc>
      </w:tr>
      <w:tr w14:paraId="2D73B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06055889">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16223067">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38A78E79">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F11947F">
            <w:pPr>
              <w:spacing w:line="360" w:lineRule="exact"/>
              <w:jc w:val="center"/>
              <w:rPr>
                <w:rFonts w:hint="eastAsia" w:ascii="宋体" w:hAnsi="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07A8C20">
            <w:pPr>
              <w:spacing w:line="360" w:lineRule="exact"/>
              <w:jc w:val="center"/>
              <w:rPr>
                <w:rFonts w:hint="eastAsia" w:ascii="宋体" w:hAnsi="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685E861C">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0D4BBBE3">
            <w:pPr>
              <w:spacing w:line="360" w:lineRule="auto"/>
              <w:jc w:val="center"/>
              <w:rPr>
                <w:rFonts w:hint="eastAsia" w:ascii="宋体" w:hAnsi="宋体" w:cs="仿宋_GB2312"/>
                <w:color w:val="auto"/>
                <w:szCs w:val="21"/>
                <w:highlight w:val="none"/>
              </w:rPr>
            </w:pPr>
          </w:p>
        </w:tc>
      </w:tr>
      <w:tr w14:paraId="4E61E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4ABB277F">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08E70ABB">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22936860">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C17E672">
            <w:pPr>
              <w:spacing w:line="360" w:lineRule="exact"/>
              <w:jc w:val="center"/>
              <w:rPr>
                <w:rFonts w:hint="eastAsia" w:ascii="宋体" w:hAnsi="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BF06667">
            <w:pPr>
              <w:spacing w:line="360" w:lineRule="exact"/>
              <w:jc w:val="center"/>
              <w:rPr>
                <w:rFonts w:hint="eastAsia" w:ascii="宋体" w:hAnsi="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20953FBB">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18BAB942">
            <w:pPr>
              <w:spacing w:line="360" w:lineRule="auto"/>
              <w:jc w:val="center"/>
              <w:rPr>
                <w:rFonts w:hint="eastAsia" w:ascii="宋体" w:hAnsi="宋体" w:cs="仿宋_GB2312"/>
                <w:color w:val="auto"/>
                <w:szCs w:val="21"/>
                <w:highlight w:val="none"/>
              </w:rPr>
            </w:pPr>
          </w:p>
        </w:tc>
      </w:tr>
      <w:tr w14:paraId="6853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514" w:type="dxa"/>
            <w:gridSpan w:val="7"/>
            <w:tcBorders>
              <w:top w:val="single" w:color="auto" w:sz="4" w:space="0"/>
              <w:left w:val="single" w:color="auto" w:sz="4" w:space="0"/>
              <w:bottom w:val="single" w:color="auto" w:sz="4" w:space="0"/>
              <w:right w:val="single" w:color="auto" w:sz="4" w:space="0"/>
            </w:tcBorders>
            <w:vAlign w:val="center"/>
          </w:tcPr>
          <w:p w14:paraId="1D0F2039">
            <w:pPr>
              <w:snapToGrid w:val="0"/>
              <w:spacing w:line="360" w:lineRule="auto"/>
              <w:rPr>
                <w:rFonts w:hint="eastAsia" w:ascii="宋体" w:hAnsi="宋体" w:cs="仿宋_GB2312"/>
                <w:color w:val="auto"/>
                <w:szCs w:val="21"/>
                <w:highlight w:val="none"/>
                <w:u w:val="single"/>
              </w:rPr>
            </w:pPr>
            <w:r>
              <w:rPr>
                <w:rFonts w:hint="eastAsia" w:ascii="宋体" w:hAnsi="宋体" w:cs="仿宋_GB2312"/>
                <w:color w:val="auto"/>
                <w:szCs w:val="21"/>
                <w:highlight w:val="none"/>
              </w:rPr>
              <w:t>合计金额大写：人民币      （</w:t>
            </w:r>
            <w:r>
              <w:rPr>
                <w:rFonts w:hint="eastAsia" w:ascii="宋体" w:hAnsi="宋体" w:cs="宋体"/>
                <w:color w:val="auto"/>
                <w:szCs w:val="21"/>
                <w:highlight w:val="none"/>
              </w:rPr>
              <w:t>￥</w:t>
            </w:r>
            <w:r>
              <w:rPr>
                <w:rFonts w:hint="eastAsia" w:ascii="宋体" w:hAnsi="宋体" w:cs="仿宋_GB2312"/>
                <w:color w:val="auto"/>
                <w:szCs w:val="21"/>
                <w:highlight w:val="none"/>
              </w:rPr>
              <w:t>：   ）</w:t>
            </w:r>
          </w:p>
        </w:tc>
      </w:tr>
    </w:tbl>
    <w:p w14:paraId="7720247B">
      <w:pPr>
        <w:spacing w:line="360" w:lineRule="exact"/>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注: 1.所有价格均用人民币表示，单位为元，精确到小数点后两数位。</w:t>
      </w:r>
    </w:p>
    <w:p w14:paraId="27247D31">
      <w:pPr>
        <w:spacing w:line="360" w:lineRule="exact"/>
        <w:ind w:firstLine="840" w:firstLineChars="400"/>
        <w:contextualSpacing/>
        <w:rPr>
          <w:rFonts w:hint="eastAsia" w:ascii="宋体" w:hAnsi="宋体"/>
          <w:color w:val="auto"/>
          <w:szCs w:val="21"/>
          <w:highlight w:val="none"/>
        </w:rPr>
      </w:pPr>
      <w:r>
        <w:rPr>
          <w:rFonts w:hint="eastAsia" w:ascii="宋体" w:hAnsi="宋体"/>
          <w:color w:val="auto"/>
          <w:szCs w:val="21"/>
          <w:highlight w:val="none"/>
        </w:rPr>
        <w:t>2、供应商的报价表必须加盖供应商公章并由法定代表人或者委托代理人签字，否则其响应文件按无效响应处理。</w:t>
      </w:r>
    </w:p>
    <w:p w14:paraId="3DE39A0A">
      <w:pPr>
        <w:spacing w:line="360" w:lineRule="exact"/>
        <w:ind w:firstLine="840" w:firstLineChars="400"/>
        <w:contextualSpacing/>
        <w:rPr>
          <w:rFonts w:hint="eastAsia" w:ascii="宋体" w:hAnsi="宋体"/>
          <w:color w:val="auto"/>
          <w:szCs w:val="21"/>
          <w:highlight w:val="none"/>
        </w:rPr>
      </w:pPr>
      <w:r>
        <w:rPr>
          <w:rFonts w:hint="eastAsia" w:ascii="宋体" w:hAnsi="宋体"/>
          <w:color w:val="auto"/>
          <w:szCs w:val="21"/>
          <w:highlight w:val="none"/>
        </w:rPr>
        <w:t>3、报价一经涂改，应在涂改处加盖供应商公章或者由法定代表人或者授权委托人签字或者盖章，否则其响应文件按无效响应处理。</w:t>
      </w:r>
    </w:p>
    <w:p w14:paraId="5F995848">
      <w:pPr>
        <w:spacing w:line="360" w:lineRule="exact"/>
        <w:contextualSpacing/>
        <w:rPr>
          <w:rFonts w:hint="eastAsia" w:ascii="宋体" w:hAnsi="宋体"/>
          <w:color w:val="auto"/>
          <w:szCs w:val="21"/>
          <w:highlight w:val="none"/>
        </w:rPr>
      </w:pPr>
    </w:p>
    <w:p w14:paraId="18DCBC84">
      <w:pPr>
        <w:spacing w:line="360" w:lineRule="auto"/>
        <w:ind w:right="-817" w:rightChars="-389" w:firstLine="5460" w:firstLineChars="26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 xml:space="preserve">法定代表人或者委托代理人（签字）：                    </w:t>
      </w:r>
    </w:p>
    <w:p w14:paraId="6738DF2E">
      <w:pPr>
        <w:spacing w:line="360" w:lineRule="auto"/>
        <w:ind w:right="-817" w:rightChars="-389" w:firstLine="7140" w:firstLineChars="34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 xml:space="preserve">供应商（盖公章）：      </w:t>
      </w:r>
    </w:p>
    <w:p w14:paraId="0BD6CFA4">
      <w:pPr>
        <w:spacing w:line="360" w:lineRule="auto"/>
        <w:ind w:right="-817" w:rightChars="-389" w:firstLine="8190" w:firstLineChars="39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日 期：   年   月   日</w:t>
      </w:r>
    </w:p>
    <w:p w14:paraId="1323BCA2">
      <w:pPr>
        <w:spacing w:line="360" w:lineRule="auto"/>
        <w:ind w:right="-817" w:rightChars="-389" w:firstLine="8190" w:firstLineChars="3900"/>
        <w:contextualSpacing/>
        <w:rPr>
          <w:rFonts w:hint="eastAsia" w:ascii="宋体" w:hAnsi="宋体" w:cs="仿宋_GB2312"/>
          <w:color w:val="auto"/>
          <w:szCs w:val="21"/>
          <w:highlight w:val="none"/>
        </w:rPr>
      </w:pPr>
    </w:p>
    <w:p w14:paraId="2474CA1C">
      <w:pPr>
        <w:spacing w:line="360" w:lineRule="auto"/>
        <w:ind w:right="-817" w:rightChars="-389" w:firstLine="8190" w:firstLineChars="3900"/>
        <w:contextualSpacing/>
        <w:rPr>
          <w:rFonts w:hint="eastAsia" w:ascii="宋体" w:hAnsi="宋体" w:cs="仿宋_GB2312"/>
          <w:color w:val="auto"/>
          <w:szCs w:val="21"/>
          <w:highlight w:val="none"/>
        </w:rPr>
      </w:pPr>
    </w:p>
    <w:p w14:paraId="53A85A38">
      <w:pPr>
        <w:spacing w:line="360" w:lineRule="auto"/>
        <w:ind w:right="-817" w:rightChars="-389" w:firstLine="8190" w:firstLineChars="3900"/>
        <w:contextualSpacing/>
        <w:rPr>
          <w:rFonts w:hint="eastAsia" w:ascii="宋体" w:hAnsi="宋体" w:cs="仿宋_GB2312"/>
          <w:color w:val="auto"/>
          <w:szCs w:val="21"/>
          <w:highlight w:val="none"/>
        </w:rPr>
      </w:pPr>
    </w:p>
    <w:p w14:paraId="51D3433C">
      <w:pPr>
        <w:spacing w:line="360" w:lineRule="auto"/>
        <w:ind w:right="-817" w:rightChars="-389" w:firstLine="8190" w:firstLineChars="3900"/>
        <w:contextualSpacing/>
        <w:rPr>
          <w:rFonts w:hint="eastAsia" w:ascii="宋体" w:hAnsi="宋体" w:cs="仿宋_GB2312"/>
          <w:color w:val="auto"/>
          <w:szCs w:val="21"/>
          <w:highlight w:val="none"/>
        </w:rPr>
      </w:pPr>
    </w:p>
    <w:p w14:paraId="2F3FAB2E">
      <w:pPr>
        <w:spacing w:line="360" w:lineRule="auto"/>
        <w:ind w:right="-817" w:rightChars="-389" w:firstLine="8190" w:firstLineChars="3900"/>
        <w:contextualSpacing/>
        <w:rPr>
          <w:rFonts w:hint="eastAsia" w:ascii="宋体" w:hAnsi="宋体" w:cs="仿宋_GB2312"/>
          <w:color w:val="auto"/>
          <w:szCs w:val="21"/>
          <w:highlight w:val="none"/>
        </w:rPr>
      </w:pPr>
    </w:p>
    <w:p w14:paraId="46A6633B">
      <w:pPr>
        <w:adjustRightInd w:val="0"/>
        <w:snapToGrid w:val="0"/>
        <w:spacing w:line="520" w:lineRule="exact"/>
        <w:jc w:val="center"/>
        <w:rPr>
          <w:rFonts w:hint="eastAsia" w:ascii="方正小标宋简体" w:hAnsi="方正小标宋简体" w:eastAsia="方正小标宋简体" w:cs="方正小标宋简体"/>
          <w:bCs/>
          <w:sz w:val="44"/>
          <w:szCs w:val="44"/>
          <w:highlight w:val="none"/>
        </w:rPr>
      </w:pPr>
      <w:r>
        <w:rPr>
          <w:rFonts w:hint="eastAsia" w:ascii="宋体" w:hAnsi="宋体"/>
          <w:b/>
          <w:sz w:val="44"/>
          <w:szCs w:val="44"/>
          <w:highlight w:val="none"/>
        </w:rPr>
        <w:t>货物技术参数配置清单</w:t>
      </w:r>
    </w:p>
    <w:p w14:paraId="7118F3EA">
      <w:pPr>
        <w:spacing w:line="360" w:lineRule="auto"/>
        <w:rPr>
          <w:rFonts w:hint="eastAsia" w:ascii="宋体" w:hAnsi="宋体"/>
          <w:szCs w:val="21"/>
          <w:highlight w:val="none"/>
        </w:rPr>
      </w:pPr>
      <w:r>
        <w:rPr>
          <w:rFonts w:hint="eastAsia" w:ascii="宋体" w:hAnsi="宋体"/>
          <w:szCs w:val="21"/>
          <w:highlight w:val="none"/>
        </w:rPr>
        <w:t xml:space="preserve">项目名称： </w:t>
      </w:r>
    </w:p>
    <w:tbl>
      <w:tblPr>
        <w:tblStyle w:val="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2"/>
        <w:gridCol w:w="2829"/>
        <w:gridCol w:w="706"/>
        <w:gridCol w:w="1097"/>
        <w:gridCol w:w="1394"/>
        <w:gridCol w:w="1857"/>
        <w:gridCol w:w="1807"/>
        <w:gridCol w:w="1760"/>
        <w:gridCol w:w="3392"/>
      </w:tblGrid>
      <w:tr w14:paraId="2216C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6"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6149E5FC">
            <w:pPr>
              <w:snapToGrid w:val="0"/>
              <w:spacing w:before="50" w:after="50"/>
              <w:jc w:val="center"/>
              <w:rPr>
                <w:rFonts w:hint="eastAsia" w:ascii="宋体" w:hAnsi="宋体"/>
                <w:szCs w:val="21"/>
                <w:highlight w:val="none"/>
              </w:rPr>
            </w:pPr>
            <w:r>
              <w:rPr>
                <w:rFonts w:hint="eastAsia" w:ascii="宋体" w:hAnsi="宋体"/>
                <w:szCs w:val="21"/>
                <w:highlight w:val="none"/>
              </w:rPr>
              <w:t>序号</w:t>
            </w:r>
          </w:p>
        </w:tc>
        <w:tc>
          <w:tcPr>
            <w:tcW w:w="905" w:type="pct"/>
            <w:tcBorders>
              <w:top w:val="single" w:color="auto" w:sz="4" w:space="0"/>
              <w:left w:val="single" w:color="auto" w:sz="4" w:space="0"/>
              <w:bottom w:val="single" w:color="auto" w:sz="4" w:space="0"/>
              <w:right w:val="single" w:color="auto" w:sz="4" w:space="0"/>
            </w:tcBorders>
            <w:vAlign w:val="center"/>
          </w:tcPr>
          <w:p w14:paraId="21C8FE18">
            <w:pPr>
              <w:snapToGrid w:val="0"/>
              <w:spacing w:before="50" w:after="50"/>
              <w:jc w:val="center"/>
              <w:rPr>
                <w:rFonts w:hint="eastAsia" w:ascii="宋体" w:hAnsi="宋体"/>
                <w:szCs w:val="21"/>
                <w:highlight w:val="none"/>
              </w:rPr>
            </w:pPr>
            <w:r>
              <w:rPr>
                <w:rFonts w:hint="eastAsia" w:ascii="宋体" w:hAnsi="宋体"/>
                <w:szCs w:val="21"/>
                <w:highlight w:val="none"/>
              </w:rPr>
              <w:t>货物名称</w:t>
            </w:r>
          </w:p>
        </w:tc>
        <w:tc>
          <w:tcPr>
            <w:tcW w:w="226" w:type="pct"/>
            <w:tcBorders>
              <w:top w:val="single" w:color="auto" w:sz="4" w:space="0"/>
              <w:left w:val="single" w:color="auto" w:sz="4" w:space="0"/>
              <w:bottom w:val="single" w:color="auto" w:sz="4" w:space="0"/>
              <w:right w:val="single" w:color="auto" w:sz="4" w:space="0"/>
            </w:tcBorders>
            <w:vAlign w:val="center"/>
          </w:tcPr>
          <w:p w14:paraId="718827A2">
            <w:pPr>
              <w:snapToGrid w:val="0"/>
              <w:spacing w:before="50" w:after="50"/>
              <w:jc w:val="center"/>
              <w:rPr>
                <w:rFonts w:hint="eastAsia" w:ascii="宋体" w:hAnsi="宋体"/>
                <w:szCs w:val="21"/>
                <w:highlight w:val="none"/>
              </w:rPr>
            </w:pPr>
            <w:r>
              <w:rPr>
                <w:rFonts w:hint="eastAsia" w:ascii="宋体" w:hAnsi="宋体"/>
                <w:szCs w:val="21"/>
                <w:highlight w:val="none"/>
              </w:rPr>
              <w:t>单位</w:t>
            </w:r>
          </w:p>
        </w:tc>
        <w:tc>
          <w:tcPr>
            <w:tcW w:w="351" w:type="pct"/>
            <w:tcBorders>
              <w:top w:val="single" w:color="auto" w:sz="4" w:space="0"/>
              <w:left w:val="single" w:color="auto" w:sz="4" w:space="0"/>
              <w:bottom w:val="single" w:color="auto" w:sz="4" w:space="0"/>
              <w:right w:val="single" w:color="auto" w:sz="4" w:space="0"/>
            </w:tcBorders>
            <w:vAlign w:val="center"/>
          </w:tcPr>
          <w:p w14:paraId="4A8A17B4">
            <w:pPr>
              <w:snapToGrid w:val="0"/>
              <w:spacing w:before="50" w:after="50"/>
              <w:jc w:val="center"/>
              <w:rPr>
                <w:rFonts w:hint="eastAsia" w:ascii="宋体" w:hAnsi="宋体"/>
                <w:szCs w:val="21"/>
                <w:highlight w:val="none"/>
              </w:rPr>
            </w:pPr>
            <w:r>
              <w:rPr>
                <w:rFonts w:hint="eastAsia" w:ascii="宋体" w:hAnsi="宋体"/>
                <w:szCs w:val="21"/>
                <w:highlight w:val="none"/>
              </w:rPr>
              <w:t>数量</w:t>
            </w:r>
          </w:p>
        </w:tc>
        <w:tc>
          <w:tcPr>
            <w:tcW w:w="446" w:type="pct"/>
            <w:tcBorders>
              <w:top w:val="single" w:color="auto" w:sz="4" w:space="0"/>
              <w:left w:val="single" w:color="auto" w:sz="4" w:space="0"/>
              <w:bottom w:val="single" w:color="auto" w:sz="4" w:space="0"/>
              <w:right w:val="single" w:color="auto" w:sz="4" w:space="0"/>
            </w:tcBorders>
            <w:vAlign w:val="center"/>
          </w:tcPr>
          <w:p w14:paraId="4EDFBBC8">
            <w:pPr>
              <w:snapToGrid w:val="0"/>
              <w:spacing w:before="50" w:after="50"/>
              <w:jc w:val="center"/>
              <w:rPr>
                <w:rFonts w:hint="eastAsia" w:ascii="宋体" w:hAnsi="宋体"/>
                <w:szCs w:val="21"/>
                <w:highlight w:val="none"/>
              </w:rPr>
            </w:pPr>
            <w:r>
              <w:rPr>
                <w:rFonts w:hint="eastAsia" w:ascii="宋体" w:hAnsi="宋体"/>
                <w:szCs w:val="21"/>
                <w:highlight w:val="none"/>
              </w:rPr>
              <w:t>品牌</w:t>
            </w:r>
          </w:p>
        </w:tc>
        <w:tc>
          <w:tcPr>
            <w:tcW w:w="594" w:type="pct"/>
            <w:tcBorders>
              <w:top w:val="single" w:color="auto" w:sz="4" w:space="0"/>
              <w:left w:val="single" w:color="auto" w:sz="4" w:space="0"/>
              <w:bottom w:val="single" w:color="auto" w:sz="4" w:space="0"/>
              <w:right w:val="single" w:color="auto" w:sz="4" w:space="0"/>
            </w:tcBorders>
            <w:vAlign w:val="center"/>
          </w:tcPr>
          <w:p w14:paraId="0C72BE19">
            <w:pPr>
              <w:snapToGrid w:val="0"/>
              <w:spacing w:before="50" w:after="50"/>
              <w:jc w:val="center"/>
              <w:rPr>
                <w:rFonts w:hint="eastAsia" w:ascii="宋体" w:hAnsi="宋体"/>
                <w:szCs w:val="21"/>
                <w:highlight w:val="none"/>
              </w:rPr>
            </w:pPr>
            <w:r>
              <w:rPr>
                <w:rFonts w:hint="eastAsia" w:ascii="宋体" w:hAnsi="宋体"/>
                <w:szCs w:val="21"/>
                <w:highlight w:val="none"/>
              </w:rPr>
              <w:t>规格型号</w:t>
            </w:r>
          </w:p>
        </w:tc>
        <w:tc>
          <w:tcPr>
            <w:tcW w:w="578" w:type="pct"/>
            <w:tcBorders>
              <w:top w:val="single" w:color="auto" w:sz="4" w:space="0"/>
              <w:left w:val="single" w:color="auto" w:sz="4" w:space="0"/>
              <w:bottom w:val="single" w:color="auto" w:sz="4" w:space="0"/>
              <w:right w:val="single" w:color="auto" w:sz="4" w:space="0"/>
            </w:tcBorders>
            <w:vAlign w:val="center"/>
          </w:tcPr>
          <w:p w14:paraId="77C59776">
            <w:pPr>
              <w:snapToGrid w:val="0"/>
              <w:spacing w:before="50" w:after="50"/>
              <w:jc w:val="center"/>
              <w:rPr>
                <w:rFonts w:hint="eastAsia" w:ascii="宋体" w:hAnsi="宋体"/>
                <w:szCs w:val="21"/>
                <w:highlight w:val="none"/>
              </w:rPr>
            </w:pPr>
            <w:r>
              <w:rPr>
                <w:rFonts w:hint="eastAsia" w:ascii="宋体" w:hAnsi="宋体"/>
                <w:szCs w:val="21"/>
                <w:highlight w:val="none"/>
              </w:rPr>
              <w:t>制造商</w:t>
            </w:r>
          </w:p>
        </w:tc>
        <w:tc>
          <w:tcPr>
            <w:tcW w:w="563" w:type="pct"/>
            <w:tcBorders>
              <w:top w:val="single" w:color="auto" w:sz="4" w:space="0"/>
              <w:left w:val="single" w:color="auto" w:sz="4" w:space="0"/>
              <w:bottom w:val="single" w:color="auto" w:sz="4" w:space="0"/>
              <w:right w:val="single" w:color="auto" w:sz="4" w:space="0"/>
            </w:tcBorders>
            <w:vAlign w:val="center"/>
          </w:tcPr>
          <w:p w14:paraId="00DB263D">
            <w:pPr>
              <w:snapToGrid w:val="0"/>
              <w:spacing w:before="50" w:after="50"/>
              <w:jc w:val="center"/>
              <w:rPr>
                <w:rFonts w:hint="eastAsia" w:ascii="宋体" w:hAnsi="宋体"/>
                <w:szCs w:val="21"/>
                <w:highlight w:val="none"/>
              </w:rPr>
            </w:pPr>
            <w:r>
              <w:rPr>
                <w:rFonts w:hint="eastAsia" w:ascii="宋体" w:hAnsi="宋体"/>
                <w:szCs w:val="21"/>
                <w:highlight w:val="none"/>
              </w:rPr>
              <w:t>原产地</w:t>
            </w:r>
          </w:p>
        </w:tc>
        <w:tc>
          <w:tcPr>
            <w:tcW w:w="1085" w:type="pct"/>
            <w:tcBorders>
              <w:top w:val="single" w:color="auto" w:sz="4" w:space="0"/>
              <w:left w:val="single" w:color="auto" w:sz="4" w:space="0"/>
              <w:bottom w:val="single" w:color="auto" w:sz="4" w:space="0"/>
              <w:right w:val="single" w:color="auto" w:sz="4" w:space="0"/>
            </w:tcBorders>
            <w:vAlign w:val="center"/>
          </w:tcPr>
          <w:p w14:paraId="3C31E609">
            <w:pPr>
              <w:snapToGrid w:val="0"/>
              <w:spacing w:before="50" w:after="50"/>
              <w:jc w:val="center"/>
              <w:rPr>
                <w:rFonts w:hint="eastAsia" w:ascii="宋体" w:hAnsi="宋体"/>
                <w:szCs w:val="21"/>
                <w:highlight w:val="none"/>
              </w:rPr>
            </w:pPr>
            <w:r>
              <w:rPr>
                <w:rFonts w:hint="eastAsia" w:ascii="宋体" w:hAnsi="宋体"/>
                <w:szCs w:val="21"/>
                <w:highlight w:val="none"/>
              </w:rPr>
              <w:t>技术参数及性能配置</w:t>
            </w:r>
          </w:p>
        </w:tc>
      </w:tr>
      <w:tr w14:paraId="54FB4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47" w:type="pct"/>
            <w:tcBorders>
              <w:top w:val="single" w:color="auto" w:sz="4" w:space="0"/>
              <w:left w:val="single" w:color="auto" w:sz="4" w:space="0"/>
              <w:right w:val="single" w:color="auto" w:sz="4" w:space="0"/>
            </w:tcBorders>
            <w:vAlign w:val="center"/>
          </w:tcPr>
          <w:p w14:paraId="10205FDB">
            <w:pPr>
              <w:snapToGrid w:val="0"/>
              <w:spacing w:before="50" w:after="50"/>
              <w:jc w:val="center"/>
              <w:rPr>
                <w:rFonts w:hint="eastAsia" w:ascii="宋体" w:hAnsi="宋体"/>
                <w:szCs w:val="21"/>
                <w:highlight w:val="none"/>
              </w:rPr>
            </w:pPr>
            <w:r>
              <w:rPr>
                <w:rFonts w:hint="eastAsia" w:ascii="宋体" w:hAnsi="宋体"/>
                <w:szCs w:val="21"/>
                <w:highlight w:val="none"/>
              </w:rPr>
              <w:t>1</w:t>
            </w:r>
          </w:p>
        </w:tc>
        <w:tc>
          <w:tcPr>
            <w:tcW w:w="905" w:type="pct"/>
            <w:tcBorders>
              <w:top w:val="single" w:color="auto" w:sz="4" w:space="0"/>
              <w:left w:val="single" w:color="auto" w:sz="4" w:space="0"/>
              <w:bottom w:val="single" w:color="auto" w:sz="4" w:space="0"/>
              <w:right w:val="single" w:color="auto" w:sz="4" w:space="0"/>
            </w:tcBorders>
            <w:vAlign w:val="center"/>
          </w:tcPr>
          <w:p w14:paraId="1F74BB4F">
            <w:pPr>
              <w:widowControl/>
              <w:jc w:val="center"/>
              <w:textAlignment w:val="center"/>
              <w:rPr>
                <w:rFonts w:hint="eastAsia" w:ascii="宋体" w:hAnsi="宋体"/>
                <w:szCs w:val="21"/>
                <w:highlight w:val="none"/>
              </w:rPr>
            </w:pPr>
          </w:p>
        </w:tc>
        <w:tc>
          <w:tcPr>
            <w:tcW w:w="226" w:type="pct"/>
            <w:tcBorders>
              <w:top w:val="single" w:color="auto" w:sz="4" w:space="0"/>
              <w:left w:val="single" w:color="auto" w:sz="4" w:space="0"/>
              <w:bottom w:val="single" w:color="auto" w:sz="4" w:space="0"/>
              <w:right w:val="single" w:color="auto" w:sz="4" w:space="0"/>
            </w:tcBorders>
            <w:vAlign w:val="center"/>
          </w:tcPr>
          <w:p w14:paraId="27877978">
            <w:pPr>
              <w:widowControl/>
              <w:jc w:val="center"/>
              <w:textAlignment w:val="center"/>
              <w:rPr>
                <w:rFonts w:hint="eastAsia" w:ascii="宋体" w:hAnsi="宋体"/>
                <w:szCs w:val="21"/>
                <w:highlight w:val="none"/>
              </w:rPr>
            </w:pPr>
          </w:p>
        </w:tc>
        <w:tc>
          <w:tcPr>
            <w:tcW w:w="351" w:type="pct"/>
            <w:tcBorders>
              <w:top w:val="single" w:color="auto" w:sz="4" w:space="0"/>
              <w:left w:val="single" w:color="auto" w:sz="4" w:space="0"/>
              <w:bottom w:val="single" w:color="auto" w:sz="4" w:space="0"/>
              <w:right w:val="single" w:color="auto" w:sz="4" w:space="0"/>
            </w:tcBorders>
            <w:vAlign w:val="center"/>
          </w:tcPr>
          <w:p w14:paraId="3476AD1A">
            <w:pPr>
              <w:widowControl/>
              <w:jc w:val="center"/>
              <w:textAlignment w:val="center"/>
              <w:rPr>
                <w:rFonts w:hint="eastAsia" w:ascii="宋体" w:hAnsi="宋体"/>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29EC6CBE">
            <w:pPr>
              <w:snapToGrid w:val="0"/>
              <w:spacing w:before="50" w:after="50"/>
              <w:jc w:val="center"/>
              <w:rPr>
                <w:rFonts w:hint="eastAsia" w:ascii="宋体" w:hAnsi="宋体"/>
                <w:szCs w:val="21"/>
                <w:highlight w:val="none"/>
              </w:rPr>
            </w:pPr>
          </w:p>
        </w:tc>
        <w:tc>
          <w:tcPr>
            <w:tcW w:w="594" w:type="pct"/>
            <w:tcBorders>
              <w:top w:val="single" w:color="auto" w:sz="4" w:space="0"/>
              <w:left w:val="single" w:color="auto" w:sz="4" w:space="0"/>
              <w:bottom w:val="single" w:color="auto" w:sz="4" w:space="0"/>
              <w:right w:val="single" w:color="auto" w:sz="4" w:space="0"/>
            </w:tcBorders>
          </w:tcPr>
          <w:p w14:paraId="7DDCA39D">
            <w:pPr>
              <w:snapToGrid w:val="0"/>
              <w:spacing w:before="50" w:after="50"/>
              <w:jc w:val="center"/>
              <w:rPr>
                <w:rFonts w:hint="eastAsia" w:ascii="宋体" w:hAnsi="宋体"/>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67285F6F">
            <w:pPr>
              <w:snapToGrid w:val="0"/>
              <w:spacing w:before="50" w:after="50"/>
              <w:jc w:val="center"/>
              <w:rPr>
                <w:rFonts w:hint="eastAsia" w:ascii="宋体" w:hAnsi="宋体"/>
                <w:szCs w:val="21"/>
                <w:highlight w:val="none"/>
              </w:rPr>
            </w:pPr>
          </w:p>
        </w:tc>
        <w:tc>
          <w:tcPr>
            <w:tcW w:w="563" w:type="pct"/>
            <w:tcBorders>
              <w:top w:val="single" w:color="auto" w:sz="4" w:space="0"/>
              <w:left w:val="single" w:color="auto" w:sz="4" w:space="0"/>
              <w:bottom w:val="single" w:color="auto" w:sz="4" w:space="0"/>
              <w:right w:val="single" w:color="auto" w:sz="4" w:space="0"/>
            </w:tcBorders>
            <w:vAlign w:val="center"/>
          </w:tcPr>
          <w:p w14:paraId="03DBD8F5">
            <w:pPr>
              <w:snapToGrid w:val="0"/>
              <w:spacing w:before="50" w:after="50"/>
              <w:jc w:val="center"/>
              <w:rPr>
                <w:rFonts w:hint="eastAsia" w:ascii="宋体" w:hAnsi="宋体"/>
                <w:szCs w:val="21"/>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4D02491A">
            <w:pPr>
              <w:snapToGrid w:val="0"/>
              <w:spacing w:before="50" w:after="50"/>
              <w:jc w:val="center"/>
              <w:rPr>
                <w:rFonts w:hint="eastAsia" w:ascii="宋体" w:hAnsi="宋体"/>
                <w:szCs w:val="21"/>
                <w:highlight w:val="none"/>
              </w:rPr>
            </w:pPr>
          </w:p>
        </w:tc>
      </w:tr>
      <w:tr w14:paraId="0B1B0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6C0B33CF">
            <w:pPr>
              <w:snapToGrid w:val="0"/>
              <w:spacing w:before="50" w:after="50"/>
              <w:jc w:val="center"/>
              <w:rPr>
                <w:rFonts w:hint="eastAsia" w:ascii="宋体" w:hAnsi="宋体"/>
                <w:szCs w:val="21"/>
                <w:highlight w:val="none"/>
              </w:rPr>
            </w:pPr>
            <w:r>
              <w:rPr>
                <w:rFonts w:hint="eastAsia" w:ascii="宋体" w:hAnsi="宋体"/>
                <w:szCs w:val="21"/>
                <w:highlight w:val="none"/>
              </w:rPr>
              <w:t>2</w:t>
            </w:r>
          </w:p>
        </w:tc>
        <w:tc>
          <w:tcPr>
            <w:tcW w:w="905" w:type="pct"/>
            <w:tcBorders>
              <w:top w:val="single" w:color="auto" w:sz="4" w:space="0"/>
              <w:left w:val="single" w:color="auto" w:sz="4" w:space="0"/>
              <w:bottom w:val="single" w:color="auto" w:sz="4" w:space="0"/>
              <w:right w:val="single" w:color="auto" w:sz="4" w:space="0"/>
            </w:tcBorders>
            <w:vAlign w:val="center"/>
          </w:tcPr>
          <w:p w14:paraId="4C8732D8">
            <w:pPr>
              <w:widowControl/>
              <w:jc w:val="center"/>
              <w:textAlignment w:val="center"/>
              <w:rPr>
                <w:rFonts w:hint="eastAsia" w:ascii="宋体" w:hAnsi="宋体"/>
                <w:color w:val="000000"/>
                <w:kern w:val="0"/>
                <w:szCs w:val="21"/>
                <w:highlight w:val="none"/>
              </w:rPr>
            </w:pPr>
          </w:p>
        </w:tc>
        <w:tc>
          <w:tcPr>
            <w:tcW w:w="226" w:type="pct"/>
            <w:tcBorders>
              <w:top w:val="single" w:color="auto" w:sz="4" w:space="0"/>
              <w:left w:val="single" w:color="auto" w:sz="4" w:space="0"/>
              <w:bottom w:val="single" w:color="auto" w:sz="4" w:space="0"/>
              <w:right w:val="single" w:color="auto" w:sz="4" w:space="0"/>
            </w:tcBorders>
            <w:vAlign w:val="center"/>
          </w:tcPr>
          <w:p w14:paraId="4E8CD63D">
            <w:pPr>
              <w:widowControl/>
              <w:jc w:val="center"/>
              <w:textAlignment w:val="center"/>
              <w:rPr>
                <w:rFonts w:hint="eastAsia" w:ascii="宋体" w:hAnsi="宋体"/>
                <w:szCs w:val="21"/>
                <w:highlight w:val="none"/>
              </w:rPr>
            </w:pPr>
          </w:p>
        </w:tc>
        <w:tc>
          <w:tcPr>
            <w:tcW w:w="351" w:type="pct"/>
            <w:tcBorders>
              <w:top w:val="single" w:color="auto" w:sz="4" w:space="0"/>
              <w:left w:val="single" w:color="auto" w:sz="4" w:space="0"/>
              <w:bottom w:val="single" w:color="auto" w:sz="4" w:space="0"/>
              <w:right w:val="single" w:color="auto" w:sz="4" w:space="0"/>
            </w:tcBorders>
            <w:vAlign w:val="center"/>
          </w:tcPr>
          <w:p w14:paraId="67E1489D">
            <w:pPr>
              <w:widowControl/>
              <w:jc w:val="center"/>
              <w:textAlignment w:val="center"/>
              <w:rPr>
                <w:rFonts w:hint="eastAsia" w:ascii="宋体" w:hAnsi="宋体"/>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2EA6E337">
            <w:pPr>
              <w:snapToGrid w:val="0"/>
              <w:spacing w:before="50" w:after="50"/>
              <w:jc w:val="center"/>
              <w:rPr>
                <w:rFonts w:hint="eastAsia" w:ascii="宋体" w:hAnsi="宋体"/>
                <w:szCs w:val="21"/>
                <w:highlight w:val="none"/>
              </w:rPr>
            </w:pPr>
          </w:p>
        </w:tc>
        <w:tc>
          <w:tcPr>
            <w:tcW w:w="594" w:type="pct"/>
            <w:tcBorders>
              <w:top w:val="single" w:color="auto" w:sz="4" w:space="0"/>
              <w:left w:val="single" w:color="auto" w:sz="4" w:space="0"/>
              <w:bottom w:val="single" w:color="auto" w:sz="4" w:space="0"/>
              <w:right w:val="single" w:color="auto" w:sz="4" w:space="0"/>
            </w:tcBorders>
          </w:tcPr>
          <w:p w14:paraId="7FF6C6BE">
            <w:pPr>
              <w:snapToGrid w:val="0"/>
              <w:spacing w:before="50" w:after="50"/>
              <w:jc w:val="center"/>
              <w:rPr>
                <w:rFonts w:hint="eastAsia" w:ascii="宋体" w:hAnsi="宋体"/>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2D1EC980">
            <w:pPr>
              <w:snapToGrid w:val="0"/>
              <w:spacing w:before="50" w:after="50"/>
              <w:jc w:val="center"/>
              <w:rPr>
                <w:rFonts w:hint="eastAsia" w:ascii="宋体" w:hAnsi="宋体"/>
                <w:szCs w:val="21"/>
                <w:highlight w:val="none"/>
              </w:rPr>
            </w:pPr>
          </w:p>
        </w:tc>
        <w:tc>
          <w:tcPr>
            <w:tcW w:w="563" w:type="pct"/>
            <w:tcBorders>
              <w:top w:val="single" w:color="auto" w:sz="4" w:space="0"/>
              <w:left w:val="single" w:color="auto" w:sz="4" w:space="0"/>
              <w:bottom w:val="single" w:color="auto" w:sz="4" w:space="0"/>
              <w:right w:val="single" w:color="auto" w:sz="4" w:space="0"/>
            </w:tcBorders>
            <w:vAlign w:val="center"/>
          </w:tcPr>
          <w:p w14:paraId="785C57F6">
            <w:pPr>
              <w:snapToGrid w:val="0"/>
              <w:spacing w:before="50" w:after="50"/>
              <w:jc w:val="center"/>
              <w:rPr>
                <w:rFonts w:hint="eastAsia" w:ascii="宋体" w:hAnsi="宋体"/>
                <w:szCs w:val="21"/>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319B1543">
            <w:pPr>
              <w:snapToGrid w:val="0"/>
              <w:spacing w:before="50" w:after="50"/>
              <w:jc w:val="center"/>
              <w:rPr>
                <w:rFonts w:hint="eastAsia" w:ascii="宋体" w:hAnsi="宋体"/>
                <w:szCs w:val="21"/>
                <w:highlight w:val="none"/>
              </w:rPr>
            </w:pPr>
          </w:p>
        </w:tc>
      </w:tr>
      <w:tr w14:paraId="7CC08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2B2E394B">
            <w:pPr>
              <w:snapToGrid w:val="0"/>
              <w:spacing w:before="50" w:after="50"/>
              <w:jc w:val="center"/>
              <w:rPr>
                <w:rFonts w:hint="eastAsia" w:ascii="宋体" w:hAnsi="宋体"/>
                <w:szCs w:val="21"/>
                <w:highlight w:val="none"/>
              </w:rPr>
            </w:pPr>
            <w:r>
              <w:rPr>
                <w:rFonts w:hint="eastAsia" w:ascii="宋体" w:hAnsi="宋体"/>
                <w:szCs w:val="21"/>
                <w:highlight w:val="none"/>
              </w:rPr>
              <w:t>……</w:t>
            </w:r>
          </w:p>
        </w:tc>
        <w:tc>
          <w:tcPr>
            <w:tcW w:w="905" w:type="pct"/>
            <w:tcBorders>
              <w:top w:val="single" w:color="auto" w:sz="4" w:space="0"/>
              <w:left w:val="single" w:color="auto" w:sz="4" w:space="0"/>
              <w:bottom w:val="single" w:color="auto" w:sz="4" w:space="0"/>
              <w:right w:val="single" w:color="auto" w:sz="4" w:space="0"/>
            </w:tcBorders>
            <w:vAlign w:val="center"/>
          </w:tcPr>
          <w:p w14:paraId="0376EC9C">
            <w:pPr>
              <w:widowControl/>
              <w:jc w:val="center"/>
              <w:textAlignment w:val="center"/>
              <w:rPr>
                <w:rFonts w:hint="eastAsia" w:ascii="宋体" w:hAnsi="宋体"/>
                <w:color w:val="000000"/>
                <w:kern w:val="0"/>
                <w:szCs w:val="21"/>
                <w:highlight w:val="none"/>
              </w:rPr>
            </w:pPr>
          </w:p>
        </w:tc>
        <w:tc>
          <w:tcPr>
            <w:tcW w:w="226" w:type="pct"/>
            <w:tcBorders>
              <w:top w:val="single" w:color="auto" w:sz="4" w:space="0"/>
              <w:left w:val="single" w:color="auto" w:sz="4" w:space="0"/>
              <w:bottom w:val="single" w:color="auto" w:sz="4" w:space="0"/>
              <w:right w:val="single" w:color="auto" w:sz="4" w:space="0"/>
            </w:tcBorders>
            <w:vAlign w:val="center"/>
          </w:tcPr>
          <w:p w14:paraId="377592BA">
            <w:pPr>
              <w:widowControl/>
              <w:jc w:val="center"/>
              <w:textAlignment w:val="center"/>
              <w:rPr>
                <w:rFonts w:hint="eastAsia" w:ascii="宋体" w:hAnsi="宋体"/>
                <w:szCs w:val="21"/>
                <w:highlight w:val="none"/>
              </w:rPr>
            </w:pPr>
          </w:p>
        </w:tc>
        <w:tc>
          <w:tcPr>
            <w:tcW w:w="351" w:type="pct"/>
            <w:tcBorders>
              <w:top w:val="single" w:color="auto" w:sz="4" w:space="0"/>
              <w:left w:val="single" w:color="auto" w:sz="4" w:space="0"/>
              <w:bottom w:val="single" w:color="auto" w:sz="4" w:space="0"/>
              <w:right w:val="single" w:color="auto" w:sz="4" w:space="0"/>
            </w:tcBorders>
            <w:vAlign w:val="center"/>
          </w:tcPr>
          <w:p w14:paraId="468EE0D1">
            <w:pPr>
              <w:widowControl/>
              <w:jc w:val="center"/>
              <w:textAlignment w:val="center"/>
              <w:rPr>
                <w:rFonts w:hint="eastAsia" w:ascii="宋体" w:hAnsi="宋体"/>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66B43837">
            <w:pPr>
              <w:snapToGrid w:val="0"/>
              <w:spacing w:before="50" w:after="50"/>
              <w:jc w:val="center"/>
              <w:rPr>
                <w:rFonts w:hint="eastAsia" w:ascii="宋体" w:hAnsi="宋体"/>
                <w:szCs w:val="21"/>
                <w:highlight w:val="none"/>
              </w:rPr>
            </w:pPr>
          </w:p>
        </w:tc>
        <w:tc>
          <w:tcPr>
            <w:tcW w:w="594" w:type="pct"/>
            <w:tcBorders>
              <w:top w:val="single" w:color="auto" w:sz="4" w:space="0"/>
              <w:left w:val="single" w:color="auto" w:sz="4" w:space="0"/>
              <w:bottom w:val="single" w:color="auto" w:sz="4" w:space="0"/>
              <w:right w:val="single" w:color="auto" w:sz="4" w:space="0"/>
            </w:tcBorders>
          </w:tcPr>
          <w:p w14:paraId="5D123DC0">
            <w:pPr>
              <w:snapToGrid w:val="0"/>
              <w:spacing w:before="50" w:after="50"/>
              <w:jc w:val="center"/>
              <w:rPr>
                <w:rFonts w:hint="eastAsia" w:ascii="宋体" w:hAnsi="宋体"/>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2E7B8865">
            <w:pPr>
              <w:snapToGrid w:val="0"/>
              <w:spacing w:before="50" w:after="50"/>
              <w:jc w:val="center"/>
              <w:rPr>
                <w:rFonts w:hint="eastAsia" w:ascii="宋体" w:hAnsi="宋体"/>
                <w:szCs w:val="21"/>
                <w:highlight w:val="none"/>
              </w:rPr>
            </w:pPr>
          </w:p>
        </w:tc>
        <w:tc>
          <w:tcPr>
            <w:tcW w:w="563" w:type="pct"/>
            <w:tcBorders>
              <w:top w:val="single" w:color="auto" w:sz="4" w:space="0"/>
              <w:left w:val="single" w:color="auto" w:sz="4" w:space="0"/>
              <w:bottom w:val="single" w:color="auto" w:sz="4" w:space="0"/>
              <w:right w:val="single" w:color="auto" w:sz="4" w:space="0"/>
            </w:tcBorders>
            <w:vAlign w:val="center"/>
          </w:tcPr>
          <w:p w14:paraId="3C48EF83">
            <w:pPr>
              <w:snapToGrid w:val="0"/>
              <w:spacing w:before="50" w:after="50"/>
              <w:jc w:val="center"/>
              <w:rPr>
                <w:rFonts w:hint="eastAsia" w:ascii="宋体" w:hAnsi="宋体"/>
                <w:szCs w:val="21"/>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4D654267">
            <w:pPr>
              <w:snapToGrid w:val="0"/>
              <w:spacing w:before="50" w:after="50"/>
              <w:jc w:val="center"/>
              <w:rPr>
                <w:rFonts w:hint="eastAsia" w:ascii="宋体" w:hAnsi="宋体"/>
                <w:szCs w:val="21"/>
                <w:highlight w:val="none"/>
              </w:rPr>
            </w:pPr>
          </w:p>
        </w:tc>
      </w:tr>
    </w:tbl>
    <w:p w14:paraId="648CD903">
      <w:pPr>
        <w:contextualSpacing/>
        <w:rPr>
          <w:rFonts w:hint="eastAsia" w:ascii="宋体" w:hAnsi="宋体"/>
          <w:szCs w:val="21"/>
          <w:highlight w:val="none"/>
        </w:rPr>
      </w:pPr>
      <w:r>
        <w:rPr>
          <w:rFonts w:hint="eastAsia" w:ascii="宋体" w:hAnsi="宋体"/>
          <w:szCs w:val="21"/>
          <w:highlight w:val="none"/>
        </w:rPr>
        <w:t>备注：</w:t>
      </w:r>
      <w:r>
        <w:rPr>
          <w:rFonts w:hint="eastAsia" w:ascii="宋体" w:hAnsi="宋体"/>
          <w:b/>
          <w:bCs/>
          <w:szCs w:val="21"/>
          <w:highlight w:val="none"/>
        </w:rPr>
        <w:t>以上货物配置清单中“货物名称、数量及单位、品牌、规格型号、制造商、原产地、技术参数及性能配置”必须如实填写完整，品牌、规格型号没有则填无，填写有缺漏的，响应文件按无效响应处理</w:t>
      </w:r>
      <w:r>
        <w:rPr>
          <w:rFonts w:hint="eastAsia" w:ascii="宋体" w:hAnsi="宋体"/>
          <w:b/>
          <w:szCs w:val="21"/>
          <w:highlight w:val="none"/>
        </w:rPr>
        <w:t>。</w:t>
      </w:r>
      <w:r>
        <w:rPr>
          <w:rFonts w:hint="eastAsia" w:ascii="宋体" w:hAnsi="宋体"/>
          <w:szCs w:val="21"/>
          <w:highlight w:val="none"/>
        </w:rPr>
        <w:t>货物名称、数量及单位、品牌必须与“竞标报价表”一致，</w:t>
      </w:r>
      <w:r>
        <w:rPr>
          <w:rFonts w:hint="eastAsia" w:ascii="宋体" w:hAnsi="宋体"/>
          <w:bCs/>
          <w:szCs w:val="21"/>
          <w:highlight w:val="none"/>
        </w:rPr>
        <w:t>否则响应文件按无效响应处理</w:t>
      </w:r>
      <w:r>
        <w:rPr>
          <w:rFonts w:hint="eastAsia" w:ascii="宋体" w:hAnsi="宋体"/>
          <w:b/>
          <w:szCs w:val="21"/>
          <w:highlight w:val="none"/>
        </w:rPr>
        <w:t>。</w:t>
      </w:r>
      <w:r>
        <w:rPr>
          <w:rFonts w:hint="eastAsia" w:ascii="宋体" w:hAnsi="宋体"/>
          <w:szCs w:val="21"/>
          <w:highlight w:val="none"/>
        </w:rPr>
        <w:tab/>
      </w:r>
    </w:p>
    <w:p w14:paraId="24A64991">
      <w:pPr>
        <w:pStyle w:val="6"/>
        <w:rPr>
          <w:rFonts w:hint="eastAsia" w:ascii="宋体" w:hAnsi="宋体" w:cs="宋体"/>
          <w:szCs w:val="21"/>
          <w:highlight w:val="none"/>
        </w:rPr>
      </w:pPr>
    </w:p>
    <w:p w14:paraId="4BFE1AB8">
      <w:pPr>
        <w:ind w:right="-817" w:rightChars="-389"/>
        <w:contextualSpacing/>
        <w:jc w:val="center"/>
        <w:rPr>
          <w:rFonts w:hint="eastAsia" w:ascii="宋体" w:hAnsi="宋体"/>
          <w:szCs w:val="21"/>
          <w:highlight w:val="none"/>
        </w:rPr>
      </w:pPr>
      <w:r>
        <w:rPr>
          <w:rFonts w:hint="eastAsia" w:ascii="宋体" w:hAnsi="宋体"/>
          <w:szCs w:val="21"/>
          <w:highlight w:val="none"/>
        </w:rPr>
        <w:t>法定代表人或者委托代理人（签字）：</w:t>
      </w:r>
    </w:p>
    <w:p w14:paraId="7347544C">
      <w:pPr>
        <w:ind w:right="-817" w:rightChars="-389" w:firstLine="7245" w:firstLineChars="3450"/>
        <w:contextualSpacing/>
        <w:rPr>
          <w:rFonts w:hint="eastAsia" w:ascii="宋体" w:hAnsi="宋体"/>
          <w:szCs w:val="21"/>
          <w:highlight w:val="none"/>
        </w:rPr>
      </w:pPr>
      <w:r>
        <w:rPr>
          <w:rFonts w:hint="eastAsia" w:ascii="宋体" w:hAnsi="宋体"/>
          <w:szCs w:val="21"/>
          <w:highlight w:val="none"/>
        </w:rPr>
        <w:t xml:space="preserve">供应商（盖公章）：      </w:t>
      </w:r>
    </w:p>
    <w:p w14:paraId="4188AEF4">
      <w:pPr>
        <w:ind w:right="-817" w:rightChars="-389" w:firstLine="8190" w:firstLineChars="3900"/>
        <w:contextualSpacing/>
        <w:rPr>
          <w:highlight w:val="none"/>
        </w:rPr>
      </w:pPr>
      <w:r>
        <w:rPr>
          <w:rFonts w:hint="eastAsia" w:ascii="宋体" w:hAnsi="宋体"/>
          <w:szCs w:val="21"/>
          <w:highlight w:val="none"/>
        </w:rPr>
        <w:t>日  期：    年   月   日</w:t>
      </w:r>
    </w:p>
    <w:p w14:paraId="3DA5D3A2">
      <w:pPr>
        <w:rPr>
          <w:highlight w:val="none"/>
        </w:rPr>
      </w:pPr>
    </w:p>
    <w:p w14:paraId="3A4574FE">
      <w:pPr>
        <w:ind w:right="-817" w:rightChars="-389" w:firstLine="8190" w:firstLineChars="3900"/>
        <w:contextualSpacing/>
        <w:rPr>
          <w:rFonts w:hint="eastAsia" w:ascii="宋体" w:hAnsi="宋体" w:eastAsia="宋体" w:cs="宋体"/>
          <w:color w:val="auto"/>
          <w:sz w:val="21"/>
          <w:szCs w:val="21"/>
          <w:highlight w:val="none"/>
          <w:lang w:val="en-US" w:eastAsia="zh-CN"/>
        </w:rPr>
      </w:pP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A24A0E-345E-4957-B5C7-0CCAAF220E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3E69B89-7A33-419F-AD23-C4FB0E4B0BCA}"/>
  </w:font>
  <w:font w:name="仿宋_GB2312">
    <w:panose1 w:val="02010609030101010101"/>
    <w:charset w:val="86"/>
    <w:family w:val="modern"/>
    <w:pitch w:val="default"/>
    <w:sig w:usb0="00000001" w:usb1="080E0000" w:usb2="00000000" w:usb3="00000000" w:csb0="00040000" w:csb1="00000000"/>
    <w:embedRegular r:id="rId3" w:fontKey="{A69CFF7D-2E0A-4851-A608-478197008113}"/>
  </w:font>
  <w:font w:name="微软雅黑">
    <w:panose1 w:val="020B0503020204020204"/>
    <w:charset w:val="86"/>
    <w:family w:val="auto"/>
    <w:pitch w:val="default"/>
    <w:sig w:usb0="80000287" w:usb1="2ACF3C50" w:usb2="00000016" w:usb3="00000000" w:csb0="0004001F" w:csb1="00000000"/>
    <w:embedRegular r:id="rId4" w:fontKey="{53D90838-1638-4555-B2E7-41042E24BC69}"/>
  </w:font>
  <w:font w:name="方正小标宋简体">
    <w:panose1 w:val="03000509000000000000"/>
    <w:charset w:val="86"/>
    <w:family w:val="script"/>
    <w:pitch w:val="default"/>
    <w:sig w:usb0="00000001" w:usb1="080E0000" w:usb2="00000000" w:usb3="00000000" w:csb0="00040000" w:csb1="00000000"/>
    <w:embedRegular r:id="rId5" w:fontKey="{DDA565BD-450F-4F14-B556-A573EE609A31}"/>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01C2B"/>
    <w:multiLevelType w:val="singleLevel"/>
    <w:tmpl w:val="94E01C2B"/>
    <w:lvl w:ilvl="0" w:tentative="0">
      <w:start w:val="7"/>
      <w:numFmt w:val="chineseCounting"/>
      <w:suff w:val="nothing"/>
      <w:lvlText w:val="%1、"/>
      <w:lvlJc w:val="left"/>
      <w:rPr>
        <w:rFonts w:hint="eastAsia"/>
      </w:rPr>
    </w:lvl>
  </w:abstractNum>
  <w:abstractNum w:abstractNumId="1">
    <w:nsid w:val="60437FC7"/>
    <w:multiLevelType w:val="singleLevel"/>
    <w:tmpl w:val="60437FC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17456"/>
    <w:rsid w:val="0955056D"/>
    <w:rsid w:val="0C476893"/>
    <w:rsid w:val="0E5C4C29"/>
    <w:rsid w:val="13697BED"/>
    <w:rsid w:val="15851DBD"/>
    <w:rsid w:val="17EB61A8"/>
    <w:rsid w:val="18783409"/>
    <w:rsid w:val="1C4A3592"/>
    <w:rsid w:val="227E0FD1"/>
    <w:rsid w:val="2375388E"/>
    <w:rsid w:val="33353039"/>
    <w:rsid w:val="359A1E6F"/>
    <w:rsid w:val="37554814"/>
    <w:rsid w:val="3986014B"/>
    <w:rsid w:val="3EB44143"/>
    <w:rsid w:val="3FD93088"/>
    <w:rsid w:val="42051BC8"/>
    <w:rsid w:val="452D7799"/>
    <w:rsid w:val="458D420A"/>
    <w:rsid w:val="4827658E"/>
    <w:rsid w:val="4FD80B7D"/>
    <w:rsid w:val="51C55131"/>
    <w:rsid w:val="53124618"/>
    <w:rsid w:val="532765AE"/>
    <w:rsid w:val="54B7657A"/>
    <w:rsid w:val="551D418D"/>
    <w:rsid w:val="56F87D3A"/>
    <w:rsid w:val="57940BCE"/>
    <w:rsid w:val="5B9C33A6"/>
    <w:rsid w:val="5D635442"/>
    <w:rsid w:val="5FE86BBA"/>
    <w:rsid w:val="6A5C267E"/>
    <w:rsid w:val="6ED547AD"/>
    <w:rsid w:val="745F3B1C"/>
    <w:rsid w:val="74C50A99"/>
    <w:rsid w:val="7F3A1BBD"/>
    <w:rsid w:val="7F4804B3"/>
    <w:rsid w:val="7FC5261C"/>
    <w:rsid w:val="7FFB2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ind w:firstLine="830" w:firstLineChars="352"/>
    </w:pPr>
    <w:rPr>
      <w:rFonts w:ascii="仿宋_GB2312" w:eastAsia="仿宋_GB2312" w:cs="仿宋_GB2312"/>
      <w:sz w:val="32"/>
      <w:szCs w:val="32"/>
    </w:rPr>
  </w:style>
  <w:style w:type="paragraph" w:styleId="5">
    <w:name w:val="index 1"/>
    <w:basedOn w:val="1"/>
    <w:next w:val="1"/>
    <w:qFormat/>
    <w:uiPriority w:val="0"/>
    <w:pPr>
      <w:spacing w:line="400" w:lineRule="exact"/>
      <w:ind w:firstLine="420" w:firstLineChars="200"/>
    </w:pPr>
    <w:rPr>
      <w:rFonts w:ascii="宋体" w:hAnsi="Courier New"/>
      <w:b/>
      <w:szCs w:val="20"/>
    </w:rPr>
  </w:style>
  <w:style w:type="paragraph" w:styleId="6">
    <w:name w:val="Body Text First Indent 2"/>
    <w:basedOn w:val="4"/>
    <w:next w:val="2"/>
    <w:qFormat/>
    <w:uiPriority w:val="0"/>
    <w:pPr>
      <w:spacing w:after="120"/>
      <w:ind w:left="420" w:leftChars="200" w:firstLine="420" w:firstLineChars="200"/>
    </w:pPr>
    <w:rPr>
      <w:rFonts w:ascii="Times New Roman" w:eastAsia="宋体"/>
      <w:sz w:val="21"/>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qFormat/>
    <w:uiPriority w:val="0"/>
    <w:rPr>
      <w:sz w:val="21"/>
      <w:szCs w:val="21"/>
    </w:rPr>
  </w:style>
  <w:style w:type="paragraph" w:customStyle="1" w:styleId="11">
    <w:name w:val="表格文字"/>
    <w:basedOn w:val="1"/>
    <w:qFormat/>
    <w:uiPriority w:val="0"/>
    <w:pPr>
      <w:spacing w:before="25" w:after="25"/>
      <w:jc w:val="left"/>
    </w:pPr>
    <w:rPr>
      <w:bCs/>
      <w:spacing w:val="10"/>
      <w:kern w:val="0"/>
      <w:sz w:val="24"/>
    </w:rPr>
  </w:style>
  <w:style w:type="character" w:customStyle="1" w:styleId="12">
    <w:name w:val="NormalCharacter"/>
    <w:qFormat/>
    <w:uiPriority w:val="0"/>
    <w:rPr>
      <w:rFonts w:ascii="Calibri" w:hAnsi="Calibri"/>
      <w:kern w:val="2"/>
      <w:sz w:val="21"/>
      <w:szCs w:val="24"/>
      <w:lang w:val="en-US" w:eastAsia="zh-CN" w:bidi="ar-SA"/>
    </w:rPr>
  </w:style>
  <w:style w:type="paragraph" w:customStyle="1" w:styleId="13">
    <w:name w:val="Table Text"/>
    <w:basedOn w:val="1"/>
    <w:qFormat/>
    <w:uiPriority w:val="0"/>
    <w:rPr>
      <w:rFonts w:ascii="宋体" w:hAnsi="宋体" w:eastAsia="宋体" w:cs="宋体"/>
      <w:sz w:val="20"/>
      <w:szCs w:val="20"/>
      <w:lang w:val="en-US" w:eastAsia="en-US" w:bidi="ar-SA"/>
    </w:rPr>
  </w:style>
  <w:style w:type="table" w:customStyle="1" w:styleId="14">
    <w:name w:val="Table Normal"/>
    <w:qFormat/>
    <w:uiPriority w:val="0"/>
    <w:tblPr>
      <w:tblCellMar>
        <w:top w:w="0" w:type="dxa"/>
        <w:left w:w="0" w:type="dxa"/>
        <w:bottom w:w="0" w:type="dxa"/>
        <w:right w:w="0" w:type="dxa"/>
      </w:tblCellMar>
    </w:tblPr>
  </w:style>
  <w:style w:type="character" w:customStyle="1" w:styleId="15">
    <w:name w:val="font31"/>
    <w:basedOn w:val="9"/>
    <w:qFormat/>
    <w:uiPriority w:val="0"/>
    <w:rPr>
      <w:rFonts w:hint="eastAsia" w:ascii="宋体" w:hAnsi="宋体" w:eastAsia="宋体" w:cs="宋体"/>
      <w:color w:val="000000"/>
      <w:sz w:val="20"/>
      <w:szCs w:val="20"/>
      <w:u w:val="none"/>
    </w:rPr>
  </w:style>
  <w:style w:type="character" w:customStyle="1" w:styleId="16">
    <w:name w:val="font51"/>
    <w:basedOn w:val="9"/>
    <w:qFormat/>
    <w:uiPriority w:val="0"/>
    <w:rPr>
      <w:rFonts w:hint="default" w:ascii="Times New Roman" w:hAnsi="Times New Roman" w:cs="Times New Roman"/>
      <w:color w:val="000000"/>
      <w:sz w:val="20"/>
      <w:szCs w:val="20"/>
      <w:u w:val="none"/>
    </w:rPr>
  </w:style>
  <w:style w:type="character" w:customStyle="1" w:styleId="17">
    <w:name w:val="font4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1939</Words>
  <Characters>2230</Characters>
  <Paragraphs>256</Paragraphs>
  <TotalTime>5</TotalTime>
  <ScaleCrop>false</ScaleCrop>
  <LinksUpToDate>false</LinksUpToDate>
  <CharactersWithSpaces>2261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2023-06-06T09:36:00Z</dcterms:created>
  <dc:creator>刘新月</dc:creator>
  <cp:lastModifiedBy>北极星</cp:lastModifiedBy>
  <cp:lastPrinted>2024-06-20T10:35:00Z</cp:lastPrinted>
  <dcterms:modified xsi:type="dcterms:W3CDTF">2026-06-05T08:46:25Z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FC4A1714E72B492ABF95C79434A6DF15_13</vt:lpwstr>
  </property>
  <property fmtid="{D5CDD505-2E9C-101B-9397-08002B2CF9AE}" pid="4" name="KSOTemplateDocerSaveRecord">
    <vt:lpwstr>eyJoZGlkIjoiOGQ4MTZiYTBkODUwOTk2Y2FmZjk4OTdlNzZjYmRlZDkiLCJ1c2VySWQiOiIzNDA3OTQ1OTEifQ==</vt:lpwstr>
  </property>
</Properties>
</file>