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5DA950">
      <w:pPr>
        <w:keepNext w:val="0"/>
        <w:keepLines w:val="0"/>
        <w:pageBreakBefore w:val="0"/>
        <w:widowControl/>
        <w:kinsoku/>
        <w:wordWrap/>
        <w:overflowPunct/>
        <w:topLinePunct w:val="0"/>
        <w:autoSpaceDE/>
        <w:autoSpaceDN/>
        <w:bidi w:val="0"/>
        <w:spacing w:line="288" w:lineRule="auto"/>
        <w:jc w:val="center"/>
        <w:textAlignment w:val="auto"/>
        <w:rPr>
          <w:rFonts w:hint="eastAsia" w:ascii="宋体" w:hAnsi="宋体" w:eastAsia="宋体" w:cs="宋体"/>
          <w:b/>
          <w:bCs/>
          <w:color w:val="auto"/>
          <w:sz w:val="40"/>
          <w:szCs w:val="40"/>
          <w:highlight w:val="none"/>
          <w:lang w:val="en-US" w:eastAsia="zh-CN"/>
        </w:rPr>
      </w:pPr>
      <w:r>
        <w:rPr>
          <w:rFonts w:hint="eastAsia" w:ascii="宋体" w:hAnsi="宋体" w:eastAsia="宋体" w:cs="宋体"/>
          <w:b/>
          <w:bCs/>
          <w:color w:val="auto"/>
          <w:sz w:val="40"/>
          <w:szCs w:val="40"/>
          <w:highlight w:val="none"/>
          <w:lang w:val="en-US" w:eastAsia="zh-CN"/>
        </w:rPr>
        <w:t>超融合服务节点能力提升项目购置清单</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712"/>
        <w:gridCol w:w="1602"/>
        <w:gridCol w:w="10084"/>
        <w:gridCol w:w="449"/>
        <w:gridCol w:w="449"/>
        <w:gridCol w:w="937"/>
        <w:gridCol w:w="932"/>
      </w:tblGrid>
      <w:tr w14:paraId="237A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529" w:type="dxa"/>
            <w:vAlign w:val="center"/>
          </w:tcPr>
          <w:p w14:paraId="18B1C556">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sz w:val="20"/>
                <w:szCs w:val="20"/>
                <w:highlight w:val="none"/>
              </w:rPr>
              <w:t>序号</w:t>
            </w:r>
          </w:p>
        </w:tc>
        <w:tc>
          <w:tcPr>
            <w:tcW w:w="0" w:type="auto"/>
            <w:vAlign w:val="center"/>
          </w:tcPr>
          <w:p w14:paraId="5E8967E4">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sz w:val="20"/>
                <w:szCs w:val="20"/>
                <w:highlight w:val="none"/>
              </w:rPr>
              <w:t>名称</w:t>
            </w:r>
          </w:p>
        </w:tc>
        <w:tc>
          <w:tcPr>
            <w:tcW w:w="0" w:type="auto"/>
            <w:vAlign w:val="center"/>
          </w:tcPr>
          <w:p w14:paraId="72DCD02D">
            <w:pPr>
              <w:keepNext w:val="0"/>
              <w:keepLines w:val="0"/>
              <w:pageBreakBefore w:val="0"/>
              <w:kinsoku/>
              <w:wordWrap/>
              <w:overflowPunct/>
              <w:topLinePunct w:val="0"/>
              <w:autoSpaceDE/>
              <w:autoSpaceDN/>
              <w:bidi w:val="0"/>
              <w:spacing w:line="288" w:lineRule="auto"/>
              <w:jc w:val="center"/>
              <w:textAlignment w:val="auto"/>
              <w:rPr>
                <w:rFonts w:hint="default"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kern w:val="2"/>
                <w:sz w:val="20"/>
                <w:szCs w:val="20"/>
                <w:highlight w:val="none"/>
                <w:lang w:val="en-US" w:eastAsia="zh-CN" w:bidi="ar-SA"/>
              </w:rPr>
              <w:t>参考品牌</w:t>
            </w:r>
          </w:p>
        </w:tc>
        <w:tc>
          <w:tcPr>
            <w:tcW w:w="0" w:type="auto"/>
            <w:vAlign w:val="center"/>
          </w:tcPr>
          <w:p w14:paraId="1AF2A0D5">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b/>
                <w:bCs/>
                <w:color w:val="auto"/>
                <w:kern w:val="2"/>
                <w:sz w:val="20"/>
                <w:szCs w:val="20"/>
                <w:highlight w:val="none"/>
                <w:lang w:val="en-US" w:eastAsia="zh-CN" w:bidi="ar-SA"/>
              </w:rPr>
            </w:pPr>
            <w:r>
              <w:rPr>
                <w:rFonts w:hint="eastAsia" w:ascii="宋体" w:hAnsi="宋体" w:eastAsia="宋体" w:cs="宋体"/>
                <w:b/>
                <w:bCs/>
                <w:color w:val="auto"/>
                <w:sz w:val="20"/>
                <w:szCs w:val="20"/>
                <w:highlight w:val="none"/>
              </w:rPr>
              <w:t>规格参数</w:t>
            </w:r>
          </w:p>
        </w:tc>
        <w:tc>
          <w:tcPr>
            <w:tcW w:w="0" w:type="auto"/>
            <w:vAlign w:val="center"/>
          </w:tcPr>
          <w:p w14:paraId="47E28092">
            <w:pPr>
              <w:keepNext w:val="0"/>
              <w:keepLines w:val="0"/>
              <w:pageBreakBefore w:val="0"/>
              <w:kinsoku/>
              <w:wordWrap/>
              <w:overflowPunct/>
              <w:topLinePunct w:val="0"/>
              <w:autoSpaceDE/>
              <w:autoSpaceDN/>
              <w:bidi w:val="0"/>
              <w:spacing w:line="288" w:lineRule="auto"/>
              <w:jc w:val="both"/>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单位</w:t>
            </w:r>
          </w:p>
        </w:tc>
        <w:tc>
          <w:tcPr>
            <w:tcW w:w="0" w:type="auto"/>
            <w:vAlign w:val="center"/>
          </w:tcPr>
          <w:p w14:paraId="27AA3CB8">
            <w:pPr>
              <w:keepNext w:val="0"/>
              <w:keepLines w:val="0"/>
              <w:pageBreakBefore w:val="0"/>
              <w:kinsoku/>
              <w:wordWrap/>
              <w:overflowPunct/>
              <w:topLinePunct w:val="0"/>
              <w:autoSpaceDE/>
              <w:autoSpaceDN/>
              <w:bidi w:val="0"/>
              <w:spacing w:line="288" w:lineRule="auto"/>
              <w:jc w:val="both"/>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数量</w:t>
            </w:r>
          </w:p>
        </w:tc>
        <w:tc>
          <w:tcPr>
            <w:tcW w:w="0" w:type="auto"/>
            <w:vAlign w:val="center"/>
          </w:tcPr>
          <w:p w14:paraId="417169EC">
            <w:pPr>
              <w:keepNext w:val="0"/>
              <w:keepLines w:val="0"/>
              <w:pageBreakBefore w:val="0"/>
              <w:kinsoku/>
              <w:wordWrap/>
              <w:overflowPunct/>
              <w:topLinePunct w:val="0"/>
              <w:autoSpaceDE/>
              <w:autoSpaceDN/>
              <w:bidi w:val="0"/>
              <w:spacing w:line="288" w:lineRule="auto"/>
              <w:jc w:val="both"/>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单价（元）</w:t>
            </w:r>
          </w:p>
        </w:tc>
        <w:tc>
          <w:tcPr>
            <w:tcW w:w="0" w:type="auto"/>
            <w:vAlign w:val="center"/>
          </w:tcPr>
          <w:p w14:paraId="5010D55C">
            <w:pPr>
              <w:keepNext w:val="0"/>
              <w:keepLines w:val="0"/>
              <w:pageBreakBefore w:val="0"/>
              <w:kinsoku/>
              <w:wordWrap/>
              <w:overflowPunct/>
              <w:topLinePunct w:val="0"/>
              <w:autoSpaceDE/>
              <w:autoSpaceDN/>
              <w:bidi w:val="0"/>
              <w:spacing w:line="288" w:lineRule="auto"/>
              <w:jc w:val="both"/>
              <w:textAlignment w:val="auto"/>
              <w:rPr>
                <w:rFonts w:hint="eastAsia" w:ascii="宋体" w:hAnsi="宋体" w:eastAsia="宋体" w:cs="宋体"/>
                <w:b/>
                <w:bCs/>
                <w:color w:val="auto"/>
                <w:sz w:val="20"/>
                <w:szCs w:val="20"/>
                <w:highlight w:val="none"/>
                <w:lang w:val="en-US" w:eastAsia="zh-CN"/>
              </w:rPr>
            </w:pPr>
            <w:r>
              <w:rPr>
                <w:rFonts w:hint="eastAsia" w:ascii="宋体" w:hAnsi="宋体" w:eastAsia="宋体" w:cs="宋体"/>
                <w:b/>
                <w:bCs/>
                <w:color w:val="auto"/>
                <w:sz w:val="20"/>
                <w:szCs w:val="20"/>
                <w:highlight w:val="none"/>
                <w:lang w:val="en-US" w:eastAsia="zh-CN"/>
              </w:rPr>
              <w:t>合价（元）</w:t>
            </w:r>
          </w:p>
        </w:tc>
      </w:tr>
      <w:tr w14:paraId="32B7B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7" w:hRule="exact"/>
        </w:trPr>
        <w:tc>
          <w:tcPr>
            <w:tcW w:w="529" w:type="dxa"/>
            <w:vAlign w:val="center"/>
          </w:tcPr>
          <w:p w14:paraId="332DF16E">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sz w:val="20"/>
                <w:szCs w:val="20"/>
                <w:highlight w:val="none"/>
              </w:rPr>
              <w:t>1</w:t>
            </w:r>
          </w:p>
        </w:tc>
        <w:tc>
          <w:tcPr>
            <w:tcW w:w="1011" w:type="dxa"/>
            <w:textDirection w:val="tbLrV"/>
            <w:vAlign w:val="center"/>
          </w:tcPr>
          <w:p w14:paraId="363CBE27">
            <w:pPr>
              <w:keepNext w:val="0"/>
              <w:keepLines w:val="0"/>
              <w:pageBreakBefore w:val="0"/>
              <w:kinsoku/>
              <w:wordWrap/>
              <w:overflowPunct/>
              <w:topLinePunct w:val="0"/>
              <w:autoSpaceDE/>
              <w:autoSpaceDN/>
              <w:bidi w:val="0"/>
              <w:spacing w:line="288" w:lineRule="auto"/>
              <w:ind w:left="113" w:right="113"/>
              <w:jc w:val="center"/>
              <w:textAlignment w:val="auto"/>
              <w:rPr>
                <w:rFonts w:hint="default" w:ascii="宋体" w:hAnsi="宋体" w:eastAsia="宋体" w:cs="宋体"/>
                <w:color w:val="auto"/>
                <w:kern w:val="2"/>
                <w:sz w:val="20"/>
                <w:szCs w:val="20"/>
                <w:highlight w:val="none"/>
                <w:lang w:val="en-US" w:eastAsia="zh-CN" w:bidi="ar-SA"/>
              </w:rPr>
            </w:pPr>
            <w:r>
              <w:rPr>
                <w:rFonts w:hint="eastAsia" w:cs="仿宋" w:asciiTheme="minorEastAsia" w:hAnsiTheme="minorEastAsia"/>
                <w:color w:val="000000"/>
                <w:szCs w:val="21"/>
                <w:lang w:val="en-US" w:eastAsia="zh-CN"/>
              </w:rPr>
              <w:t>超融合一体机</w:t>
            </w:r>
          </w:p>
        </w:tc>
        <w:tc>
          <w:tcPr>
            <w:tcW w:w="753" w:type="dxa"/>
            <w:vAlign w:val="center"/>
          </w:tcPr>
          <w:p w14:paraId="03AFEA0C">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12BCAEA3">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230E6B89">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65B44045">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深信服、浪潮、</w:t>
            </w:r>
          </w:p>
          <w:p w14:paraId="0DCEC744">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r>
              <w:rPr>
                <w:rFonts w:hint="eastAsia" w:ascii="宋体" w:hAnsi="宋体" w:eastAsia="宋体" w:cs="宋体"/>
                <w:b w:val="0"/>
                <w:bCs w:val="0"/>
                <w:color w:val="auto"/>
                <w:sz w:val="20"/>
                <w:szCs w:val="20"/>
                <w:highlight w:val="none"/>
                <w:lang w:eastAsia="zh-CN"/>
              </w:rPr>
              <w:t>联想</w:t>
            </w:r>
            <w:r>
              <w:rPr>
                <w:rFonts w:hint="eastAsia" w:ascii="宋体" w:hAnsi="宋体" w:cs="宋体"/>
                <w:b w:val="0"/>
                <w:bCs w:val="0"/>
                <w:color w:val="auto"/>
                <w:sz w:val="20"/>
                <w:szCs w:val="20"/>
                <w:highlight w:val="none"/>
                <w:lang w:val="en-US" w:eastAsia="zh-CN"/>
              </w:rPr>
              <w:t>（</w:t>
            </w:r>
            <w:r>
              <w:rPr>
                <w:rFonts w:hint="eastAsia" w:ascii="宋体" w:hAnsi="宋体" w:cs="宋体"/>
                <w:b w:val="0"/>
                <w:bCs w:val="0"/>
                <w:color w:val="auto"/>
                <w:sz w:val="20"/>
                <w:szCs w:val="20"/>
                <w:highlight w:val="none"/>
                <w:lang w:eastAsia="zh-CN"/>
              </w:rPr>
              <w:t>或同档次品牌以上</w:t>
            </w:r>
            <w:r>
              <w:rPr>
                <w:rFonts w:hint="eastAsia" w:ascii="宋体" w:hAnsi="宋体" w:cs="宋体"/>
                <w:b w:val="0"/>
                <w:bCs w:val="0"/>
                <w:color w:val="auto"/>
                <w:sz w:val="20"/>
                <w:szCs w:val="20"/>
                <w:highlight w:val="none"/>
                <w:lang w:val="en-US" w:eastAsia="zh-CN"/>
              </w:rPr>
              <w:t>）</w:t>
            </w:r>
          </w:p>
          <w:p w14:paraId="786B5279">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58E34E73">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2C5A07DE">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6851DC0B">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1BBDF04E">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eastAsia" w:ascii="宋体" w:hAnsi="宋体" w:cs="宋体"/>
                <w:b w:val="0"/>
                <w:bCs w:val="0"/>
                <w:color w:val="auto"/>
                <w:kern w:val="0"/>
                <w:sz w:val="20"/>
                <w:szCs w:val="20"/>
                <w:highlight w:val="none"/>
                <w:lang w:val="en-US" w:eastAsia="zh-CN"/>
              </w:rPr>
            </w:pPr>
          </w:p>
          <w:p w14:paraId="2D552D2C">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2617BAD6">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lang w:eastAsia="zh-CN"/>
              </w:rPr>
            </w:pPr>
          </w:p>
          <w:p w14:paraId="41C0F4FF">
            <w:pPr>
              <w:keepNext w:val="0"/>
              <w:keepLines w:val="0"/>
              <w:pageBreakBefore w:val="0"/>
              <w:kinsoku/>
              <w:wordWrap/>
              <w:overflowPunct/>
              <w:topLinePunct w:val="0"/>
              <w:autoSpaceDE/>
              <w:autoSpaceDN/>
              <w:bidi w:val="0"/>
              <w:spacing w:line="288" w:lineRule="auto"/>
              <w:textAlignment w:val="auto"/>
              <w:rPr>
                <w:rFonts w:hint="default" w:ascii="宋体" w:hAnsi="宋体" w:eastAsia="宋体" w:cs="宋体"/>
                <w:b w:val="0"/>
                <w:bCs w:val="0"/>
                <w:color w:val="auto"/>
                <w:sz w:val="20"/>
                <w:szCs w:val="20"/>
                <w:highlight w:val="none"/>
                <w:lang w:val="en-US"/>
              </w:rPr>
            </w:pPr>
          </w:p>
          <w:p w14:paraId="7003496C">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400B5901">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23586591">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54A18F0C">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2BBBD68F">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490BE883">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112FA824">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144B462F">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4FCA392D">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039BF708">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sz w:val="20"/>
                <w:szCs w:val="20"/>
                <w:highlight w:val="none"/>
              </w:rPr>
            </w:pPr>
          </w:p>
          <w:p w14:paraId="5E68A6B7">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kern w:val="2"/>
                <w:sz w:val="20"/>
                <w:szCs w:val="20"/>
                <w:highlight w:val="none"/>
                <w:lang w:val="en-US" w:eastAsia="zh-CN" w:bidi="ar-SA"/>
              </w:rPr>
            </w:pPr>
          </w:p>
        </w:tc>
        <w:tc>
          <w:tcPr>
            <w:tcW w:w="10125" w:type="dxa"/>
            <w:vAlign w:val="top"/>
          </w:tcPr>
          <w:p w14:paraId="7BBEE72A">
            <w:pPr>
              <w:widowControl/>
              <w:spacing w:before="156" w:beforeLines="50" w:after="156" w:afterLines="50"/>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1、规格：2U超融合一体机</w:t>
            </w:r>
            <w:r>
              <w:rPr>
                <w:rFonts w:hint="eastAsia" w:cs="仿宋" w:asciiTheme="minorEastAsia" w:hAnsiTheme="minorEastAsia"/>
                <w:color w:val="000000"/>
                <w:szCs w:val="21"/>
                <w:lang w:eastAsia="zh-CN"/>
              </w:rPr>
              <w:t>；</w:t>
            </w:r>
          </w:p>
          <w:p w14:paraId="2F5B8E20">
            <w:pPr>
              <w:widowControl/>
              <w:spacing w:before="156" w:beforeLines="50" w:after="156" w:afterLines="50"/>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2、处理器：配置≥2颗Kunpeng 920 7260处理器（64核心），主频≥2.6GHZ</w:t>
            </w:r>
            <w:r>
              <w:rPr>
                <w:rFonts w:hint="eastAsia" w:cs="仿宋" w:asciiTheme="minorEastAsia" w:hAnsiTheme="minorEastAsia"/>
                <w:color w:val="000000"/>
                <w:szCs w:val="21"/>
                <w:lang w:eastAsia="zh-CN"/>
              </w:rPr>
              <w:t>；</w:t>
            </w:r>
          </w:p>
          <w:p w14:paraId="28673D86">
            <w:pPr>
              <w:widowControl/>
              <w:spacing w:before="156" w:beforeLines="50" w:after="156" w:afterLines="50"/>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3、内存：配置≥16*64GB内存；内存插槽数量≥32个，最大内存可扩展至2TB；具备内存回收机制，实现内存资源的动态复用，保障服务器的性能</w:t>
            </w:r>
            <w:r>
              <w:rPr>
                <w:rFonts w:hint="eastAsia" w:cs="仿宋" w:asciiTheme="minorEastAsia" w:hAnsiTheme="minorEastAsia"/>
                <w:color w:val="000000"/>
                <w:szCs w:val="21"/>
                <w:lang w:eastAsia="zh-CN"/>
              </w:rPr>
              <w:t>；</w:t>
            </w:r>
          </w:p>
          <w:p w14:paraId="1911EAF1">
            <w:pPr>
              <w:widowControl/>
              <w:spacing w:before="156" w:beforeLines="50" w:after="156" w:afterLines="50"/>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 xml:space="preserve">4、硬盘：≥2块480G SSD系统盘、≥2块960G SSD缓存盘、配置≥4块8T SATA数据盘，支持热插拔SAS/SATA硬盘，兼容2.5英寸和3.5英寸硬盘，配备≥12个2.5/3.5寸硬盘槽； </w:t>
            </w:r>
          </w:p>
          <w:p w14:paraId="42AAB314">
            <w:pPr>
              <w:widowControl/>
              <w:spacing w:before="156" w:beforeLines="50" w:after="156" w:afterLines="50"/>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5、设备配备≥4个千兆电口和2个万兆光口（包含万兆多模光模块和多模光纤线）；配置冗余电源</w:t>
            </w:r>
            <w:r>
              <w:rPr>
                <w:rFonts w:hint="eastAsia" w:cs="仿宋" w:asciiTheme="minorEastAsia" w:hAnsiTheme="minorEastAsia"/>
                <w:color w:val="000000"/>
                <w:szCs w:val="21"/>
                <w:lang w:eastAsia="zh-CN"/>
              </w:rPr>
              <w:t>；</w:t>
            </w:r>
          </w:p>
          <w:p w14:paraId="5361DBEE">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default" w:ascii="宋体" w:hAnsi="宋体" w:cs="宋体"/>
                <w:b w:val="0"/>
                <w:bCs w:val="0"/>
                <w:color w:val="auto"/>
                <w:kern w:val="0"/>
                <w:sz w:val="20"/>
                <w:szCs w:val="20"/>
                <w:highlight w:val="none"/>
                <w:lang w:val="en-US" w:eastAsia="zh-CN"/>
              </w:rPr>
            </w:pPr>
            <w:r>
              <w:rPr>
                <w:rFonts w:hint="eastAsia" w:cs="仿宋" w:asciiTheme="minorEastAsia" w:hAnsiTheme="minorEastAsia"/>
                <w:color w:val="000000"/>
                <w:szCs w:val="21"/>
              </w:rPr>
              <w:t>6、RAID功能：提供raid 0/1/10并支持直通。</w:t>
            </w:r>
          </w:p>
        </w:tc>
        <w:tc>
          <w:tcPr>
            <w:tcW w:w="529" w:type="dxa"/>
            <w:vAlign w:val="center"/>
          </w:tcPr>
          <w:p w14:paraId="5E486287">
            <w:pPr>
              <w:keepNext w:val="0"/>
              <w:keepLines w:val="0"/>
              <w:pageBreakBefore w:val="0"/>
              <w:widowControl/>
              <w:numPr>
                <w:ilvl w:val="0"/>
                <w:numId w:val="0"/>
              </w:numPr>
              <w:kinsoku/>
              <w:wordWrap/>
              <w:overflowPunct/>
              <w:topLinePunct w:val="0"/>
              <w:autoSpaceDE/>
              <w:autoSpaceDN/>
              <w:bidi w:val="0"/>
              <w:spacing w:line="288" w:lineRule="auto"/>
              <w:jc w:val="center"/>
              <w:textAlignment w:val="auto"/>
              <w:rPr>
                <w:rFonts w:hint="default" w:ascii="宋体" w:hAnsi="宋体" w:eastAsia="宋体" w:cs="宋体"/>
                <w:color w:val="auto"/>
                <w:kern w:val="2"/>
                <w:sz w:val="20"/>
                <w:szCs w:val="20"/>
                <w:highlight w:val="none"/>
                <w:vertAlign w:val="baseline"/>
                <w:lang w:val="en-US" w:eastAsia="zh-CN" w:bidi="ar-SA"/>
              </w:rPr>
            </w:pPr>
            <w:r>
              <w:rPr>
                <w:rFonts w:hint="eastAsia" w:ascii="宋体" w:hAnsi="宋体" w:cs="宋体"/>
                <w:color w:val="auto"/>
                <w:kern w:val="2"/>
                <w:sz w:val="20"/>
                <w:szCs w:val="20"/>
                <w:highlight w:val="none"/>
                <w:vertAlign w:val="baseline"/>
                <w:lang w:val="en-US" w:eastAsia="zh-CN" w:bidi="ar-SA"/>
              </w:rPr>
              <w:t>台</w:t>
            </w:r>
          </w:p>
        </w:tc>
        <w:tc>
          <w:tcPr>
            <w:tcW w:w="529" w:type="dxa"/>
            <w:vAlign w:val="center"/>
          </w:tcPr>
          <w:p w14:paraId="4456A230">
            <w:pPr>
              <w:keepNext w:val="0"/>
              <w:keepLines w:val="0"/>
              <w:pageBreakBefore w:val="0"/>
              <w:widowControl/>
              <w:numPr>
                <w:ilvl w:val="0"/>
                <w:numId w:val="0"/>
              </w:numPr>
              <w:kinsoku/>
              <w:wordWrap/>
              <w:overflowPunct/>
              <w:topLinePunct w:val="0"/>
              <w:autoSpaceDE/>
              <w:autoSpaceDN/>
              <w:bidi w:val="0"/>
              <w:spacing w:line="288" w:lineRule="auto"/>
              <w:jc w:val="center"/>
              <w:textAlignment w:val="auto"/>
              <w:rPr>
                <w:rFonts w:hint="default" w:ascii="宋体" w:hAnsi="宋体" w:eastAsia="宋体" w:cs="宋体"/>
                <w:color w:val="auto"/>
                <w:kern w:val="2"/>
                <w:sz w:val="20"/>
                <w:szCs w:val="20"/>
                <w:highlight w:val="none"/>
                <w:vertAlign w:val="baseline"/>
                <w:lang w:val="en-US" w:eastAsia="zh-CN" w:bidi="ar-SA"/>
              </w:rPr>
            </w:pPr>
            <w:r>
              <w:rPr>
                <w:rFonts w:hint="eastAsia" w:ascii="宋体" w:hAnsi="宋体" w:cs="宋体"/>
                <w:color w:val="auto"/>
                <w:kern w:val="2"/>
                <w:sz w:val="20"/>
                <w:szCs w:val="20"/>
                <w:highlight w:val="none"/>
                <w:vertAlign w:val="baseline"/>
                <w:lang w:val="en-US" w:eastAsia="zh-CN" w:bidi="ar-SA"/>
              </w:rPr>
              <w:t>2</w:t>
            </w:r>
          </w:p>
        </w:tc>
        <w:tc>
          <w:tcPr>
            <w:tcW w:w="1070" w:type="dxa"/>
            <w:shd w:val="clear" w:color="auto" w:fill="auto"/>
            <w:vAlign w:val="center"/>
          </w:tcPr>
          <w:p w14:paraId="74167A36">
            <w:pPr>
              <w:keepNext w:val="0"/>
              <w:keepLines w:val="0"/>
              <w:widowControl/>
              <w:suppressLineNumbers w:val="0"/>
              <w:jc w:val="center"/>
              <w:textAlignment w:val="center"/>
              <w:rPr>
                <w:rFonts w:hint="default" w:ascii="黑体" w:hAnsi="宋体" w:eastAsia="黑体" w:cs="黑体"/>
                <w:b/>
                <w:bCs/>
                <w:i w:val="0"/>
                <w:iCs w:val="0"/>
                <w:color w:val="000000"/>
                <w:kern w:val="2"/>
                <w:sz w:val="22"/>
                <w:szCs w:val="22"/>
                <w:highlight w:val="none"/>
                <w:u w:val="none"/>
                <w:lang w:val="en-US" w:eastAsia="zh-CN" w:bidi="ar-SA"/>
              </w:rPr>
            </w:pPr>
            <w:r>
              <w:rPr>
                <w:rFonts w:hint="eastAsia" w:ascii="黑体" w:hAnsi="宋体" w:eastAsia="黑体" w:cs="黑体"/>
                <w:b/>
                <w:bCs/>
                <w:i w:val="0"/>
                <w:iCs w:val="0"/>
                <w:color w:val="000000"/>
                <w:kern w:val="2"/>
                <w:sz w:val="22"/>
                <w:szCs w:val="22"/>
                <w:highlight w:val="none"/>
                <w:u w:val="none"/>
                <w:lang w:val="en-US" w:eastAsia="zh-CN" w:bidi="ar-SA"/>
              </w:rPr>
              <w:t>305000</w:t>
            </w:r>
          </w:p>
        </w:tc>
        <w:tc>
          <w:tcPr>
            <w:tcW w:w="1068" w:type="dxa"/>
            <w:shd w:val="clear" w:color="auto" w:fill="auto"/>
            <w:vAlign w:val="center"/>
          </w:tcPr>
          <w:p w14:paraId="37E15E30">
            <w:pPr>
              <w:keepNext w:val="0"/>
              <w:keepLines w:val="0"/>
              <w:widowControl/>
              <w:suppressLineNumbers w:val="0"/>
              <w:jc w:val="center"/>
              <w:textAlignment w:val="center"/>
              <w:rPr>
                <w:rFonts w:hint="default" w:ascii="黑体" w:hAnsi="宋体" w:eastAsia="黑体" w:cs="黑体"/>
                <w:b w:val="0"/>
                <w:bCs w:val="0"/>
                <w:i w:val="0"/>
                <w:iCs w:val="0"/>
                <w:color w:val="000000"/>
                <w:kern w:val="2"/>
                <w:sz w:val="22"/>
                <w:szCs w:val="22"/>
                <w:highlight w:val="none"/>
                <w:u w:val="none"/>
                <w:lang w:val="en-US" w:eastAsia="zh-CN" w:bidi="ar-SA"/>
              </w:rPr>
            </w:pPr>
            <w:r>
              <w:rPr>
                <w:rFonts w:hint="eastAsia" w:ascii="黑体" w:hAnsi="宋体" w:eastAsia="黑体" w:cs="黑体"/>
                <w:b w:val="0"/>
                <w:bCs w:val="0"/>
                <w:i w:val="0"/>
                <w:iCs w:val="0"/>
                <w:color w:val="000000"/>
                <w:kern w:val="2"/>
                <w:sz w:val="22"/>
                <w:szCs w:val="22"/>
                <w:highlight w:val="none"/>
                <w:u w:val="none"/>
                <w:lang w:val="en-US" w:eastAsia="zh-CN" w:bidi="ar-SA"/>
              </w:rPr>
              <w:t>610000</w:t>
            </w:r>
          </w:p>
        </w:tc>
      </w:tr>
      <w:tr w14:paraId="485E0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529" w:type="dxa"/>
            <w:vAlign w:val="center"/>
          </w:tcPr>
          <w:p w14:paraId="7F940837">
            <w:pPr>
              <w:keepNext w:val="0"/>
              <w:keepLines w:val="0"/>
              <w:widowControl/>
              <w:suppressLineNumbers w:val="0"/>
              <w:jc w:val="center"/>
              <w:textAlignment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2</w:t>
            </w:r>
          </w:p>
        </w:tc>
        <w:tc>
          <w:tcPr>
            <w:tcW w:w="0" w:type="auto"/>
            <w:textDirection w:val="tbLrV"/>
            <w:vAlign w:val="center"/>
          </w:tcPr>
          <w:p w14:paraId="03E7986D">
            <w:pPr>
              <w:keepNext w:val="0"/>
              <w:keepLines w:val="0"/>
              <w:widowControl/>
              <w:suppressLineNumbers w:val="0"/>
              <w:ind w:left="113" w:right="113"/>
              <w:jc w:val="center"/>
              <w:textAlignment w:val="center"/>
              <w:rPr>
                <w:rFonts w:hint="eastAsia" w:ascii="宋体" w:hAnsi="宋体" w:eastAsia="宋体" w:cs="宋体"/>
                <w:color w:val="auto"/>
                <w:sz w:val="20"/>
                <w:szCs w:val="20"/>
                <w:highlight w:val="none"/>
              </w:rPr>
            </w:pPr>
            <w:r>
              <w:rPr>
                <w:rFonts w:hint="eastAsia" w:cs="仿宋" w:asciiTheme="minorEastAsia" w:hAnsiTheme="minorEastAsia"/>
                <w:color w:val="000000"/>
                <w:szCs w:val="21"/>
                <w:lang w:val="en-US" w:eastAsia="zh-CN"/>
              </w:rPr>
              <w:t>国产化服务器虚拟化软件授权</w:t>
            </w:r>
          </w:p>
        </w:tc>
        <w:tc>
          <w:tcPr>
            <w:tcW w:w="0" w:type="auto"/>
            <w:vAlign w:val="center"/>
          </w:tcPr>
          <w:p w14:paraId="2EAB0FB2">
            <w:pPr>
              <w:keepNext w:val="0"/>
              <w:keepLines w:val="0"/>
              <w:widowControl/>
              <w:suppressLineNumbers w:val="0"/>
              <w:jc w:val="center"/>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深信服、浪潮、</w:t>
            </w:r>
          </w:p>
          <w:p w14:paraId="060C8BC2">
            <w:pPr>
              <w:keepNext w:val="0"/>
              <w:keepLines w:val="0"/>
              <w:widowControl/>
              <w:suppressLineNumbers w:val="0"/>
              <w:jc w:val="both"/>
              <w:textAlignment w:val="center"/>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联想</w:t>
            </w:r>
            <w:r>
              <w:rPr>
                <w:rFonts w:hint="eastAsia" w:ascii="宋体" w:hAnsi="宋体" w:cs="宋体"/>
                <w:b w:val="0"/>
                <w:bCs w:val="0"/>
                <w:color w:val="auto"/>
                <w:sz w:val="20"/>
                <w:szCs w:val="20"/>
                <w:highlight w:val="none"/>
                <w:lang w:val="en-US" w:eastAsia="zh-CN"/>
              </w:rPr>
              <w:t>（</w:t>
            </w:r>
            <w:r>
              <w:rPr>
                <w:rFonts w:hint="eastAsia" w:ascii="宋体" w:hAnsi="宋体" w:cs="宋体"/>
                <w:b w:val="0"/>
                <w:bCs w:val="0"/>
                <w:color w:val="auto"/>
                <w:sz w:val="20"/>
                <w:szCs w:val="20"/>
                <w:highlight w:val="none"/>
                <w:lang w:eastAsia="zh-CN"/>
              </w:rPr>
              <w:t>或同档次品牌以上</w:t>
            </w:r>
            <w:r>
              <w:rPr>
                <w:rFonts w:hint="eastAsia" w:ascii="宋体" w:hAnsi="宋体" w:cs="宋体"/>
                <w:b w:val="0"/>
                <w:bCs w:val="0"/>
                <w:color w:val="auto"/>
                <w:sz w:val="20"/>
                <w:szCs w:val="20"/>
                <w:highlight w:val="none"/>
                <w:lang w:val="en-US" w:eastAsia="zh-CN"/>
              </w:rPr>
              <w:t>）</w:t>
            </w:r>
          </w:p>
        </w:tc>
        <w:tc>
          <w:tcPr>
            <w:tcW w:w="0" w:type="auto"/>
            <w:vAlign w:val="top"/>
          </w:tcPr>
          <w:p w14:paraId="51C1B656">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一、计算服务器虚拟化软件</w:t>
            </w:r>
          </w:p>
          <w:p w14:paraId="2FA6C87D">
            <w:pPr>
              <w:widowControl/>
              <w:ind w:firstLine="420" w:firstLineChars="200"/>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配置2颗物理CPU的计算服务器虚拟化软件授权，同时满足以下需求：</w:t>
            </w:r>
            <w:r>
              <w:rPr>
                <w:rFonts w:hint="eastAsia" w:cs="仿宋" w:asciiTheme="minorEastAsia" w:hAnsiTheme="minorEastAsia"/>
                <w:color w:val="000000"/>
                <w:szCs w:val="21"/>
              </w:rPr>
              <w:tab/>
            </w:r>
          </w:p>
          <w:p w14:paraId="23C6C43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虚拟化软件非OEM或贴牌产品，采用分布式管理架构，去中心化，管理平台不依赖于某一个虚拟机或物理机部署，采用分布式架构保障平台更可靠，虚拟化软件应基于KVM开发，可维护性好，部署时无需绑定安装OpenStack相关组件</w:t>
            </w:r>
            <w:r>
              <w:rPr>
                <w:rFonts w:hint="eastAsia" w:cs="仿宋" w:asciiTheme="minorEastAsia" w:hAnsiTheme="minorEastAsia"/>
                <w:color w:val="000000"/>
                <w:szCs w:val="21"/>
                <w:lang w:eastAsia="zh-CN"/>
              </w:rPr>
              <w:t>；</w:t>
            </w:r>
          </w:p>
          <w:p w14:paraId="1CA8A218">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2、在超融合管理平台界面上提供虚拟机删除、开关机、挂起与恢复、重启、关闭、关闭电源、克隆、</w:t>
            </w:r>
          </w:p>
          <w:p w14:paraId="1C5121D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3、迁移、备份、模板导出、快照、标签管理等功能，并支持批量操作</w:t>
            </w:r>
            <w:r>
              <w:rPr>
                <w:rFonts w:hint="eastAsia" w:cs="仿宋" w:asciiTheme="minorEastAsia" w:hAnsiTheme="minorEastAsia"/>
                <w:color w:val="000000"/>
                <w:szCs w:val="21"/>
                <w:lang w:eastAsia="zh-CN"/>
              </w:rPr>
              <w:t>；</w:t>
            </w:r>
          </w:p>
          <w:p w14:paraId="667A706F">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可以支持扩展同一品牌的存储虚拟化、网络功能虚拟化、虚拟应用防火墙、虚拟应用交付、SSL VPN软件、数据库审计软件等功能组件的，并支持统一管理，以保障平台的扩展性和兼容性。（需提供产品功能截图，并加盖投标人公章）</w:t>
            </w:r>
            <w:r>
              <w:rPr>
                <w:rFonts w:hint="eastAsia" w:cs="仿宋" w:asciiTheme="minorEastAsia" w:hAnsiTheme="minorEastAsia"/>
                <w:color w:val="000000"/>
                <w:szCs w:val="21"/>
                <w:lang w:eastAsia="zh-CN"/>
              </w:rPr>
              <w:t>；</w:t>
            </w:r>
          </w:p>
          <w:p w14:paraId="658AC872">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5、支持纳管第三方主流虚拟化平台，可对Vmware平台上的虚拟机进行管理，支持在本地管理平台实现对VMware vCenter中的虚拟机备份，并能够在超融合的平台实现VMware虚拟机的启动恢复</w:t>
            </w:r>
            <w:r>
              <w:rPr>
                <w:rFonts w:hint="eastAsia" w:cs="仿宋" w:asciiTheme="minorEastAsia" w:hAnsiTheme="minorEastAsia"/>
                <w:color w:val="000000"/>
                <w:szCs w:val="21"/>
                <w:lang w:eastAsia="zh-CN"/>
              </w:rPr>
              <w:t>；</w:t>
            </w:r>
          </w:p>
          <w:p w14:paraId="2AB4F610">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6、支持点击还原按钮，还原回收站列表指定项，可恢复30天内已删除的虚拟机，可以查看回收站列表项信息，包括名称、描述、存储和删除时间和保留时间</w:t>
            </w:r>
            <w:r>
              <w:rPr>
                <w:rFonts w:hint="eastAsia" w:cs="仿宋" w:asciiTheme="minorEastAsia" w:hAnsiTheme="minorEastAsia"/>
                <w:color w:val="000000"/>
                <w:szCs w:val="21"/>
                <w:lang w:eastAsia="zh-CN"/>
              </w:rPr>
              <w:t>；</w:t>
            </w:r>
          </w:p>
          <w:p w14:paraId="463FFA4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7、支持集群动态资源调度DRS，系统支持自动评估物理主机的负载情况，当物理主机负载过高时，自动将该物理主机上的虚拟机迁移到其他负载较低的主机上，确保业务持续稳定和集群主机负载均衡</w:t>
            </w:r>
            <w:r>
              <w:rPr>
                <w:rFonts w:hint="eastAsia" w:cs="仿宋" w:asciiTheme="minorEastAsia" w:hAnsiTheme="minorEastAsia"/>
                <w:color w:val="000000"/>
                <w:szCs w:val="21"/>
                <w:lang w:eastAsia="zh-CN"/>
              </w:rPr>
              <w:t>；</w:t>
            </w:r>
          </w:p>
          <w:p w14:paraId="62B6043D">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8、支持双向迁移操作，可将VMware虚拟机迁移到超融合平台上，也可将超融合平台上的虚拟机迁移到VMware vCenter的集群中，迁移结束后的虚拟机可进行手动或自动重启操作</w:t>
            </w:r>
            <w:r>
              <w:rPr>
                <w:rFonts w:hint="eastAsia" w:cs="仿宋" w:asciiTheme="minorEastAsia" w:hAnsiTheme="minorEastAsia"/>
                <w:color w:val="000000"/>
                <w:szCs w:val="21"/>
                <w:lang w:eastAsia="zh-CN"/>
              </w:rPr>
              <w:t>；</w:t>
            </w:r>
          </w:p>
          <w:p w14:paraId="22EE1263">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支持UPS QoS（UPS联动），为尽可能保障数据中心断电场景下的业务，可在市电断电时通过UPS临时供应电量，当UPS电量过低时，按照虚拟机优先级先将不重要的虚拟机进行软关机。（需提供产品功能截图，并加盖投标人公章）</w:t>
            </w:r>
            <w:r>
              <w:rPr>
                <w:rFonts w:hint="eastAsia" w:cs="仿宋" w:asciiTheme="minorEastAsia" w:hAnsiTheme="minorEastAsia"/>
                <w:color w:val="000000"/>
                <w:szCs w:val="21"/>
                <w:lang w:eastAsia="zh-CN"/>
              </w:rPr>
              <w:t>；</w:t>
            </w:r>
          </w:p>
          <w:p w14:paraId="294DBEB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10、</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为避免主机假死导致系列问题发生，支持识别假死主机并标签化为亚健康主机，通过邮件或短信告警提醒用户进行处理，并限制重要业务在亚健康主机上运行，规避风险。（需提供产品功能截图，并加盖投标人公章）</w:t>
            </w:r>
            <w:r>
              <w:rPr>
                <w:rFonts w:hint="eastAsia" w:cs="仿宋" w:asciiTheme="minorEastAsia" w:hAnsiTheme="minorEastAsia"/>
                <w:color w:val="000000"/>
                <w:szCs w:val="21"/>
                <w:lang w:eastAsia="zh-CN"/>
              </w:rPr>
              <w:t>；</w:t>
            </w:r>
          </w:p>
          <w:p w14:paraId="4A2AB2BB">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11、支持虚拟机的HA功能，当物理服务器发生故障时，该物理服务器上的所有虚拟机，可以在集群之内的其它物理服务器上重新启动，以保障业务连续性。</w:t>
            </w:r>
          </w:p>
          <w:p w14:paraId="1462A66C">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二、网络虚拟化软件</w:t>
            </w:r>
            <w:r>
              <w:rPr>
                <w:rFonts w:hint="eastAsia" w:cs="仿宋" w:asciiTheme="minorEastAsia" w:hAnsiTheme="minorEastAsia"/>
                <w:color w:val="000000"/>
                <w:szCs w:val="21"/>
              </w:rPr>
              <w:tab/>
            </w:r>
          </w:p>
          <w:p w14:paraId="3375B5F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在管理平台上可以通过拖拽虚拟设备图标和连线就能完成网络拓扑的构建，快速的实现整个业务逻辑，支持对整个平台虚拟设备实现统一的管理，提升运维管理的工作效率。（需提供产品功能截图，并加盖投标人公章）</w:t>
            </w:r>
            <w:r>
              <w:rPr>
                <w:rFonts w:hint="eastAsia" w:cs="仿宋" w:asciiTheme="minorEastAsia" w:hAnsiTheme="minorEastAsia"/>
                <w:color w:val="000000"/>
                <w:szCs w:val="21"/>
                <w:lang w:eastAsia="zh-CN"/>
              </w:rPr>
              <w:t>；</w:t>
            </w:r>
          </w:p>
          <w:p w14:paraId="5C88BEC9">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支持管理网、业务网、数据通信网（VXLAN）和存储网复用相同物理网口。推荐两个或四个网口聚合，最多支持8个网口聚合。网口复用后，支持对不同网络平面进行流量控制和VLAN隔离，为网络中的每个虚拟机提供内置的网络故障切换和负载均衡能力，实现更高的硬件可用性和容错能力</w:t>
            </w:r>
            <w:r>
              <w:rPr>
                <w:rFonts w:hint="eastAsia" w:cs="仿宋" w:asciiTheme="minorEastAsia" w:hAnsiTheme="minorEastAsia"/>
                <w:color w:val="000000"/>
                <w:szCs w:val="21"/>
                <w:lang w:eastAsia="zh-CN"/>
              </w:rPr>
              <w:t>；</w:t>
            </w:r>
          </w:p>
          <w:p w14:paraId="27B3BF6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支持创建分布式虚拟防火墙，可基于虚拟机、虚拟机组、虚拟机标签、IP、IP范围、IP组构建安全防火墙（需提供产品功能截图，并加盖投标人公章）</w:t>
            </w:r>
            <w:r>
              <w:rPr>
                <w:rFonts w:hint="eastAsia" w:cs="仿宋" w:asciiTheme="minorEastAsia" w:hAnsiTheme="minorEastAsia"/>
                <w:color w:val="000000"/>
                <w:szCs w:val="21"/>
                <w:lang w:eastAsia="zh-CN"/>
              </w:rPr>
              <w:t>；</w:t>
            </w:r>
          </w:p>
          <w:p w14:paraId="46FB1D73">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分布式防火墙中可以进行创建策略操作，可以对已创建策略进行设置，包括源、目的和状态等信息，可以查看已创建的策略列表项信息，可以点击分布式防火墙中的实时拦截日志跳转到拦截日志和直通页面，可以进行实时拦截日志操作，可以查看实时拦截日志列表信息，包括时间、源、IP地址、协议（ICMP）、数据包大小和匹配策略名称，可以通过开启数据直通临时排查数据流量问题</w:t>
            </w:r>
            <w:r>
              <w:rPr>
                <w:rFonts w:hint="eastAsia" w:cs="仿宋" w:asciiTheme="minorEastAsia" w:hAnsiTheme="minorEastAsia"/>
                <w:color w:val="000000"/>
                <w:szCs w:val="21"/>
                <w:lang w:eastAsia="zh-CN"/>
              </w:rPr>
              <w:t>；</w:t>
            </w:r>
          </w:p>
          <w:p w14:paraId="79C0B911">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5、虚拟路由器配置不限制个数，虚拟路由器支持HA功能，当虚拟路由器运行的主机出现故障时，可以实现故障自动恢复，保障业务的高可靠性</w:t>
            </w:r>
            <w:r>
              <w:rPr>
                <w:rFonts w:hint="eastAsia" w:cs="仿宋" w:asciiTheme="minorEastAsia" w:hAnsiTheme="minorEastAsia"/>
                <w:color w:val="000000"/>
                <w:szCs w:val="21"/>
                <w:lang w:eastAsia="zh-CN"/>
              </w:rPr>
              <w:t>；</w:t>
            </w:r>
          </w:p>
          <w:p w14:paraId="1546F813">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6、可以支持手动指定虚拟路由器运行在固定的物理主机上，可以自动将虚拟路由器规划到高性能和高吞吐的物理主机上</w:t>
            </w:r>
            <w:r>
              <w:rPr>
                <w:rFonts w:hint="eastAsia" w:cs="仿宋" w:asciiTheme="minorEastAsia" w:hAnsiTheme="minorEastAsia"/>
                <w:color w:val="000000"/>
                <w:szCs w:val="21"/>
                <w:lang w:eastAsia="zh-CN"/>
              </w:rPr>
              <w:t>；</w:t>
            </w:r>
          </w:p>
          <w:p w14:paraId="278AA111">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7、</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跳转连通性探测页面，可以设置探测对象信息，包括网口、对象类型、IP地址，可以点击开始探测按钮查看探测页面信息，可以在网络连通性探测页面查看网络探测是否成功（需提供产品功能截图，并加盖投标人公章）</w:t>
            </w:r>
            <w:r>
              <w:rPr>
                <w:rFonts w:hint="eastAsia" w:cs="仿宋" w:asciiTheme="minorEastAsia" w:hAnsiTheme="minorEastAsia"/>
                <w:color w:val="000000"/>
                <w:szCs w:val="21"/>
                <w:lang w:eastAsia="zh-CN"/>
              </w:rPr>
              <w:t>；</w:t>
            </w:r>
          </w:p>
          <w:p w14:paraId="3698FF1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超融合需提供网络可视化组件，可在图形化界面上观察到所有虚拟机的流量走向与访问关系，包括源IP、目的IP、访问次数、服务类型等。（需提供产品界面截图，并加盖投标人公章）</w:t>
            </w:r>
            <w:r>
              <w:rPr>
                <w:rFonts w:hint="eastAsia" w:cs="仿宋" w:asciiTheme="minorEastAsia" w:hAnsiTheme="minorEastAsia"/>
                <w:color w:val="000000"/>
                <w:szCs w:val="21"/>
                <w:lang w:eastAsia="zh-CN"/>
              </w:rPr>
              <w:t>；</w:t>
            </w:r>
          </w:p>
          <w:p w14:paraId="56C697C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9、超融合能够提供端口镜像功能，支持将超融合内部网络流量镜像到内部虚拟机、nfv、外部安全设备进行流量审计，可联动安全态势感知平台进行流量检测</w:t>
            </w:r>
            <w:r>
              <w:rPr>
                <w:rFonts w:hint="eastAsia" w:cs="仿宋" w:asciiTheme="minorEastAsia" w:hAnsiTheme="minorEastAsia"/>
                <w:color w:val="000000"/>
                <w:szCs w:val="21"/>
                <w:lang w:eastAsia="zh-CN"/>
              </w:rPr>
              <w:t>。</w:t>
            </w:r>
          </w:p>
          <w:p w14:paraId="4A0DC859">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三、虚拟存储软件</w:t>
            </w:r>
          </w:p>
          <w:p w14:paraId="7BA44F8F">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1、分布式存储能够提供超高性能，性能随着节点数增加而线性增长，三节点集群能够提供百万级IOPS和12GB/s以上的带宽能力</w:t>
            </w:r>
            <w:r>
              <w:rPr>
                <w:rFonts w:hint="eastAsia" w:cs="仿宋" w:asciiTheme="minorEastAsia" w:hAnsiTheme="minorEastAsia"/>
                <w:color w:val="000000"/>
                <w:szCs w:val="21"/>
                <w:lang w:eastAsia="zh-CN"/>
              </w:rPr>
              <w:t>；</w:t>
            </w:r>
          </w:p>
          <w:p w14:paraId="4B6AED9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2、支持标准的iSCSI协议，允许外部物理主机或应用通过标准的iSCSI接口访问虚拟存储，实现Server SAN、IP-SAN、FC-SAN、NAS 的融合。通过iSCSI透传/非透传指令使虚拟机支持存储裸设备映射（RDM），可以将存储设备上的LUN 直接映射给虚拟机使用</w:t>
            </w:r>
            <w:r>
              <w:rPr>
                <w:rFonts w:hint="eastAsia" w:cs="仿宋" w:asciiTheme="minorEastAsia" w:hAnsiTheme="minorEastAsia"/>
                <w:color w:val="000000"/>
                <w:szCs w:val="21"/>
                <w:lang w:eastAsia="zh-CN"/>
              </w:rPr>
              <w:t>；</w:t>
            </w:r>
          </w:p>
          <w:p w14:paraId="79D1DBCF">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支持以磁盘为单位创建分卷，可将集群内固态硬盘组成一个高性能全闪存存储池，满足高性能应用需求，将固态硬盘和机械硬盘组成一个大容量混合存储池，满足普通应用需求，以更低成本灵活满足不同业务对存储性能容量的不同需求，并降低故障影响范围</w:t>
            </w:r>
            <w:r>
              <w:rPr>
                <w:rFonts w:hint="eastAsia" w:cs="仿宋" w:asciiTheme="minorEastAsia" w:hAnsiTheme="minorEastAsia"/>
                <w:color w:val="000000"/>
                <w:szCs w:val="21"/>
                <w:lang w:eastAsia="zh-CN"/>
              </w:rPr>
              <w:t>；</w:t>
            </w:r>
          </w:p>
          <w:p w14:paraId="1C1C4E7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支持启动聚合副本后，将会有1个副本聚合在一台主机，虚拟机会优先在聚合主机运行，实现数据的本地读取，降低网络开销。（需提供产品界面截图，并加盖投标人公章）</w:t>
            </w:r>
            <w:r>
              <w:rPr>
                <w:rFonts w:hint="eastAsia" w:cs="仿宋" w:asciiTheme="minorEastAsia" w:hAnsiTheme="minorEastAsia"/>
                <w:color w:val="000000"/>
                <w:szCs w:val="21"/>
                <w:lang w:eastAsia="zh-CN"/>
              </w:rPr>
              <w:t>；</w:t>
            </w:r>
          </w:p>
          <w:p w14:paraId="07C8DF2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5、支持条带化功能，实现分布式raid0的性能提升效果，并且支持以虚拟磁盘为单位设置不同的条带数</w:t>
            </w:r>
            <w:r>
              <w:rPr>
                <w:rFonts w:hint="eastAsia" w:cs="仿宋" w:asciiTheme="minorEastAsia" w:hAnsiTheme="minorEastAsia"/>
                <w:color w:val="000000"/>
                <w:szCs w:val="21"/>
                <w:lang w:eastAsia="zh-CN"/>
              </w:rPr>
              <w:t>；</w:t>
            </w:r>
          </w:p>
          <w:p w14:paraId="5319682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6、支持多种硬盘状态检测监控及告警，包括“健康”状态、“亚健康”状态、“故障”状态，不同状态的硬盘在UI上呈现不同的特征或告警，方便用户能够区分处理</w:t>
            </w:r>
            <w:r>
              <w:rPr>
                <w:rFonts w:hint="eastAsia" w:cs="仿宋" w:asciiTheme="minorEastAsia" w:hAnsiTheme="minorEastAsia"/>
                <w:color w:val="000000"/>
                <w:szCs w:val="21"/>
                <w:lang w:eastAsia="zh-CN"/>
              </w:rPr>
              <w:t>；</w:t>
            </w:r>
          </w:p>
          <w:p w14:paraId="60E5D36D">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7、</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支持数据重建智能保护业务性能，可以对数据重建速度进行智能限速，避免数据重建过程中IO性能占用导致对业务的性能造成影响。（需提供产品界面截图，并加盖投标人公章）</w:t>
            </w:r>
            <w:r>
              <w:rPr>
                <w:rFonts w:hint="eastAsia" w:cs="仿宋" w:asciiTheme="minorEastAsia" w:hAnsiTheme="minorEastAsia"/>
                <w:color w:val="000000"/>
                <w:szCs w:val="21"/>
                <w:lang w:eastAsia="zh-CN"/>
              </w:rPr>
              <w:t>；</w:t>
            </w:r>
          </w:p>
          <w:p w14:paraId="45E27A3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8、为了便于部署关键业务系统，虚拟存储可支持Oracle RAC，支持共享盘，及共享块设备，支持向导式安装，降低部署复杂度</w:t>
            </w:r>
            <w:r>
              <w:rPr>
                <w:rFonts w:hint="eastAsia" w:cs="仿宋" w:asciiTheme="minorEastAsia" w:hAnsiTheme="minorEastAsia"/>
                <w:color w:val="000000"/>
                <w:szCs w:val="21"/>
                <w:lang w:eastAsia="zh-CN"/>
              </w:rPr>
              <w:t>；</w:t>
            </w:r>
          </w:p>
          <w:p w14:paraId="0D01DC88">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9、支持对虚拟机业务按照小时/天/周自定义设置定时快照策略，以便业务发生故障时可以快速回滚覆盖原虚拟机或者通过对快照进行克隆的方式生成全新虚拟机，进而恢复至业务健康状态。</w:t>
            </w:r>
          </w:p>
          <w:p w14:paraId="53DFB5A0">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四、云计算管理软件</w:t>
            </w:r>
          </w:p>
          <w:p w14:paraId="7ABD8BA1">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1、支持查看资源池整体资源使用情况（CPU、内存、磁盘总容量及使用率，物理主机、云主机、集群的总数、运行状态等）</w:t>
            </w:r>
            <w:r>
              <w:rPr>
                <w:rFonts w:hint="eastAsia" w:cs="仿宋" w:asciiTheme="minorEastAsia" w:hAnsiTheme="minorEastAsia"/>
                <w:color w:val="000000"/>
                <w:szCs w:val="21"/>
                <w:lang w:eastAsia="zh-CN"/>
              </w:rPr>
              <w:t>；</w:t>
            </w:r>
          </w:p>
          <w:p w14:paraId="023AC3C2">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2、支持查看物理主机、云主机（CPU、内存占用）资源占用排行榜Top5</w:t>
            </w:r>
            <w:r>
              <w:rPr>
                <w:rFonts w:hint="eastAsia" w:cs="仿宋" w:asciiTheme="minorEastAsia" w:hAnsiTheme="minorEastAsia"/>
                <w:color w:val="000000"/>
                <w:szCs w:val="21"/>
                <w:lang w:eastAsia="zh-CN"/>
              </w:rPr>
              <w:t>；</w:t>
            </w:r>
          </w:p>
          <w:p w14:paraId="0112ECB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支持纳管多版本超融合HCI和VMware资源池，应具备大规模资源池的纳管能力，可支持跨地域的多集群管理，多集群的物理节点纳管规模应超过1000台</w:t>
            </w:r>
            <w:r>
              <w:rPr>
                <w:rFonts w:hint="eastAsia" w:cs="仿宋" w:asciiTheme="minorEastAsia" w:hAnsiTheme="minorEastAsia"/>
                <w:color w:val="000000"/>
                <w:szCs w:val="21"/>
                <w:lang w:eastAsia="zh-CN"/>
              </w:rPr>
              <w:t>；</w:t>
            </w:r>
          </w:p>
          <w:p w14:paraId="0F66947E">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4、支持点击单个资源池后显示资源池计算资源的占用率和使用率、存储资源使用率、和监控概览</w:t>
            </w:r>
            <w:r>
              <w:rPr>
                <w:rFonts w:hint="eastAsia" w:cs="仿宋" w:asciiTheme="minorEastAsia" w:hAnsiTheme="minorEastAsia"/>
                <w:color w:val="000000"/>
                <w:szCs w:val="21"/>
                <w:lang w:eastAsia="zh-CN"/>
              </w:rPr>
              <w:t>；</w:t>
            </w:r>
          </w:p>
          <w:p w14:paraId="338D9F3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5、支持点击单个资源池后显示资源池物理主机的信息（管理口IP、规格、CPU使用率、内存使用率、资源数等）</w:t>
            </w:r>
            <w:r>
              <w:rPr>
                <w:rFonts w:hint="eastAsia" w:cs="仿宋" w:asciiTheme="minorEastAsia" w:hAnsiTheme="minorEastAsia"/>
                <w:color w:val="000000"/>
                <w:szCs w:val="21"/>
                <w:lang w:eastAsia="zh-CN"/>
              </w:rPr>
              <w:t>；</w:t>
            </w:r>
          </w:p>
          <w:p w14:paraId="7D75D34D">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6、支持点击单个资源池后显示资源池所有资源列表（物理主机、存储资源、云主机、NFV设备等）以及其对应的规格和资源使用率</w:t>
            </w:r>
            <w:r>
              <w:rPr>
                <w:rFonts w:hint="eastAsia" w:cs="仿宋" w:asciiTheme="minorEastAsia" w:hAnsiTheme="minorEastAsia"/>
                <w:color w:val="000000"/>
                <w:szCs w:val="21"/>
                <w:lang w:eastAsia="zh-CN"/>
              </w:rPr>
              <w:t>；</w:t>
            </w:r>
          </w:p>
          <w:p w14:paraId="5CEB9D3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7、支持点击单个超融合集群后显示集群中存储的名称、类型、性能标签、所属集群、总容量、使用率、IO速率、其上运行的云主机数</w:t>
            </w:r>
            <w:r>
              <w:rPr>
                <w:rFonts w:hint="eastAsia" w:cs="仿宋" w:asciiTheme="minorEastAsia" w:hAnsiTheme="minorEastAsia"/>
                <w:color w:val="000000"/>
                <w:szCs w:val="21"/>
                <w:lang w:eastAsia="zh-CN"/>
              </w:rPr>
              <w:t>；</w:t>
            </w:r>
          </w:p>
          <w:p w14:paraId="2667963E">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8、支持异构纳管，支持同时纳管ARM\X86架构的HCI集群及资源管理</w:t>
            </w:r>
            <w:r>
              <w:rPr>
                <w:rFonts w:hint="eastAsia" w:cs="仿宋" w:asciiTheme="minorEastAsia" w:hAnsiTheme="minorEastAsia"/>
                <w:color w:val="000000"/>
                <w:szCs w:val="21"/>
                <w:lang w:eastAsia="zh-CN"/>
              </w:rPr>
              <w:t>；</w:t>
            </w:r>
          </w:p>
          <w:p w14:paraId="2D81B5B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9、支持按照CPU，内存使用负载配置弹性策略，对业务云主机进行自动横向扩展和收缩。支持启用/禁用，编辑/删除弹性策略</w:t>
            </w:r>
            <w:r>
              <w:rPr>
                <w:rFonts w:hint="eastAsia" w:cs="仿宋" w:asciiTheme="minorEastAsia" w:hAnsiTheme="minorEastAsia"/>
                <w:color w:val="000000"/>
                <w:szCs w:val="21"/>
                <w:lang w:eastAsia="zh-CN"/>
              </w:rPr>
              <w:t>；</w:t>
            </w:r>
          </w:p>
          <w:p w14:paraId="6E06F41D">
            <w:pPr>
              <w:keepNext w:val="0"/>
              <w:keepLines w:val="0"/>
              <w:widowControl/>
              <w:suppressLineNumbers w:val="0"/>
              <w:jc w:val="both"/>
              <w:textAlignment w:val="center"/>
              <w:rPr>
                <w:rFonts w:hint="eastAsia" w:ascii="宋体" w:hAnsi="宋体" w:eastAsia="宋体" w:cs="宋体"/>
                <w:color w:val="auto"/>
                <w:sz w:val="20"/>
                <w:szCs w:val="20"/>
                <w:highlight w:val="none"/>
              </w:rPr>
            </w:pPr>
            <w:r>
              <w:rPr>
                <w:rFonts w:hint="eastAsia" w:cs="仿宋" w:asciiTheme="minorEastAsia" w:hAnsiTheme="minorEastAsia"/>
                <w:color w:val="000000"/>
                <w:szCs w:val="21"/>
              </w:rPr>
              <w:t>10、</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云平台支持对接Google OTP统一登录认证系统，支持对接CAS统一登录认证系统（需提供产品功能截图，并加盖投标人公章）</w:t>
            </w:r>
            <w:r>
              <w:rPr>
                <w:rFonts w:hint="eastAsia" w:cs="仿宋" w:asciiTheme="minorEastAsia" w:hAnsiTheme="minorEastAsia"/>
                <w:color w:val="000000"/>
                <w:szCs w:val="21"/>
                <w:lang w:eastAsia="zh-CN"/>
              </w:rPr>
              <w:t>。</w:t>
            </w:r>
          </w:p>
        </w:tc>
        <w:tc>
          <w:tcPr>
            <w:tcW w:w="0" w:type="auto"/>
            <w:vAlign w:val="center"/>
          </w:tcPr>
          <w:p w14:paraId="32244B80">
            <w:pPr>
              <w:keepNext w:val="0"/>
              <w:keepLines w:val="0"/>
              <w:widowControl/>
              <w:suppressLineNumbers w:val="0"/>
              <w:jc w:val="center"/>
              <w:textAlignment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套</w:t>
            </w:r>
          </w:p>
        </w:tc>
        <w:tc>
          <w:tcPr>
            <w:tcW w:w="0" w:type="auto"/>
            <w:vAlign w:val="center"/>
          </w:tcPr>
          <w:p w14:paraId="17580A81">
            <w:pPr>
              <w:keepNext w:val="0"/>
              <w:keepLines w:val="0"/>
              <w:widowControl/>
              <w:suppressLineNumbers w:val="0"/>
              <w:jc w:val="center"/>
              <w:textAlignment w:val="center"/>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2</w:t>
            </w:r>
          </w:p>
        </w:tc>
        <w:tc>
          <w:tcPr>
            <w:tcW w:w="0" w:type="auto"/>
            <w:shd w:val="clear" w:color="auto" w:fill="auto"/>
            <w:vAlign w:val="center"/>
          </w:tcPr>
          <w:p w14:paraId="3B0C6673">
            <w:pPr>
              <w:keepNext w:val="0"/>
              <w:keepLines w:val="0"/>
              <w:widowControl/>
              <w:suppressLineNumbers w:val="0"/>
              <w:jc w:val="center"/>
              <w:textAlignment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35000</w:t>
            </w:r>
          </w:p>
        </w:tc>
        <w:tc>
          <w:tcPr>
            <w:tcW w:w="0" w:type="auto"/>
            <w:shd w:val="clear" w:color="auto" w:fill="auto"/>
            <w:vAlign w:val="center"/>
          </w:tcPr>
          <w:p w14:paraId="50BF60C5">
            <w:pPr>
              <w:keepNext w:val="0"/>
              <w:keepLines w:val="0"/>
              <w:widowControl/>
              <w:suppressLineNumbers w:val="0"/>
              <w:jc w:val="center"/>
              <w:textAlignment w:val="center"/>
              <w:rPr>
                <w:rFonts w:hint="default"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70000</w:t>
            </w:r>
          </w:p>
        </w:tc>
      </w:tr>
      <w:tr w14:paraId="3734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5" w:hRule="atLeast"/>
        </w:trPr>
        <w:tc>
          <w:tcPr>
            <w:tcW w:w="529" w:type="dxa"/>
            <w:vAlign w:val="center"/>
          </w:tcPr>
          <w:p w14:paraId="34D7772B">
            <w:pPr>
              <w:keepNext w:val="0"/>
              <w:keepLines w:val="0"/>
              <w:pageBreakBefore w:val="0"/>
              <w:kinsoku/>
              <w:wordWrap/>
              <w:overflowPunct/>
              <w:topLinePunct w:val="0"/>
              <w:autoSpaceDE/>
              <w:autoSpaceDN/>
              <w:bidi w:val="0"/>
              <w:spacing w:line="288" w:lineRule="auto"/>
              <w:jc w:val="center"/>
              <w:textAlignment w:val="auto"/>
              <w:rPr>
                <w:rFonts w:hint="eastAsia" w:ascii="宋体" w:hAnsi="宋体" w:eastAsia="宋体" w:cs="宋体"/>
                <w:color w:val="auto"/>
                <w:sz w:val="20"/>
                <w:szCs w:val="20"/>
                <w:highlight w:val="none"/>
                <w:lang w:val="en-US" w:eastAsia="zh-CN"/>
              </w:rPr>
            </w:pPr>
            <w:r>
              <w:rPr>
                <w:rFonts w:hint="eastAsia" w:ascii="宋体" w:hAnsi="宋体" w:cs="宋体"/>
                <w:color w:val="auto"/>
                <w:sz w:val="20"/>
                <w:szCs w:val="20"/>
                <w:highlight w:val="none"/>
                <w:lang w:val="en-US" w:eastAsia="zh-CN"/>
              </w:rPr>
              <w:t>3</w:t>
            </w:r>
          </w:p>
        </w:tc>
        <w:tc>
          <w:tcPr>
            <w:tcW w:w="0" w:type="auto"/>
            <w:textDirection w:val="tbLrV"/>
            <w:vAlign w:val="center"/>
          </w:tcPr>
          <w:p w14:paraId="3B48BF19">
            <w:pPr>
              <w:keepNext w:val="0"/>
              <w:keepLines w:val="0"/>
              <w:pageBreakBefore w:val="0"/>
              <w:kinsoku/>
              <w:wordWrap/>
              <w:overflowPunct/>
              <w:topLinePunct w:val="0"/>
              <w:autoSpaceDE/>
              <w:autoSpaceDN/>
              <w:bidi w:val="0"/>
              <w:spacing w:line="288" w:lineRule="auto"/>
              <w:ind w:left="113" w:right="113"/>
              <w:jc w:val="center"/>
              <w:textAlignment w:val="auto"/>
              <w:rPr>
                <w:rFonts w:hint="eastAsia" w:cs="仿宋" w:asciiTheme="minorEastAsia" w:hAnsiTheme="minorEastAsia"/>
                <w:color w:val="000000"/>
                <w:szCs w:val="21"/>
                <w:lang w:val="en-US" w:eastAsia="zh-CN"/>
              </w:rPr>
            </w:pPr>
            <w:r>
              <w:rPr>
                <w:rFonts w:hint="eastAsia" w:cs="仿宋" w:asciiTheme="minorEastAsia" w:hAnsiTheme="minorEastAsia"/>
                <w:color w:val="000000"/>
                <w:szCs w:val="21"/>
                <w:lang w:val="en-US" w:eastAsia="zh-CN"/>
              </w:rPr>
              <w:t>服务器虚拟化软件授权</w:t>
            </w:r>
          </w:p>
        </w:tc>
        <w:tc>
          <w:tcPr>
            <w:tcW w:w="0" w:type="auto"/>
            <w:vAlign w:val="center"/>
          </w:tcPr>
          <w:p w14:paraId="70F7FA56">
            <w:pPr>
              <w:keepNext w:val="0"/>
              <w:keepLines w:val="0"/>
              <w:pageBreakBefore w:val="0"/>
              <w:kinsoku/>
              <w:wordWrap/>
              <w:overflowPunct/>
              <w:topLinePunct w:val="0"/>
              <w:autoSpaceDE/>
              <w:autoSpaceDN/>
              <w:bidi w:val="0"/>
              <w:spacing w:line="288" w:lineRule="auto"/>
              <w:textAlignment w:val="auto"/>
              <w:rPr>
                <w:rFonts w:hint="eastAsia" w:ascii="宋体" w:hAnsi="宋体" w:eastAsia="宋体" w:cs="宋体"/>
                <w:b w:val="0"/>
                <w:bCs w:val="0"/>
                <w:color w:val="auto"/>
                <w:kern w:val="2"/>
                <w:sz w:val="20"/>
                <w:szCs w:val="20"/>
                <w:highlight w:val="none"/>
                <w:lang w:val="en-US" w:eastAsia="zh-CN" w:bidi="ar-SA"/>
              </w:rPr>
            </w:pPr>
            <w:r>
              <w:rPr>
                <w:rFonts w:hint="eastAsia" w:ascii="宋体" w:hAnsi="宋体" w:eastAsia="宋体" w:cs="宋体"/>
                <w:b w:val="0"/>
                <w:bCs w:val="0"/>
                <w:color w:val="auto"/>
                <w:kern w:val="2"/>
                <w:sz w:val="20"/>
                <w:szCs w:val="20"/>
                <w:highlight w:val="none"/>
                <w:lang w:val="en-US" w:eastAsia="zh-CN" w:bidi="ar-SA"/>
              </w:rPr>
              <w:t>深信服、浪潮、联想（或同档次品牌以上）</w:t>
            </w:r>
          </w:p>
        </w:tc>
        <w:tc>
          <w:tcPr>
            <w:tcW w:w="0" w:type="auto"/>
            <w:vAlign w:val="top"/>
          </w:tcPr>
          <w:p w14:paraId="0D1BEE6E">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一、网络虚拟化软件</w:t>
            </w:r>
          </w:p>
          <w:p w14:paraId="2ABBEEA1">
            <w:pPr>
              <w:pStyle w:val="2"/>
              <w:ind w:firstLine="420" w:firstLineChars="200"/>
              <w:rPr>
                <w:rFonts w:hint="eastAsia"/>
              </w:rPr>
            </w:pPr>
            <w:r>
              <w:rPr>
                <w:rFonts w:hint="eastAsia" w:cs="仿宋" w:asciiTheme="minorEastAsia" w:hAnsiTheme="minorEastAsia"/>
                <w:color w:val="000000"/>
                <w:szCs w:val="21"/>
              </w:rPr>
              <w:t>配置2颗物理CPU的计算服务器虚拟化软件授权，同时满足以下需求：</w:t>
            </w:r>
          </w:p>
          <w:p w14:paraId="1284696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在管理平台上可以通过拖拽虚拟设备图标和连线就能完成网络拓扑的构建，快速的实现整个业务逻辑，支持对整个平台虚拟设备实现统一的管理，提升运维管理的工作效率。（需提供产品功能截图，并加盖投标人公章）</w:t>
            </w:r>
            <w:r>
              <w:rPr>
                <w:rFonts w:hint="eastAsia" w:cs="仿宋" w:asciiTheme="minorEastAsia" w:hAnsiTheme="minorEastAsia"/>
                <w:color w:val="000000"/>
                <w:szCs w:val="21"/>
                <w:lang w:eastAsia="zh-CN"/>
              </w:rPr>
              <w:t>；</w:t>
            </w:r>
          </w:p>
          <w:p w14:paraId="3502B496">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支持管理网、业务网、数据通信网（VXLAN）和存储网复用相同物理网口。推荐两个或四个网口聚合，最多支持8个网口聚合。网口复用后，支持对不同网络平面进行流量控制和VLAN隔离，为网络中的每个虚拟机提供内置的网络故障切换和负载均衡能力，实现更高的硬件可用性和容错能力</w:t>
            </w:r>
            <w:r>
              <w:rPr>
                <w:rFonts w:hint="eastAsia" w:cs="仿宋" w:asciiTheme="minorEastAsia" w:hAnsiTheme="minorEastAsia"/>
                <w:color w:val="000000"/>
                <w:szCs w:val="21"/>
                <w:lang w:eastAsia="zh-CN"/>
              </w:rPr>
              <w:t>；</w:t>
            </w:r>
          </w:p>
          <w:p w14:paraId="7D8DFAF4">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支持创建分布式虚拟防火墙，可基于虚拟机、虚拟机组、虚拟机标签、IP、IP范围、IP组构建安全防火墙（需提供产品功能截图，并加盖投标人公章）</w:t>
            </w:r>
            <w:r>
              <w:rPr>
                <w:rFonts w:hint="eastAsia" w:cs="仿宋" w:asciiTheme="minorEastAsia" w:hAnsiTheme="minorEastAsia"/>
                <w:color w:val="000000"/>
                <w:szCs w:val="21"/>
                <w:lang w:eastAsia="zh-CN"/>
              </w:rPr>
              <w:t>；</w:t>
            </w:r>
          </w:p>
          <w:p w14:paraId="304467F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分布式防火墙中可以进行创建策略操作，可以对已创建策略进行设置，包括源、目的和状态等信息，可以查看已创建的策略列表项信息，可以点击分布式防火墙中的实时拦截日志跳转到拦截日志和直通页面，可以进行实时拦截日志操作，可以查看实时拦截日志列表信息，包括时间、源、IP地址、协议（ICMP）、数据包大小和匹配策略名称，可以通过开启数据直通临时排查数据流量问题</w:t>
            </w:r>
            <w:r>
              <w:rPr>
                <w:rFonts w:hint="eastAsia" w:cs="仿宋" w:asciiTheme="minorEastAsia" w:hAnsiTheme="minorEastAsia"/>
                <w:color w:val="000000"/>
                <w:szCs w:val="21"/>
                <w:lang w:eastAsia="zh-CN"/>
              </w:rPr>
              <w:t>；</w:t>
            </w:r>
          </w:p>
          <w:p w14:paraId="381CBB54">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5、虚拟路由器配置不限制个数，虚拟路由器支持HA功能，当虚拟路由器运行的主机出现故障时，可以实现故障自动恢复，保障业务的高可靠性</w:t>
            </w:r>
            <w:r>
              <w:rPr>
                <w:rFonts w:hint="eastAsia" w:cs="仿宋" w:asciiTheme="minorEastAsia" w:hAnsiTheme="minorEastAsia"/>
                <w:color w:val="000000"/>
                <w:szCs w:val="21"/>
                <w:lang w:eastAsia="zh-CN"/>
              </w:rPr>
              <w:t>；</w:t>
            </w:r>
          </w:p>
          <w:p w14:paraId="41D4CDC4">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6、可以支持手动指定虚拟路由器运行在固定的物理主机上，可以自动将虚拟路由器规划到高性能和高吞吐的物理主机上</w:t>
            </w:r>
            <w:r>
              <w:rPr>
                <w:rFonts w:hint="eastAsia" w:cs="仿宋" w:asciiTheme="minorEastAsia" w:hAnsiTheme="minorEastAsia"/>
                <w:color w:val="000000"/>
                <w:szCs w:val="21"/>
                <w:lang w:eastAsia="zh-CN"/>
              </w:rPr>
              <w:t>；</w:t>
            </w:r>
          </w:p>
          <w:p w14:paraId="62DF6494">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7、</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跳转连通性探测页面，可以设置探测对象信息，包括网口、对象类型、IP地址，可以点击开始探测按钮查看探测页面信息，可以在网络连通性探测页面查看网络探测是否成功（需提供产品功能截图，并加盖投标人公章）</w:t>
            </w:r>
            <w:r>
              <w:rPr>
                <w:rFonts w:hint="eastAsia" w:cs="仿宋" w:asciiTheme="minorEastAsia" w:hAnsiTheme="minorEastAsia"/>
                <w:color w:val="000000"/>
                <w:szCs w:val="21"/>
                <w:lang w:eastAsia="zh-CN"/>
              </w:rPr>
              <w:t>；</w:t>
            </w:r>
          </w:p>
          <w:p w14:paraId="3329E4D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超融合需提供网络可视化组件，可在图形化界面上观察到所有虚拟机的流量走向与访问关系，包括源IP、目的IP、访问次数、服务类型等。（需提供产品界面截图，并加盖投标人公章）</w:t>
            </w:r>
            <w:r>
              <w:rPr>
                <w:rFonts w:hint="eastAsia" w:cs="仿宋" w:asciiTheme="minorEastAsia" w:hAnsiTheme="minorEastAsia"/>
                <w:color w:val="000000"/>
                <w:szCs w:val="21"/>
                <w:lang w:eastAsia="zh-CN"/>
              </w:rPr>
              <w:t>；</w:t>
            </w:r>
          </w:p>
          <w:p w14:paraId="3122B1D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9、超融合能够提供端口镜像功能，支持将超融合内部网络流量镜像到内部虚拟机、nfv、外部安全设备进行流量审计，可联动安全态势感知平台进行流量检测</w:t>
            </w:r>
            <w:r>
              <w:rPr>
                <w:rFonts w:hint="eastAsia" w:cs="仿宋" w:asciiTheme="minorEastAsia" w:hAnsiTheme="minorEastAsia"/>
                <w:color w:val="000000"/>
                <w:szCs w:val="21"/>
                <w:lang w:eastAsia="zh-CN"/>
              </w:rPr>
              <w:t>。</w:t>
            </w:r>
          </w:p>
          <w:p w14:paraId="3334F1DA">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二、虚拟存储软件</w:t>
            </w:r>
          </w:p>
          <w:p w14:paraId="709F8170">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1、分布式存储能够提供超高性能，性能随着节点数增加而线性增长，三节点集群能够提供百万级IOPS和12GB/s以上的带宽能力</w:t>
            </w:r>
            <w:r>
              <w:rPr>
                <w:rFonts w:hint="eastAsia" w:cs="仿宋" w:asciiTheme="minorEastAsia" w:hAnsiTheme="minorEastAsia"/>
                <w:color w:val="000000"/>
                <w:szCs w:val="21"/>
                <w:lang w:eastAsia="zh-CN"/>
              </w:rPr>
              <w:t>；</w:t>
            </w:r>
          </w:p>
          <w:p w14:paraId="5FED7E8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2、支持标准的iSCSI协议，允许外部物理主机或应用通过标准的iSCSI接口访问虚拟存储，实现Server SAN、IP-SAN、FC-SAN、NAS 的融合。通过iSCSI透传/非透传指令使虚拟机支持存储裸设备映射（RDM），可以将存储设备上的LUN 直接映射给虚拟机使用</w:t>
            </w:r>
            <w:r>
              <w:rPr>
                <w:rFonts w:hint="eastAsia" w:cs="仿宋" w:asciiTheme="minorEastAsia" w:hAnsiTheme="minorEastAsia"/>
                <w:color w:val="000000"/>
                <w:szCs w:val="21"/>
                <w:lang w:eastAsia="zh-CN"/>
              </w:rPr>
              <w:t>；</w:t>
            </w:r>
          </w:p>
          <w:p w14:paraId="42359EF6">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支持以磁盘为单位创建分卷，可将集群内固态硬盘组成一个高性能全闪存存储池，满足高性能应用需求，将固态硬盘和机械硬盘组成一个大容量混合存储池，满足普通应用需求，以更低成本灵活满足不同业务对存储性能容量的不同需求，并降低故障影响范围</w:t>
            </w:r>
            <w:r>
              <w:rPr>
                <w:rFonts w:hint="eastAsia" w:cs="仿宋" w:asciiTheme="minorEastAsia" w:hAnsiTheme="minorEastAsia"/>
                <w:color w:val="000000"/>
                <w:szCs w:val="21"/>
                <w:lang w:eastAsia="zh-CN"/>
              </w:rPr>
              <w:t>；</w:t>
            </w:r>
          </w:p>
          <w:p w14:paraId="1DB807C9">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支持启动聚合副本后，将会有1个副本聚合在一台主机，虚拟机会优先在聚合主机运行，实现数据的本地读取，降低网络开销。（需提供产品界面截图，并加盖投标人公章）</w:t>
            </w:r>
            <w:r>
              <w:rPr>
                <w:rFonts w:hint="eastAsia" w:cs="仿宋" w:asciiTheme="minorEastAsia" w:hAnsiTheme="minorEastAsia"/>
                <w:color w:val="000000"/>
                <w:szCs w:val="21"/>
                <w:lang w:eastAsia="zh-CN"/>
              </w:rPr>
              <w:t>；</w:t>
            </w:r>
          </w:p>
          <w:p w14:paraId="3C2202BA">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5、支持条带化功能，实现分布式raid0的性能提升效果，并且支持以虚拟磁盘为单位设置不同的条带数</w:t>
            </w:r>
            <w:r>
              <w:rPr>
                <w:rFonts w:hint="eastAsia" w:cs="仿宋" w:asciiTheme="minorEastAsia" w:hAnsiTheme="minorEastAsia"/>
                <w:color w:val="000000"/>
                <w:szCs w:val="21"/>
                <w:lang w:eastAsia="zh-CN"/>
              </w:rPr>
              <w:t>；</w:t>
            </w:r>
          </w:p>
          <w:p w14:paraId="4E35568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数据重建优先级调整，可以查看数据重建任务列表信息，包括对象名称、对象类型、数据量和优先级等信息，可以点击操作中的优先级对数据重建进行优先重建，保证重要的业务优先恢复数据的安全性（需提供产品界面截图，并加盖投标人公章）</w:t>
            </w:r>
            <w:r>
              <w:rPr>
                <w:rFonts w:hint="eastAsia" w:cs="仿宋" w:asciiTheme="minorEastAsia" w:hAnsiTheme="minorEastAsia"/>
                <w:color w:val="000000"/>
                <w:szCs w:val="21"/>
                <w:lang w:eastAsia="zh-CN"/>
              </w:rPr>
              <w:t>；</w:t>
            </w:r>
          </w:p>
          <w:p w14:paraId="016AEE68">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7、为保证集群业务或者oracle rac数据库业务的快照一致性，以便故障时业务可通过快照恢复，支持对虚拟机配置一致性组，对整个一致性组进行快照</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 </w:t>
            </w:r>
          </w:p>
          <w:p w14:paraId="72C89742">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8、支持对虚拟机或虚拟磁盘设置不同的分层QoS能力，区分出高性能虚拟机、普通性能虚拟机和低性能虚拟机</w:t>
            </w:r>
            <w:r>
              <w:rPr>
                <w:rFonts w:hint="eastAsia" w:cs="仿宋" w:asciiTheme="minorEastAsia" w:hAnsiTheme="minorEastAsia"/>
                <w:color w:val="000000"/>
                <w:szCs w:val="21"/>
                <w:lang w:eastAsia="zh-CN"/>
              </w:rPr>
              <w:t>；</w:t>
            </w:r>
          </w:p>
          <w:p w14:paraId="5630173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9、为了更好地进行运维，支持智能坏道预测，准确识别出接下来会出现坏道的硬盘，实现故障前预测并处理，规避故障风险</w:t>
            </w:r>
            <w:r>
              <w:rPr>
                <w:rFonts w:hint="eastAsia" w:cs="仿宋" w:asciiTheme="minorEastAsia" w:hAnsiTheme="minorEastAsia"/>
                <w:color w:val="000000"/>
                <w:szCs w:val="21"/>
                <w:lang w:eastAsia="zh-CN"/>
              </w:rPr>
              <w:t>；</w:t>
            </w:r>
          </w:p>
          <w:p w14:paraId="2BEE1301">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10、</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支持硬盘寿命预测功能，可预估硬盘剩余可使用时间，进行实时预警，提醒用户在寿命到期之前可实现在对业务无影响的情况下安全更换硬盘（需提供产品功能截图，并加盖投标人公章）</w:t>
            </w:r>
            <w:r>
              <w:rPr>
                <w:rFonts w:hint="eastAsia" w:cs="仿宋" w:asciiTheme="minorEastAsia" w:hAnsiTheme="minorEastAsia"/>
                <w:color w:val="000000"/>
                <w:szCs w:val="21"/>
                <w:lang w:eastAsia="zh-CN"/>
              </w:rPr>
              <w:t>。</w:t>
            </w:r>
          </w:p>
          <w:p w14:paraId="551D228A">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三、计算服务器虚拟化软件</w:t>
            </w:r>
            <w:r>
              <w:rPr>
                <w:rFonts w:hint="eastAsia" w:cs="仿宋" w:asciiTheme="minorEastAsia" w:hAnsiTheme="minorEastAsia"/>
                <w:color w:val="000000"/>
                <w:szCs w:val="21"/>
              </w:rPr>
              <w:tab/>
            </w:r>
          </w:p>
          <w:p w14:paraId="1D196CCD">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1、</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虚拟化软件非OEM或贴牌产品，采用分布式管理架构，去中心化，管理平台不依赖于某一个虚拟机或物理机部署，采用分布式架构保障平台更可靠，虚拟化软件应基于KVM开发，可维护性好，部署时无需绑定安装OpenStack相关组件</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 xml:space="preserve"> </w:t>
            </w:r>
          </w:p>
          <w:p w14:paraId="368C2818">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2、在超融合管理平台界面上提供虚拟机删除、开关机、挂起与恢复、重启、关闭、关闭电源、克隆、迁移、备份、模板导出、快照、标签管理等功能，并支持批量操作</w:t>
            </w:r>
            <w:r>
              <w:rPr>
                <w:rFonts w:hint="eastAsia" w:cs="仿宋" w:asciiTheme="minorEastAsia" w:hAnsiTheme="minorEastAsia"/>
                <w:color w:val="000000"/>
                <w:szCs w:val="21"/>
                <w:lang w:eastAsia="zh-CN"/>
              </w:rPr>
              <w:t>；</w:t>
            </w:r>
          </w:p>
          <w:p w14:paraId="7F27B503">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val="en-US" w:eastAsia="zh-CN"/>
              </w:rPr>
              <w:t>3</w:t>
            </w:r>
            <w:r>
              <w:rPr>
                <w:rFonts w:hint="eastAsia" w:cs="仿宋" w:asciiTheme="minorEastAsia" w:hAnsiTheme="minorEastAsia"/>
                <w:color w:val="000000"/>
                <w:szCs w:val="21"/>
              </w:rPr>
              <w:t>、</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可以支持扩展同一品牌的存储虚拟化、网络功能虚拟化、虚拟应用防火墙、虚拟应用交付、SSL VPN软件、数据库审计软件等功能组件的，并支持统一管理，以保障平台的扩展性和兼容性。（需提供产品功能截图，并加盖投标人公章）</w:t>
            </w:r>
            <w:r>
              <w:rPr>
                <w:rFonts w:hint="eastAsia" w:cs="仿宋" w:asciiTheme="minorEastAsia" w:hAnsiTheme="minorEastAsia"/>
                <w:color w:val="000000"/>
                <w:szCs w:val="21"/>
                <w:lang w:eastAsia="zh-CN"/>
              </w:rPr>
              <w:t>；</w:t>
            </w:r>
          </w:p>
          <w:p w14:paraId="6DAC59F8">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val="en-US" w:eastAsia="zh-CN"/>
              </w:rPr>
              <w:t>4</w:t>
            </w:r>
            <w:r>
              <w:rPr>
                <w:rFonts w:hint="eastAsia" w:cs="仿宋" w:asciiTheme="minorEastAsia" w:hAnsiTheme="minorEastAsia"/>
                <w:color w:val="000000"/>
                <w:szCs w:val="21"/>
              </w:rPr>
              <w:t>、支持点击还原按钮，还原回收站列表指定项，可恢复30天内已删除的虚拟机，可以查看回收站列表项信息，包括名称、描述、存储和删除时间和保留时间</w:t>
            </w:r>
            <w:r>
              <w:rPr>
                <w:rFonts w:hint="eastAsia" w:cs="仿宋" w:asciiTheme="minorEastAsia" w:hAnsiTheme="minorEastAsia"/>
                <w:color w:val="000000"/>
                <w:szCs w:val="21"/>
                <w:lang w:eastAsia="zh-CN"/>
              </w:rPr>
              <w:t>；</w:t>
            </w:r>
          </w:p>
          <w:p w14:paraId="458CEFA3">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val="en-US" w:eastAsia="zh-CN"/>
              </w:rPr>
              <w:t>5</w:t>
            </w:r>
            <w:r>
              <w:rPr>
                <w:rFonts w:hint="eastAsia" w:cs="仿宋" w:asciiTheme="minorEastAsia" w:hAnsiTheme="minorEastAsia"/>
                <w:color w:val="000000"/>
                <w:szCs w:val="21"/>
              </w:rPr>
              <w:t>、支持集群动态资源调度DRS，系统支持自动评估物理主机的负载情况，当物理主机负载过高时，自动将该物理主机上的虚拟机迁移到其他负载较低的主机上，确保业务持续稳定和集群主机负载均衡</w:t>
            </w:r>
            <w:r>
              <w:rPr>
                <w:rFonts w:hint="eastAsia" w:cs="仿宋" w:asciiTheme="minorEastAsia" w:hAnsiTheme="minorEastAsia"/>
                <w:color w:val="000000"/>
                <w:szCs w:val="21"/>
                <w:lang w:eastAsia="zh-CN"/>
              </w:rPr>
              <w:t>；</w:t>
            </w:r>
          </w:p>
          <w:p w14:paraId="2D586E64">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val="en-US" w:eastAsia="zh-CN"/>
              </w:rPr>
              <w:t>6</w:t>
            </w:r>
            <w:r>
              <w:rPr>
                <w:rFonts w:hint="eastAsia" w:cs="仿宋" w:asciiTheme="minorEastAsia" w:hAnsiTheme="minorEastAsia"/>
                <w:color w:val="000000"/>
                <w:szCs w:val="21"/>
              </w:rPr>
              <w:t>、支持无代理跨物理主机的虚拟机USB映射，需要使用USB KEY时，无需在虚拟机上安装客户端插件，且虚拟机迁移到其它物理主机后，仍能正常使用迁移前所在物理主机上的USB资源</w:t>
            </w:r>
            <w:r>
              <w:rPr>
                <w:rFonts w:hint="eastAsia" w:cs="仿宋" w:asciiTheme="minorEastAsia" w:hAnsiTheme="minorEastAsia"/>
                <w:color w:val="000000"/>
                <w:szCs w:val="21"/>
                <w:lang w:eastAsia="zh-CN"/>
              </w:rPr>
              <w:t>；</w:t>
            </w:r>
          </w:p>
          <w:p w14:paraId="3A06EB0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lang w:val="en-US" w:eastAsia="zh-CN"/>
              </w:rPr>
              <w:t>7</w:t>
            </w:r>
            <w:r>
              <w:rPr>
                <w:rFonts w:hint="eastAsia" w:cs="仿宋" w:asciiTheme="minorEastAsia" w:hAnsiTheme="minorEastAsia"/>
                <w:color w:val="000000"/>
                <w:szCs w:val="21"/>
              </w:rPr>
              <w:t>、为了更好的保护用户数据，虚拟化软件自带无代理备份功能，无需安装备份软件，支持设置定期全量备份、增量备份、差异备份，支持用户灵活配置备份策略，备份文件保留时间最高可以达到15年，支持将虚拟机的备份文件定期归档到第二存储</w:t>
            </w:r>
            <w:r>
              <w:rPr>
                <w:rFonts w:hint="eastAsia" w:cs="仿宋" w:asciiTheme="minorEastAsia" w:hAnsiTheme="minorEastAsia"/>
                <w:color w:val="000000"/>
                <w:szCs w:val="21"/>
                <w:lang w:eastAsia="zh-CN"/>
              </w:rPr>
              <w:t>；</w:t>
            </w:r>
          </w:p>
          <w:p w14:paraId="05EBC47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9、支持设置告警类型（紧急和普通）、告警内容（集群、主机、虚拟机、CPU、内存、磁盘），针对告警信息平台可自动给出告警处理建议，同时支持将告警信息以短信和邮件方式发送给管理员</w:t>
            </w:r>
            <w:r>
              <w:rPr>
                <w:rFonts w:hint="eastAsia" w:cs="仿宋" w:asciiTheme="minorEastAsia" w:hAnsiTheme="minorEastAsia"/>
                <w:color w:val="000000"/>
                <w:szCs w:val="21"/>
                <w:lang w:eastAsia="zh-CN"/>
              </w:rPr>
              <w:t>；</w:t>
            </w:r>
          </w:p>
          <w:p w14:paraId="017C021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10、</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提供基于PowerShell的CLI命令行功能，通过PowerShell脚本可简化用户运维操作。（提供产品功能截图或命令行说明手册，并加盖投标人公章）</w:t>
            </w:r>
            <w:r>
              <w:rPr>
                <w:rFonts w:hint="eastAsia" w:cs="仿宋" w:asciiTheme="minorEastAsia" w:hAnsiTheme="minorEastAsia"/>
                <w:color w:val="000000"/>
                <w:szCs w:val="21"/>
                <w:lang w:eastAsia="zh-CN"/>
              </w:rPr>
              <w:t>。</w:t>
            </w:r>
          </w:p>
          <w:p w14:paraId="222A7017">
            <w:pPr>
              <w:widowControl/>
              <w:jc w:val="left"/>
              <w:textAlignment w:val="center"/>
              <w:rPr>
                <w:rFonts w:hint="eastAsia" w:cs="仿宋" w:asciiTheme="minorEastAsia" w:hAnsiTheme="minorEastAsia"/>
                <w:color w:val="000000"/>
                <w:szCs w:val="21"/>
              </w:rPr>
            </w:pPr>
            <w:r>
              <w:rPr>
                <w:rFonts w:hint="eastAsia" w:cs="仿宋" w:asciiTheme="minorEastAsia" w:hAnsiTheme="minorEastAsia"/>
                <w:color w:val="000000"/>
                <w:szCs w:val="21"/>
              </w:rPr>
              <w:t>四、云计算管理软件</w:t>
            </w:r>
          </w:p>
          <w:p w14:paraId="49661CEF">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1、支持查看资源池整体资源使用情况（CPU、内存、磁盘总容量及使用率，物理主机、云主机、集群的总数、运行状态等）</w:t>
            </w:r>
            <w:r>
              <w:rPr>
                <w:rFonts w:hint="eastAsia" w:cs="仿宋" w:asciiTheme="minorEastAsia" w:hAnsiTheme="minorEastAsia"/>
                <w:color w:val="000000"/>
                <w:szCs w:val="21"/>
                <w:lang w:eastAsia="zh-CN"/>
              </w:rPr>
              <w:t>；</w:t>
            </w:r>
          </w:p>
          <w:p w14:paraId="4824BF7D">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2、支持查看物理主机、云主机（CPU、内存占用）资源占用排行榜Top5</w:t>
            </w:r>
            <w:r>
              <w:rPr>
                <w:rFonts w:hint="eastAsia" w:cs="仿宋" w:asciiTheme="minorEastAsia" w:hAnsiTheme="minorEastAsia"/>
                <w:color w:val="000000"/>
                <w:szCs w:val="21"/>
                <w:lang w:eastAsia="zh-CN"/>
              </w:rPr>
              <w:t>；</w:t>
            </w:r>
          </w:p>
          <w:p w14:paraId="5C8FCCC9">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3、</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云平台支持对接Google OTP统一登录认证系统，支持对接CAS统一登录认证系统（需提供产品功能截图，并加盖投标人公章）</w:t>
            </w:r>
            <w:r>
              <w:rPr>
                <w:rFonts w:hint="eastAsia" w:cs="仿宋" w:asciiTheme="minorEastAsia" w:hAnsiTheme="minorEastAsia"/>
                <w:color w:val="000000"/>
                <w:szCs w:val="21"/>
                <w:lang w:eastAsia="zh-CN"/>
              </w:rPr>
              <w:t>；</w:t>
            </w:r>
          </w:p>
          <w:p w14:paraId="7B6AD5F3">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4、支持点击单个资源池后显示资源池计算资源的占用率和使用率、存储资源使用率、和监控概览</w:t>
            </w:r>
            <w:r>
              <w:rPr>
                <w:rFonts w:hint="eastAsia" w:cs="仿宋" w:asciiTheme="minorEastAsia" w:hAnsiTheme="minorEastAsia"/>
                <w:color w:val="000000"/>
                <w:szCs w:val="21"/>
                <w:lang w:eastAsia="zh-CN"/>
              </w:rPr>
              <w:t>；</w:t>
            </w:r>
          </w:p>
          <w:p w14:paraId="6699DFAB">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5、支持管理平台网络拓扑（云主机、网络设备、NFV设备的添加、删除、配置等），支持拖拽操作、所画即所得</w:t>
            </w:r>
            <w:r>
              <w:rPr>
                <w:rFonts w:hint="eastAsia" w:cs="仿宋" w:asciiTheme="minorEastAsia" w:hAnsiTheme="minorEastAsia"/>
                <w:color w:val="000000"/>
                <w:szCs w:val="21"/>
                <w:lang w:eastAsia="zh-CN"/>
              </w:rPr>
              <w:t>；</w:t>
            </w:r>
          </w:p>
          <w:p w14:paraId="327635D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6、支持将不同资源池组成连通域，添加资源池，移除资源池和删除连通域操作，最多可支持纳管1024台物理节点</w:t>
            </w:r>
            <w:r>
              <w:rPr>
                <w:rFonts w:hint="eastAsia" w:cs="仿宋" w:asciiTheme="minorEastAsia" w:hAnsiTheme="minorEastAsia"/>
                <w:color w:val="000000"/>
                <w:szCs w:val="21"/>
                <w:lang w:eastAsia="zh-CN"/>
              </w:rPr>
              <w:t>；</w:t>
            </w:r>
          </w:p>
          <w:p w14:paraId="1C341C8C">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7、支持创建分布式防火墙，除默认防火墙策略外可以设置管理IP组、设置自定义防火墙策略，查看拦截日志，移动、删除来调整对应策略优先级</w:t>
            </w:r>
            <w:r>
              <w:rPr>
                <w:rFonts w:hint="eastAsia" w:cs="仿宋" w:asciiTheme="minorEastAsia" w:hAnsiTheme="minorEastAsia"/>
                <w:color w:val="000000"/>
                <w:szCs w:val="21"/>
                <w:lang w:eastAsia="zh-CN"/>
              </w:rPr>
              <w:t>；</w:t>
            </w:r>
          </w:p>
          <w:p w14:paraId="74D307F5">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8、支持设置备份并发数、备份速率、恢复并发数和恢复速率、归档并发数、存储合并并发数和速率</w:t>
            </w:r>
            <w:r>
              <w:rPr>
                <w:rFonts w:hint="eastAsia" w:cs="仿宋" w:asciiTheme="minorEastAsia" w:hAnsiTheme="minorEastAsia"/>
                <w:color w:val="000000"/>
                <w:szCs w:val="21"/>
                <w:lang w:eastAsia="zh-CN"/>
              </w:rPr>
              <w:t>；</w:t>
            </w:r>
          </w:p>
          <w:p w14:paraId="260F78A6">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9、支持指定弹性业务组，包括指定弹性横向扩展的最大值，最小值，伸缩策略冷却时间</w:t>
            </w:r>
            <w:r>
              <w:rPr>
                <w:rFonts w:hint="eastAsia" w:cs="仿宋" w:asciiTheme="minorEastAsia" w:hAnsiTheme="minorEastAsia"/>
                <w:color w:val="000000"/>
                <w:szCs w:val="21"/>
                <w:lang w:eastAsia="zh-CN"/>
              </w:rPr>
              <w:t>；</w:t>
            </w:r>
          </w:p>
          <w:p w14:paraId="00305A6D">
            <w:pPr>
              <w:widowControl/>
              <w:jc w:val="left"/>
              <w:textAlignment w:val="center"/>
              <w:rPr>
                <w:rFonts w:hint="eastAsia" w:cs="仿宋" w:asciiTheme="minorEastAsia" w:hAnsiTheme="minorEastAsia" w:eastAsiaTheme="minorEastAsia"/>
                <w:color w:val="000000"/>
                <w:szCs w:val="21"/>
                <w:lang w:eastAsia="zh-CN"/>
              </w:rPr>
            </w:pPr>
            <w:r>
              <w:rPr>
                <w:rFonts w:hint="eastAsia" w:cs="仿宋" w:asciiTheme="minorEastAsia" w:hAnsiTheme="minorEastAsia"/>
                <w:color w:val="000000"/>
                <w:szCs w:val="21"/>
              </w:rPr>
              <w:t>10、支持监控云主机的资源使用趋势（CPU、内存、磁盘、IO次数、IO速率、流速、包速率）</w:t>
            </w:r>
            <w:r>
              <w:rPr>
                <w:rFonts w:hint="eastAsia" w:cs="仿宋" w:asciiTheme="minorEastAsia" w:hAnsiTheme="minorEastAsia"/>
                <w:color w:val="000000"/>
                <w:szCs w:val="21"/>
                <w:lang w:eastAsia="zh-CN"/>
              </w:rPr>
              <w:t>；</w:t>
            </w:r>
          </w:p>
          <w:p w14:paraId="7FE23BBB">
            <w:pPr>
              <w:keepNext w:val="0"/>
              <w:keepLines w:val="0"/>
              <w:pageBreakBefore w:val="0"/>
              <w:widowControl w:val="0"/>
              <w:numPr>
                <w:ilvl w:val="0"/>
                <w:numId w:val="0"/>
              </w:numPr>
              <w:kinsoku/>
              <w:wordWrap/>
              <w:overflowPunct/>
              <w:topLinePunct w:val="0"/>
              <w:autoSpaceDN/>
              <w:bidi w:val="0"/>
              <w:adjustRightInd/>
              <w:spacing w:line="460" w:lineRule="exact"/>
              <w:jc w:val="left"/>
              <w:textAlignment w:val="auto"/>
              <w:rPr>
                <w:rFonts w:hint="eastAsia" w:cs="仿宋" w:asciiTheme="minorEastAsia" w:hAnsiTheme="minorEastAsia"/>
                <w:color w:val="000000"/>
                <w:szCs w:val="21"/>
              </w:rPr>
            </w:pPr>
            <w:r>
              <w:rPr>
                <w:rFonts w:hint="eastAsia" w:cs="仿宋" w:asciiTheme="minorEastAsia" w:hAnsiTheme="minorEastAsia"/>
                <w:color w:val="000000"/>
                <w:szCs w:val="21"/>
              </w:rPr>
              <w:t>11、</w:t>
            </w:r>
            <w:r>
              <w:rPr>
                <w:rFonts w:hint="eastAsia" w:cs="仿宋" w:asciiTheme="minorEastAsia" w:hAnsiTheme="minorEastAsia"/>
                <w:color w:val="000000"/>
                <w:szCs w:val="21"/>
                <w:lang w:eastAsia="zh-CN"/>
              </w:rPr>
              <w:t>▲</w:t>
            </w:r>
            <w:r>
              <w:rPr>
                <w:rFonts w:hint="eastAsia" w:cs="仿宋" w:asciiTheme="minorEastAsia" w:hAnsiTheme="minorEastAsia"/>
                <w:color w:val="000000"/>
                <w:szCs w:val="21"/>
              </w:rPr>
              <w:t>支持纳管多版本超融合HCI和VMware资源池，应具备大规模资源池的纳管能力，可支持跨地域的多集群管理，多集群的物理节点纳管规模应超过1000台</w:t>
            </w:r>
            <w:r>
              <w:rPr>
                <w:rFonts w:hint="eastAsia" w:cs="仿宋" w:asciiTheme="minorEastAsia" w:hAnsiTheme="minorEastAsia"/>
                <w:color w:val="000000"/>
                <w:szCs w:val="21"/>
                <w:lang w:eastAsia="zh-CN"/>
              </w:rPr>
              <w:t>。</w:t>
            </w:r>
          </w:p>
        </w:tc>
        <w:tc>
          <w:tcPr>
            <w:tcW w:w="0" w:type="auto"/>
            <w:vAlign w:val="center"/>
          </w:tcPr>
          <w:p w14:paraId="345C0A02">
            <w:pPr>
              <w:keepNext w:val="0"/>
              <w:keepLines w:val="0"/>
              <w:pageBreakBefore w:val="0"/>
              <w:widowControl/>
              <w:numPr>
                <w:ilvl w:val="0"/>
                <w:numId w:val="0"/>
              </w:numPr>
              <w:kinsoku/>
              <w:wordWrap/>
              <w:overflowPunct/>
              <w:topLinePunct w:val="0"/>
              <w:autoSpaceDE/>
              <w:autoSpaceDN/>
              <w:bidi w:val="0"/>
              <w:spacing w:line="288" w:lineRule="auto"/>
              <w:jc w:val="center"/>
              <w:textAlignment w:val="auto"/>
              <w:rPr>
                <w:rFonts w:hint="default" w:ascii="宋体" w:hAnsi="宋体" w:cs="宋体"/>
                <w:color w:val="auto"/>
                <w:kern w:val="2"/>
                <w:sz w:val="20"/>
                <w:szCs w:val="20"/>
                <w:highlight w:val="none"/>
                <w:vertAlign w:val="baseline"/>
                <w:lang w:val="en-US" w:eastAsia="zh-CN" w:bidi="ar-SA"/>
              </w:rPr>
            </w:pPr>
            <w:r>
              <w:rPr>
                <w:rFonts w:hint="eastAsia" w:ascii="宋体" w:hAnsi="宋体" w:cs="宋体"/>
                <w:color w:val="auto"/>
                <w:kern w:val="2"/>
                <w:sz w:val="20"/>
                <w:szCs w:val="20"/>
                <w:highlight w:val="none"/>
                <w:vertAlign w:val="baseline"/>
                <w:lang w:val="en-US" w:eastAsia="zh-CN" w:bidi="ar-SA"/>
              </w:rPr>
              <w:t>套</w:t>
            </w:r>
          </w:p>
        </w:tc>
        <w:tc>
          <w:tcPr>
            <w:tcW w:w="0" w:type="auto"/>
            <w:vAlign w:val="center"/>
          </w:tcPr>
          <w:p w14:paraId="50CFE000">
            <w:pPr>
              <w:keepNext w:val="0"/>
              <w:keepLines w:val="0"/>
              <w:pageBreakBefore w:val="0"/>
              <w:widowControl/>
              <w:numPr>
                <w:ilvl w:val="0"/>
                <w:numId w:val="0"/>
              </w:numPr>
              <w:kinsoku/>
              <w:wordWrap/>
              <w:overflowPunct/>
              <w:topLinePunct w:val="0"/>
              <w:autoSpaceDE/>
              <w:autoSpaceDN/>
              <w:bidi w:val="0"/>
              <w:spacing w:line="288" w:lineRule="auto"/>
              <w:jc w:val="center"/>
              <w:textAlignment w:val="auto"/>
              <w:rPr>
                <w:rFonts w:hint="default" w:ascii="宋体" w:hAnsi="宋体" w:cs="宋体"/>
                <w:color w:val="auto"/>
                <w:kern w:val="2"/>
                <w:sz w:val="20"/>
                <w:szCs w:val="20"/>
                <w:highlight w:val="none"/>
                <w:vertAlign w:val="baseline"/>
                <w:lang w:val="en-US" w:eastAsia="zh-CN" w:bidi="ar-SA"/>
              </w:rPr>
            </w:pPr>
            <w:r>
              <w:rPr>
                <w:rFonts w:hint="eastAsia" w:ascii="宋体" w:hAnsi="宋体" w:cs="宋体"/>
                <w:color w:val="auto"/>
                <w:kern w:val="2"/>
                <w:sz w:val="20"/>
                <w:szCs w:val="20"/>
                <w:highlight w:val="none"/>
                <w:vertAlign w:val="baseline"/>
                <w:lang w:val="en-US" w:eastAsia="zh-CN" w:bidi="ar-SA"/>
              </w:rPr>
              <w:t>3</w:t>
            </w:r>
          </w:p>
        </w:tc>
        <w:tc>
          <w:tcPr>
            <w:tcW w:w="0" w:type="auto"/>
            <w:shd w:val="clear" w:color="auto" w:fill="auto"/>
            <w:vAlign w:val="center"/>
          </w:tcPr>
          <w:p w14:paraId="332F6030">
            <w:pPr>
              <w:keepNext w:val="0"/>
              <w:keepLines w:val="0"/>
              <w:widowControl/>
              <w:suppressLineNumbers w:val="0"/>
              <w:jc w:val="center"/>
              <w:textAlignment w:val="center"/>
              <w:rPr>
                <w:rFonts w:hint="default" w:ascii="黑体" w:hAnsi="宋体" w:eastAsia="黑体" w:cs="黑体"/>
                <w:b/>
                <w:bCs/>
                <w:i w:val="0"/>
                <w:iCs w:val="0"/>
                <w:color w:val="000000"/>
                <w:kern w:val="2"/>
                <w:sz w:val="22"/>
                <w:szCs w:val="22"/>
                <w:highlight w:val="none"/>
                <w:u w:val="none"/>
                <w:lang w:val="en-US" w:eastAsia="zh-CN" w:bidi="ar-SA"/>
              </w:rPr>
            </w:pPr>
            <w:r>
              <w:rPr>
                <w:rFonts w:hint="eastAsia" w:ascii="黑体" w:hAnsi="宋体" w:eastAsia="黑体" w:cs="黑体"/>
                <w:b/>
                <w:bCs/>
                <w:i w:val="0"/>
                <w:iCs w:val="0"/>
                <w:color w:val="000000"/>
                <w:kern w:val="2"/>
                <w:sz w:val="22"/>
                <w:szCs w:val="22"/>
                <w:highlight w:val="none"/>
                <w:u w:val="none"/>
                <w:lang w:val="en-US" w:eastAsia="zh-CN" w:bidi="ar-SA"/>
              </w:rPr>
              <w:t>35000</w:t>
            </w:r>
          </w:p>
        </w:tc>
        <w:tc>
          <w:tcPr>
            <w:tcW w:w="0" w:type="auto"/>
            <w:shd w:val="clear" w:color="auto" w:fill="auto"/>
            <w:vAlign w:val="center"/>
          </w:tcPr>
          <w:p w14:paraId="6911DCE7">
            <w:pPr>
              <w:keepNext w:val="0"/>
              <w:keepLines w:val="0"/>
              <w:widowControl/>
              <w:suppressLineNumbers w:val="0"/>
              <w:jc w:val="center"/>
              <w:textAlignment w:val="center"/>
              <w:rPr>
                <w:rFonts w:hint="default" w:ascii="黑体" w:hAnsi="宋体" w:eastAsia="黑体" w:cs="黑体"/>
                <w:b w:val="0"/>
                <w:bCs w:val="0"/>
                <w:i w:val="0"/>
                <w:iCs w:val="0"/>
                <w:color w:val="000000"/>
                <w:kern w:val="2"/>
                <w:sz w:val="22"/>
                <w:szCs w:val="22"/>
                <w:highlight w:val="none"/>
                <w:u w:val="none"/>
                <w:lang w:val="en-US" w:eastAsia="zh-CN" w:bidi="ar-SA"/>
              </w:rPr>
            </w:pPr>
            <w:r>
              <w:rPr>
                <w:rFonts w:hint="eastAsia" w:ascii="黑体" w:hAnsi="宋体" w:eastAsia="黑体" w:cs="黑体"/>
                <w:b w:val="0"/>
                <w:bCs w:val="0"/>
                <w:i w:val="0"/>
                <w:iCs w:val="0"/>
                <w:color w:val="000000"/>
                <w:kern w:val="2"/>
                <w:sz w:val="22"/>
                <w:szCs w:val="22"/>
                <w:highlight w:val="none"/>
                <w:u w:val="none"/>
                <w:lang w:val="en-US" w:eastAsia="zh-CN" w:bidi="ar-SA"/>
              </w:rPr>
              <w:t>105</w:t>
            </w:r>
            <w:bookmarkStart w:id="0" w:name="_GoBack"/>
            <w:bookmarkEnd w:id="0"/>
            <w:r>
              <w:rPr>
                <w:rFonts w:hint="eastAsia" w:ascii="黑体" w:hAnsi="宋体" w:eastAsia="黑体" w:cs="黑体"/>
                <w:b w:val="0"/>
                <w:bCs w:val="0"/>
                <w:i w:val="0"/>
                <w:iCs w:val="0"/>
                <w:color w:val="000000"/>
                <w:kern w:val="2"/>
                <w:sz w:val="22"/>
                <w:szCs w:val="22"/>
                <w:highlight w:val="none"/>
                <w:u w:val="none"/>
                <w:lang w:val="en-US" w:eastAsia="zh-CN" w:bidi="ar-SA"/>
              </w:rPr>
              <w:t>000</w:t>
            </w:r>
          </w:p>
        </w:tc>
      </w:tr>
      <w:tr w14:paraId="3CD9A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4546" w:type="dxa"/>
            <w:gridSpan w:val="7"/>
            <w:vAlign w:val="center"/>
          </w:tcPr>
          <w:p w14:paraId="4F873D1F">
            <w:pPr>
              <w:keepNext w:val="0"/>
              <w:keepLines w:val="0"/>
              <w:pageBreakBefore w:val="0"/>
              <w:widowControl/>
              <w:numPr>
                <w:ilvl w:val="0"/>
                <w:numId w:val="0"/>
              </w:numPr>
              <w:kinsoku/>
              <w:wordWrap/>
              <w:overflowPunct/>
              <w:topLinePunct w:val="0"/>
              <w:autoSpaceDE/>
              <w:autoSpaceDN/>
              <w:bidi w:val="0"/>
              <w:spacing w:line="288" w:lineRule="auto"/>
              <w:jc w:val="center"/>
              <w:textAlignment w:val="auto"/>
              <w:rPr>
                <w:rFonts w:hint="eastAsia" w:ascii="宋体" w:hAnsi="宋体" w:eastAsia="宋体" w:cs="宋体"/>
                <w:color w:val="auto"/>
                <w:kern w:val="2"/>
                <w:sz w:val="20"/>
                <w:szCs w:val="20"/>
                <w:highlight w:val="none"/>
                <w:vertAlign w:val="baseline"/>
                <w:lang w:val="en-US" w:eastAsia="zh-CN" w:bidi="ar-SA"/>
              </w:rPr>
            </w:pPr>
            <w:r>
              <w:rPr>
                <w:rFonts w:hint="eastAsia" w:ascii="宋体" w:hAnsi="宋体" w:eastAsia="宋体" w:cs="宋体"/>
                <w:b/>
                <w:bCs/>
                <w:color w:val="auto"/>
                <w:kern w:val="0"/>
                <w:sz w:val="20"/>
                <w:szCs w:val="20"/>
                <w:highlight w:val="none"/>
                <w:lang w:val="en-US" w:eastAsia="zh-CN"/>
              </w:rPr>
              <w:t>合计</w:t>
            </w:r>
          </w:p>
        </w:tc>
        <w:tc>
          <w:tcPr>
            <w:tcW w:w="0" w:type="auto"/>
            <w:shd w:val="clear" w:color="auto" w:fill="auto"/>
            <w:vAlign w:val="center"/>
          </w:tcPr>
          <w:p w14:paraId="1BBA2033">
            <w:pPr>
              <w:keepNext w:val="0"/>
              <w:keepLines w:val="0"/>
              <w:widowControl/>
              <w:suppressLineNumbers w:val="0"/>
              <w:jc w:val="center"/>
              <w:textAlignment w:val="center"/>
              <w:rPr>
                <w:rFonts w:hint="default" w:asciiTheme="minorEastAsia" w:hAnsiTheme="minorEastAsia" w:eastAsiaTheme="minorEastAsia" w:cstheme="minorEastAsia"/>
                <w:b w:val="0"/>
                <w:bCs w:val="0"/>
                <w:i w:val="0"/>
                <w:iCs w:val="0"/>
                <w:color w:val="000000"/>
                <w:kern w:val="2"/>
                <w:sz w:val="22"/>
                <w:szCs w:val="22"/>
                <w:highlight w:val="none"/>
                <w:u w:val="none"/>
                <w:lang w:val="en-US" w:eastAsia="zh-CN" w:bidi="ar-SA"/>
              </w:rPr>
            </w:pPr>
            <w:r>
              <w:rPr>
                <w:rFonts w:hint="eastAsia" w:asciiTheme="minorEastAsia" w:hAnsiTheme="minorEastAsia" w:eastAsiaTheme="minorEastAsia" w:cstheme="minorEastAsia"/>
                <w:b w:val="0"/>
                <w:bCs w:val="0"/>
                <w:i w:val="0"/>
                <w:iCs w:val="0"/>
                <w:color w:val="000000"/>
                <w:kern w:val="2"/>
                <w:sz w:val="22"/>
                <w:szCs w:val="22"/>
                <w:highlight w:val="none"/>
                <w:u w:val="none"/>
                <w:lang w:val="en-US" w:eastAsia="zh-CN" w:bidi="ar-SA"/>
              </w:rPr>
              <w:t>785000</w:t>
            </w:r>
          </w:p>
        </w:tc>
      </w:tr>
    </w:tbl>
    <w:p w14:paraId="07E7AC77">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10558101">
      <w:pPr>
        <w:pStyle w:val="2"/>
        <w:rPr>
          <w:rFonts w:hint="eastAsia"/>
          <w:lang w:val="en-US" w:eastAsia="zh-CN"/>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0"/>
        <w:gridCol w:w="14624"/>
      </w:tblGrid>
      <w:tr w14:paraId="1548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614" w:type="dxa"/>
            <w:gridSpan w:val="2"/>
          </w:tcPr>
          <w:p w14:paraId="6724E585">
            <w:pPr>
              <w:rPr>
                <w:rFonts w:hint="eastAsia" w:ascii="宋体" w:hAnsi="宋体" w:eastAsia="宋体" w:cs="宋体"/>
                <w:color w:val="auto"/>
                <w:highlight w:val="none"/>
                <w:vertAlign w:val="baseline"/>
              </w:rPr>
            </w:pPr>
            <w:r>
              <w:rPr>
                <w:rFonts w:hint="eastAsia" w:ascii="宋体" w:hAnsi="宋体" w:eastAsia="宋体" w:cs="Calibri"/>
                <w:b/>
                <w:bCs/>
                <w:color w:val="auto"/>
                <w:kern w:val="0"/>
                <w:sz w:val="20"/>
                <w:szCs w:val="20"/>
                <w:highlight w:val="none"/>
                <w:lang w:val="en-US" w:eastAsia="zh-CN"/>
              </w:rPr>
              <w:t>▲</w:t>
            </w:r>
            <w:r>
              <w:rPr>
                <w:rFonts w:hint="eastAsia" w:ascii="宋体" w:hAnsi="宋体" w:eastAsia="宋体" w:cs="宋体"/>
                <w:b/>
                <w:bCs/>
                <w:color w:val="auto"/>
                <w:kern w:val="0"/>
                <w:szCs w:val="21"/>
                <w:highlight w:val="none"/>
              </w:rPr>
              <w:t>二、商务服务要求表</w:t>
            </w:r>
          </w:p>
        </w:tc>
      </w:tr>
      <w:tr w14:paraId="668C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7B70F0AD">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5"/>
                <w:rFonts w:hint="eastAsia" w:ascii="宋体" w:hAnsi="宋体" w:eastAsia="宋体" w:cs="宋体"/>
                <w:color w:val="auto"/>
                <w:sz w:val="21"/>
                <w:szCs w:val="21"/>
                <w:highlight w:val="none"/>
              </w:rPr>
              <w:t>交货时间及地点</w:t>
            </w:r>
          </w:p>
        </w:tc>
        <w:tc>
          <w:tcPr>
            <w:tcW w:w="14624" w:type="dxa"/>
            <w:shd w:val="clear" w:color="auto" w:fill="auto"/>
            <w:vAlign w:val="center"/>
          </w:tcPr>
          <w:p w14:paraId="55E9414F">
            <w:pPr>
              <w:widowControl/>
              <w:numPr>
                <w:ilvl w:val="0"/>
                <w:numId w:val="0"/>
              </w:numPr>
              <w:snapToGrid w:val="0"/>
              <w:spacing w:line="400" w:lineRule="exact"/>
              <w:jc w:val="left"/>
              <w:textAlignment w:val="center"/>
              <w:rPr>
                <w:rFonts w:hint="eastAsia"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1、合同签订日期：中标通知书发出后</w:t>
            </w:r>
            <w:r>
              <w:rPr>
                <w:rFonts w:hint="eastAsia" w:asciiTheme="minorEastAsia" w:hAnsiTheme="minorEastAsia" w:cstheme="minorEastAsia"/>
                <w:kern w:val="0"/>
                <w:szCs w:val="21"/>
                <w:highlight w:val="none"/>
                <w:lang w:val="en-US" w:eastAsia="zh-CN"/>
              </w:rPr>
              <w:t>7</w:t>
            </w:r>
            <w:r>
              <w:rPr>
                <w:rFonts w:hint="eastAsia" w:asciiTheme="minorEastAsia" w:hAnsiTheme="minorEastAsia" w:cstheme="minorEastAsia"/>
                <w:kern w:val="0"/>
                <w:szCs w:val="21"/>
                <w:highlight w:val="none"/>
              </w:rPr>
              <w:t xml:space="preserve">日内。 </w:t>
            </w:r>
          </w:p>
          <w:p w14:paraId="59F8EBB0">
            <w:pPr>
              <w:widowControl/>
              <w:numPr>
                <w:ilvl w:val="0"/>
                <w:numId w:val="0"/>
              </w:numPr>
              <w:snapToGrid w:val="0"/>
              <w:spacing w:line="400" w:lineRule="exact"/>
              <w:jc w:val="left"/>
              <w:textAlignment w:val="center"/>
              <w:rPr>
                <w:rFonts w:hint="eastAsia" w:asciiTheme="minorEastAsia" w:hAnsiTheme="minorEastAsia" w:cstheme="minorEastAsia"/>
                <w:kern w:val="0"/>
                <w:szCs w:val="21"/>
                <w:highlight w:val="none"/>
              </w:rPr>
            </w:pPr>
            <w:r>
              <w:rPr>
                <w:rFonts w:hint="eastAsia" w:asciiTheme="minorEastAsia" w:hAnsiTheme="minorEastAsia" w:cstheme="minorEastAsia"/>
                <w:kern w:val="0"/>
                <w:szCs w:val="21"/>
                <w:highlight w:val="none"/>
              </w:rPr>
              <w:t>2、交货（实施）时间：合同签订之日起</w:t>
            </w:r>
            <w:r>
              <w:rPr>
                <w:rFonts w:hint="eastAsia" w:asciiTheme="minorEastAsia" w:hAnsiTheme="minorEastAsia" w:cstheme="minorEastAsia"/>
                <w:kern w:val="0"/>
                <w:szCs w:val="21"/>
                <w:highlight w:val="none"/>
                <w:lang w:val="en-US" w:eastAsia="zh-CN"/>
              </w:rPr>
              <w:t>10</w:t>
            </w:r>
            <w:r>
              <w:rPr>
                <w:rFonts w:hint="eastAsia" w:asciiTheme="minorEastAsia" w:hAnsiTheme="minorEastAsia" w:cstheme="minorEastAsia"/>
                <w:kern w:val="0"/>
                <w:szCs w:val="21"/>
                <w:highlight w:val="none"/>
              </w:rPr>
              <w:t>个日历日内交货并安装调试完毕。</w:t>
            </w:r>
          </w:p>
          <w:p w14:paraId="3BE34CE9">
            <w:pPr>
              <w:widowControl/>
              <w:snapToGrid w:val="0"/>
              <w:spacing w:line="400" w:lineRule="exact"/>
              <w:jc w:val="left"/>
              <w:textAlignment w:val="center"/>
              <w:rPr>
                <w:rFonts w:hint="eastAsia" w:ascii="宋体" w:hAnsi="宋体" w:eastAsia="宋体" w:cs="宋体"/>
                <w:color w:val="auto"/>
                <w:kern w:val="2"/>
                <w:sz w:val="21"/>
                <w:szCs w:val="21"/>
                <w:highlight w:val="none"/>
                <w:lang w:val="en-US" w:eastAsia="zh-CN" w:bidi="ar-SA"/>
              </w:rPr>
            </w:pPr>
            <w:r>
              <w:rPr>
                <w:rStyle w:val="15"/>
                <w:rFonts w:hint="eastAsia" w:asciiTheme="minorEastAsia" w:hAnsiTheme="minorEastAsia" w:eastAsiaTheme="minorEastAsia" w:cstheme="minorEastAsia"/>
                <w:color w:val="auto"/>
                <w:sz w:val="21"/>
                <w:szCs w:val="21"/>
                <w:highlight w:val="none"/>
                <w:lang w:val="en-US" w:eastAsia="zh-CN"/>
              </w:rPr>
              <w:t>3</w:t>
            </w:r>
            <w:r>
              <w:rPr>
                <w:rStyle w:val="15"/>
                <w:rFonts w:hint="eastAsia" w:asciiTheme="minorEastAsia" w:hAnsiTheme="minorEastAsia" w:eastAsiaTheme="minorEastAsia" w:cstheme="minorEastAsia"/>
                <w:color w:val="auto"/>
                <w:sz w:val="21"/>
                <w:szCs w:val="21"/>
                <w:highlight w:val="none"/>
                <w:lang w:eastAsia="zh-CN"/>
              </w:rPr>
              <w:t>、</w:t>
            </w:r>
            <w:r>
              <w:rPr>
                <w:rStyle w:val="15"/>
                <w:rFonts w:hint="default" w:asciiTheme="minorEastAsia" w:hAnsiTheme="minorEastAsia" w:eastAsiaTheme="minorEastAsia" w:cstheme="minorEastAsia"/>
                <w:color w:val="auto"/>
                <w:sz w:val="21"/>
                <w:szCs w:val="21"/>
                <w:highlight w:val="none"/>
              </w:rPr>
              <w:t>交货地点：</w:t>
            </w:r>
            <w:r>
              <w:rPr>
                <w:rFonts w:hint="eastAsia" w:asciiTheme="minorEastAsia" w:hAnsiTheme="minorEastAsia" w:cstheme="minorEastAsia"/>
                <w:szCs w:val="21"/>
                <w:highlight w:val="none"/>
              </w:rPr>
              <w:t>广西南宁市采购人指定地点（广西水利电力职业技术学院）</w:t>
            </w:r>
            <w:r>
              <w:rPr>
                <w:rStyle w:val="15"/>
                <w:rFonts w:hint="default" w:asciiTheme="minorEastAsia" w:hAnsiTheme="minorEastAsia" w:eastAsiaTheme="minorEastAsia" w:cstheme="minorEastAsia"/>
                <w:color w:val="auto"/>
                <w:sz w:val="21"/>
                <w:szCs w:val="21"/>
                <w:highlight w:val="none"/>
              </w:rPr>
              <w:t>。</w:t>
            </w:r>
          </w:p>
        </w:tc>
      </w:tr>
      <w:tr w14:paraId="5B2C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3ABD7DCC">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5"/>
                <w:rFonts w:hint="eastAsia" w:ascii="宋体" w:hAnsi="宋体" w:eastAsia="宋体" w:cs="宋体"/>
                <w:color w:val="auto"/>
                <w:sz w:val="21"/>
                <w:szCs w:val="21"/>
                <w:highlight w:val="none"/>
              </w:rPr>
              <w:t>质保期</w:t>
            </w:r>
          </w:p>
        </w:tc>
        <w:tc>
          <w:tcPr>
            <w:tcW w:w="14624" w:type="dxa"/>
            <w:shd w:val="clear" w:color="auto" w:fill="auto"/>
            <w:vAlign w:val="center"/>
          </w:tcPr>
          <w:p w14:paraId="23EDCCBE">
            <w:pPr>
              <w:widowControl/>
              <w:numPr>
                <w:ilvl w:val="0"/>
                <w:numId w:val="0"/>
              </w:numPr>
              <w:jc w:val="left"/>
              <w:textAlignment w:val="center"/>
              <w:rPr>
                <w:rFonts w:hint="eastAsia" w:ascii="宋体" w:hAnsi="宋体" w:eastAsia="宋体" w:cs="宋体"/>
                <w:color w:val="auto"/>
                <w:kern w:val="2"/>
                <w:sz w:val="21"/>
                <w:szCs w:val="21"/>
                <w:highlight w:val="none"/>
                <w:lang w:val="en-US" w:eastAsia="zh-CN" w:bidi="ar-SA"/>
              </w:rPr>
            </w:pPr>
            <w:r>
              <w:rPr>
                <w:rStyle w:val="15"/>
                <w:rFonts w:hint="default" w:asciiTheme="minorEastAsia" w:hAnsiTheme="minorEastAsia" w:eastAsiaTheme="minorEastAsia" w:cstheme="minorEastAsia"/>
                <w:color w:val="auto"/>
                <w:sz w:val="21"/>
                <w:szCs w:val="21"/>
                <w:highlight w:val="none"/>
              </w:rPr>
              <w:t>按国家有关规定或厂家承诺实行“三包”，</w:t>
            </w:r>
            <w:r>
              <w:rPr>
                <w:rFonts w:hint="eastAsia" w:asciiTheme="minorEastAsia" w:hAnsiTheme="minorEastAsia" w:cstheme="minorEastAsia"/>
                <w:kern w:val="0"/>
                <w:szCs w:val="21"/>
                <w:highlight w:val="none"/>
              </w:rPr>
              <w:t>质保期从验收合格之日起整机不少于</w:t>
            </w:r>
            <w:r>
              <w:rPr>
                <w:rFonts w:hint="eastAsia" w:asciiTheme="minorEastAsia" w:hAnsiTheme="minorEastAsia" w:cstheme="minorEastAsia"/>
                <w:kern w:val="0"/>
                <w:szCs w:val="21"/>
                <w:highlight w:val="none"/>
                <w:u w:val="single"/>
                <w:lang w:val="en-US" w:eastAsia="zh-CN"/>
              </w:rPr>
              <w:t>3</w:t>
            </w:r>
            <w:r>
              <w:rPr>
                <w:rFonts w:hint="eastAsia" w:asciiTheme="minorEastAsia" w:hAnsiTheme="minorEastAsia" w:cstheme="minorEastAsia"/>
                <w:kern w:val="0"/>
                <w:szCs w:val="21"/>
                <w:highlight w:val="none"/>
              </w:rPr>
              <w:t>年（技术参数中有特别指明质保期的按参数要求，厂家质保期高于采购要求的按厂家质保）</w:t>
            </w:r>
            <w:r>
              <w:rPr>
                <w:rStyle w:val="15"/>
                <w:rFonts w:hint="default" w:asciiTheme="minorEastAsia" w:hAnsiTheme="minorEastAsia" w:eastAsiaTheme="minorEastAsia" w:cstheme="minorEastAsia"/>
                <w:color w:val="auto"/>
                <w:sz w:val="21"/>
                <w:szCs w:val="21"/>
                <w:highlight w:val="none"/>
              </w:rPr>
              <w:t>，质保期内全免费上门维修、免费更换零部件，质保期过后提供终身技术支持和维护。</w:t>
            </w:r>
          </w:p>
        </w:tc>
      </w:tr>
      <w:tr w14:paraId="4E1FB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4891CE8A">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rPr>
              <w:t>产品质量与售后服务要求</w:t>
            </w:r>
          </w:p>
        </w:tc>
        <w:tc>
          <w:tcPr>
            <w:tcW w:w="14624" w:type="dxa"/>
            <w:shd w:val="clear" w:color="auto" w:fill="auto"/>
            <w:vAlign w:val="center"/>
          </w:tcPr>
          <w:p w14:paraId="4011C85E">
            <w:pPr>
              <w:widowControl/>
              <w:snapToGrid w:val="0"/>
              <w:spacing w:line="400" w:lineRule="exact"/>
              <w:jc w:val="left"/>
              <w:textAlignment w:val="center"/>
              <w:rPr>
                <w:rFonts w:hint="eastAsia" w:ascii="宋体" w:hAnsi="宋体" w:eastAsia="宋体" w:cs="宋体"/>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1、</w:t>
            </w:r>
            <w:r>
              <w:rPr>
                <w:rFonts w:hint="eastAsia" w:ascii="宋体" w:hAnsi="宋体" w:eastAsia="宋体" w:cs="宋体"/>
                <w:color w:val="auto"/>
                <w:kern w:val="2"/>
                <w:sz w:val="21"/>
                <w:szCs w:val="21"/>
                <w:highlight w:val="none"/>
                <w:lang w:val="en-US" w:eastAsia="zh-CN" w:bidi="ar-SA"/>
              </w:rPr>
              <w:t>所投产品必须能实质性响应采购要求（所投产品应完全满足或优于采购参数要求），供货时能按照采购需求的要求提供厂家的供货证明和售后服务承诺书原件，避免假冒伪劣产品。对不能满足参数要求虚假响应，采购人可作废标处理，并依法向供应商追究违约责任。</w:t>
            </w:r>
          </w:p>
          <w:p w14:paraId="47281F61">
            <w:pPr>
              <w:widowControl/>
              <w:snapToGrid w:val="0"/>
              <w:spacing w:line="400" w:lineRule="exact"/>
              <w:jc w:val="left"/>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故障响应时间：成交供应商收到采购人的故障维修通知后30分钟内电话服务应答，2小时内到达现场进行维修，4小时内排除故障，如24小时内无法修复的，质保期内成交供应商应无条件更换新设备或提供代用设备，或采取使设备可正常运转的措施。</w:t>
            </w:r>
          </w:p>
        </w:tc>
      </w:tr>
      <w:tr w14:paraId="118B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2DBED3ED">
            <w:pPr>
              <w:spacing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实施和安装要求</w:t>
            </w:r>
          </w:p>
        </w:tc>
        <w:tc>
          <w:tcPr>
            <w:tcW w:w="14624" w:type="dxa"/>
            <w:shd w:val="clear" w:color="auto" w:fill="auto"/>
            <w:vAlign w:val="center"/>
          </w:tcPr>
          <w:p w14:paraId="4DFD51E1">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本项目为交钥匙工程，成交后，供应商需应严格按竞标产品的安装规范要求进行安装调试，保证设备正常运行，质量合格。</w:t>
            </w:r>
          </w:p>
          <w:p w14:paraId="3897F2EA">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（1）根据采购要求的工期提供项目实施方案及进度安排计划表；</w:t>
            </w:r>
          </w:p>
          <w:p w14:paraId="248AD737">
            <w:pPr>
              <w:spacing w:line="400" w:lineRule="exact"/>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color w:val="auto"/>
                <w:szCs w:val="21"/>
                <w:highlight w:val="none"/>
              </w:rPr>
              <w:t>供应商必须服从采购单位现场负责人的指挥，按指定地点进行设备安装、调试，确保设备安装符合国家现行技术规范标准；</w:t>
            </w:r>
          </w:p>
          <w:p w14:paraId="726392B3">
            <w:pPr>
              <w:spacing w:line="400" w:lineRule="exact"/>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（3）安装过程中的所有安全保障由供应商自行负责；</w:t>
            </w:r>
          </w:p>
          <w:p w14:paraId="1A4230A6">
            <w:pPr>
              <w:spacing w:line="400" w:lineRule="exact"/>
              <w:rPr>
                <w:rFonts w:hint="eastAsia" w:ascii="宋体" w:hAnsi="宋体" w:eastAsia="宋体" w:cs="宋体"/>
                <w:color w:val="auto"/>
                <w:kern w:val="0"/>
                <w:sz w:val="21"/>
                <w:szCs w:val="21"/>
                <w:highlight w:val="none"/>
                <w:lang w:val="zh-CN" w:eastAsia="zh-CN" w:bidi="ar-SA"/>
              </w:rPr>
            </w:pPr>
            <w:r>
              <w:rPr>
                <w:rFonts w:hint="eastAsia" w:ascii="宋体" w:hAnsi="宋体" w:eastAsia="宋体" w:cs="宋体"/>
                <w:color w:val="auto"/>
                <w:kern w:val="0"/>
                <w:szCs w:val="21"/>
                <w:highlight w:val="none"/>
                <w:lang w:val="zh-CN"/>
              </w:rPr>
              <w:t>（</w:t>
            </w:r>
            <w:r>
              <w:rPr>
                <w:rFonts w:hint="eastAsia" w:ascii="宋体" w:hAnsi="宋体" w:eastAsia="宋体" w:cs="宋体"/>
                <w:color w:val="auto"/>
                <w:kern w:val="0"/>
                <w:szCs w:val="21"/>
                <w:highlight w:val="none"/>
              </w:rPr>
              <w:t>4</w:t>
            </w:r>
            <w:r>
              <w:rPr>
                <w:rFonts w:hint="eastAsia" w:ascii="宋体" w:hAnsi="宋体" w:eastAsia="宋体" w:cs="宋体"/>
                <w:color w:val="auto"/>
                <w:kern w:val="0"/>
                <w:szCs w:val="21"/>
                <w:highlight w:val="none"/>
                <w:lang w:val="zh-CN"/>
              </w:rPr>
              <w:t>）项目实施过程中产生的垃圾废料由供应商负责清理至校外。</w:t>
            </w:r>
          </w:p>
        </w:tc>
      </w:tr>
      <w:tr w14:paraId="55B1A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6C362CE8">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5"/>
                <w:rFonts w:hint="eastAsia" w:ascii="宋体" w:hAnsi="宋体" w:eastAsia="宋体" w:cs="宋体"/>
                <w:color w:val="auto"/>
                <w:sz w:val="21"/>
                <w:szCs w:val="21"/>
                <w:highlight w:val="none"/>
              </w:rPr>
              <w:t>付款方式</w:t>
            </w:r>
          </w:p>
        </w:tc>
        <w:tc>
          <w:tcPr>
            <w:tcW w:w="14624" w:type="dxa"/>
            <w:shd w:val="clear" w:color="auto" w:fill="auto"/>
            <w:vAlign w:val="center"/>
          </w:tcPr>
          <w:p w14:paraId="52FA89C8">
            <w:pPr>
              <w:widowControl/>
              <w:snapToGrid w:val="0"/>
              <w:spacing w:line="400" w:lineRule="exact"/>
              <w:jc w:val="left"/>
              <w:textAlignment w:val="center"/>
              <w:rPr>
                <w:rFonts w:hint="eastAsia" w:ascii="宋体" w:hAnsi="宋体" w:eastAsia="宋体" w:cs="宋体"/>
                <w:color w:val="auto"/>
                <w:sz w:val="21"/>
                <w:szCs w:val="21"/>
                <w:highlight w:val="none"/>
                <w:lang w:val="en-US" w:eastAsia="zh-CN"/>
              </w:rPr>
            </w:pPr>
            <w:r>
              <w:rPr>
                <w:szCs w:val="21"/>
                <w:highlight w:val="none"/>
              </w:rPr>
              <w:t> </w:t>
            </w:r>
            <w:r>
              <w:rPr>
                <w:rFonts w:hint="eastAsia" w:ascii="宋体" w:hAnsi="宋体"/>
                <w:kern w:val="0"/>
                <w:szCs w:val="21"/>
                <w:highlight w:val="none"/>
              </w:rPr>
              <w:t>项目全部货物服务交付并安装调试至正常运行，经采购人最终验收合格后，中标人开具增值税专用发票给采购人，采购人在收到发票后10个工作日内一次性支付100%合同货款。</w:t>
            </w:r>
          </w:p>
        </w:tc>
      </w:tr>
      <w:tr w14:paraId="1114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325E5B12">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Style w:val="15"/>
                <w:rFonts w:hint="eastAsia" w:ascii="宋体" w:hAnsi="宋体" w:eastAsia="宋体" w:cs="宋体"/>
                <w:color w:val="auto"/>
                <w:sz w:val="21"/>
                <w:szCs w:val="21"/>
                <w:highlight w:val="none"/>
              </w:rPr>
              <w:t>验收要求</w:t>
            </w:r>
          </w:p>
        </w:tc>
        <w:tc>
          <w:tcPr>
            <w:tcW w:w="14624" w:type="dxa"/>
            <w:shd w:val="clear" w:color="auto" w:fill="auto"/>
            <w:vAlign w:val="center"/>
          </w:tcPr>
          <w:p w14:paraId="1EE60033">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xml:space="preserve">1、验收标准：按合同要求及国家标准进行验收。验收时，采购人将严格按照合同要求及国家标准进行验收，对照采购文件的功能目标及技术指标全面核对检验，对所有要求出具的证明文件的原件进行核查（如有）。如交付产品不能满足采购要求和合同约定质量标准的视为验收不合格，按相关规定做退货处理及违约处理，成交供应商承担所有责任和费用，采购人保留进一步追究责任的权利。 </w:t>
            </w:r>
          </w:p>
          <w:p w14:paraId="1EC41D59">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供应商完成设备安装与调试后，需对拟交付的合同成果及其组件进行自检并提出书面验收申请，经采购人同意后共同组织验收，签写相应验收意见并签名确认。如对验收存在异议的，可聘请第三方按合同约定组织验收，所有费用由成交供应商负责。</w:t>
            </w:r>
          </w:p>
          <w:p w14:paraId="344AE140">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3、货物（设备）验收合格，项目约定产品或服务方可正式交接，双方对相关货物清单、随机附件及验收结论意见书等书面材料进行清点签字后，作为项目的最终验收。</w:t>
            </w:r>
          </w:p>
          <w:p w14:paraId="70F06C5C">
            <w:pPr>
              <w:widowControl/>
              <w:snapToGrid w:val="0"/>
              <w:spacing w:line="400" w:lineRule="exact"/>
              <w:ind w:firstLine="420" w:firstLineChars="200"/>
              <w:jc w:val="left"/>
              <w:textAlignment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4、验收费用：验收所产生的劳务费、检验费及相关发生的全部费用均由成交人承担。</w:t>
            </w:r>
          </w:p>
        </w:tc>
      </w:tr>
      <w:tr w14:paraId="3AC5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0" w:type="dxa"/>
            <w:shd w:val="clear" w:color="auto" w:fill="auto"/>
            <w:vAlign w:val="center"/>
          </w:tcPr>
          <w:p w14:paraId="2982A134">
            <w:pPr>
              <w:widowControl/>
              <w:snapToGrid w:val="0"/>
              <w:spacing w:line="400" w:lineRule="exact"/>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rPr>
              <w:t>其他要求</w:t>
            </w:r>
          </w:p>
        </w:tc>
        <w:tc>
          <w:tcPr>
            <w:tcW w:w="14624" w:type="dxa"/>
            <w:shd w:val="clear" w:color="auto" w:fill="auto"/>
            <w:vAlign w:val="center"/>
          </w:tcPr>
          <w:p w14:paraId="0D81F7CC">
            <w:p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1、供应商必须实质性响应本项目标注“▲”的技术参数要求，不允许负偏离，对技术参数要求中非标注“▲”的技术参数负偏离项数不超过</w:t>
            </w: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项，否则视为无效响应。投标时，供应商所投产品须满足或优于技术参数配置要求【需提供《商务、技术响应、偏离情况说明表》（格式自拟）、《竞标报价表》和投标产品的《技术参数配置清单》（格式见附件）及检测报告复印件等相关佐证材料，以上材料加盖供应商公章】， 否则视为无效响应。</w:t>
            </w:r>
          </w:p>
          <w:p w14:paraId="234862E8">
            <w:p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w:t>
            </w:r>
            <w:r>
              <w:rPr>
                <w:rFonts w:hint="eastAsia" w:ascii="宋体" w:hAnsi="宋体" w:eastAsia="宋体" w:cs="宋体"/>
                <w:color w:val="auto"/>
                <w:szCs w:val="21"/>
                <w:highlight w:val="none"/>
                <w:lang w:val="en-US" w:eastAsia="zh-CN"/>
              </w:rPr>
              <w:t>、供应商在参与竞标报价前需仔细阅读项目采购的技术及商务要求，评估自身履约能力，谢绝恶意低价、不按要求报价、中标后无故放弃、不按合同履行等违约行为。对出现此类行为的成交供应商，将根据在线竞价违约处理规则，依法依规提请政采云平台进行处罚，并保留依法追究违约责任的权利，供应商的违约行为列入不良记录记入政府采购诚信档案。采购单位有权将在线询价单中的商务要求列入合同条款，否则有权拒签合同。</w:t>
            </w:r>
          </w:p>
          <w:p w14:paraId="72C7B0A5">
            <w:pPr>
              <w:autoSpaceDE w:val="0"/>
              <w:autoSpaceDN w:val="0"/>
              <w:adjustRightIn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lang w:val="en-US" w:eastAsia="zh-CN"/>
              </w:rPr>
              <w:t>、中标公示期内若有其他供应商质疑情况下，中标单位必须提供与标书技术要求及功能符合的样品一套至采购人处进行整体性能与标书文件核对，协助质疑答复。如出现所提供样品不符招标要求或无法提供样品，均视为虚假应标处理并根据招标法及标书要求追究法律责任。</w:t>
            </w:r>
          </w:p>
        </w:tc>
      </w:tr>
    </w:tbl>
    <w:p w14:paraId="056D3992">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579234A8">
      <w:pPr>
        <w:keepNext w:val="0"/>
        <w:keepLines w:val="0"/>
        <w:pageBreakBefore w:val="0"/>
        <w:widowControl/>
        <w:kinsoku/>
        <w:wordWrap/>
        <w:overflowPunct/>
        <w:topLinePunct w:val="0"/>
        <w:autoSpaceDE/>
        <w:autoSpaceDN/>
        <w:bidi w:val="0"/>
        <w:spacing w:line="288" w:lineRule="auto"/>
        <w:jc w:val="left"/>
        <w:textAlignment w:val="auto"/>
        <w:rPr>
          <w:rFonts w:hint="eastAsia" w:ascii="宋体" w:hAnsi="宋体" w:eastAsia="宋体" w:cs="宋体"/>
          <w:color w:val="auto"/>
          <w:sz w:val="21"/>
          <w:szCs w:val="21"/>
          <w:highlight w:val="none"/>
          <w:lang w:val="en-US" w:eastAsia="zh-CN"/>
        </w:rPr>
      </w:pPr>
    </w:p>
    <w:p w14:paraId="3B326892">
      <w:pPr>
        <w:pStyle w:val="2"/>
        <w:rPr>
          <w:rFonts w:hint="eastAsia" w:ascii="宋体" w:hAnsi="宋体" w:eastAsia="宋体" w:cs="宋体"/>
          <w:color w:val="auto"/>
          <w:sz w:val="21"/>
          <w:szCs w:val="21"/>
          <w:highlight w:val="none"/>
          <w:lang w:val="en-US" w:eastAsia="zh-CN"/>
        </w:rPr>
      </w:pPr>
    </w:p>
    <w:p w14:paraId="2F144B43">
      <w:pPr>
        <w:rPr>
          <w:rFonts w:hint="eastAsia" w:ascii="宋体" w:hAnsi="宋体" w:eastAsia="宋体" w:cs="宋体"/>
          <w:color w:val="auto"/>
          <w:sz w:val="21"/>
          <w:szCs w:val="21"/>
          <w:highlight w:val="none"/>
          <w:lang w:val="en-US" w:eastAsia="zh-CN"/>
        </w:rPr>
      </w:pPr>
    </w:p>
    <w:p w14:paraId="7C2B3FB7">
      <w:pPr>
        <w:pStyle w:val="2"/>
        <w:rPr>
          <w:rFonts w:hint="eastAsia" w:ascii="宋体" w:hAnsi="宋体" w:eastAsia="宋体" w:cs="宋体"/>
          <w:color w:val="auto"/>
          <w:sz w:val="21"/>
          <w:szCs w:val="21"/>
          <w:highlight w:val="none"/>
          <w:lang w:val="en-US" w:eastAsia="zh-CN"/>
        </w:rPr>
      </w:pPr>
    </w:p>
    <w:p w14:paraId="747AF3F4">
      <w:pPr>
        <w:rPr>
          <w:rFonts w:hint="eastAsia" w:ascii="宋体" w:hAnsi="宋体" w:eastAsia="宋体" w:cs="宋体"/>
          <w:color w:val="auto"/>
          <w:sz w:val="21"/>
          <w:szCs w:val="21"/>
          <w:highlight w:val="none"/>
          <w:lang w:val="en-US" w:eastAsia="zh-CN"/>
        </w:rPr>
      </w:pPr>
    </w:p>
    <w:p w14:paraId="0751B197">
      <w:pPr>
        <w:pStyle w:val="2"/>
        <w:rPr>
          <w:rFonts w:hint="eastAsia" w:ascii="宋体" w:hAnsi="宋体" w:eastAsia="宋体" w:cs="宋体"/>
          <w:color w:val="auto"/>
          <w:sz w:val="21"/>
          <w:szCs w:val="21"/>
          <w:highlight w:val="none"/>
          <w:lang w:val="en-US" w:eastAsia="zh-CN"/>
        </w:rPr>
      </w:pPr>
    </w:p>
    <w:p w14:paraId="6C24792A">
      <w:pPr>
        <w:rPr>
          <w:rFonts w:hint="eastAsia" w:ascii="宋体" w:hAnsi="宋体" w:eastAsia="宋体" w:cs="宋体"/>
          <w:color w:val="auto"/>
          <w:sz w:val="21"/>
          <w:szCs w:val="21"/>
          <w:highlight w:val="none"/>
          <w:lang w:val="en-US" w:eastAsia="zh-CN"/>
        </w:rPr>
      </w:pPr>
    </w:p>
    <w:p w14:paraId="5F031C14">
      <w:pPr>
        <w:pStyle w:val="2"/>
        <w:rPr>
          <w:rFonts w:hint="eastAsia" w:ascii="宋体" w:hAnsi="宋体" w:eastAsia="宋体" w:cs="宋体"/>
          <w:color w:val="auto"/>
          <w:sz w:val="21"/>
          <w:szCs w:val="21"/>
          <w:highlight w:val="none"/>
          <w:lang w:val="en-US" w:eastAsia="zh-CN"/>
        </w:rPr>
      </w:pPr>
    </w:p>
    <w:p w14:paraId="746D51CE">
      <w:pPr>
        <w:rPr>
          <w:rFonts w:hint="eastAsia" w:ascii="宋体" w:hAnsi="宋体" w:eastAsia="宋体" w:cs="宋体"/>
          <w:color w:val="auto"/>
          <w:sz w:val="21"/>
          <w:szCs w:val="21"/>
          <w:highlight w:val="none"/>
          <w:lang w:val="en-US" w:eastAsia="zh-CN"/>
        </w:rPr>
      </w:pPr>
    </w:p>
    <w:p w14:paraId="6CBE2161">
      <w:pPr>
        <w:pStyle w:val="2"/>
        <w:rPr>
          <w:rFonts w:hint="eastAsia" w:ascii="宋体" w:hAnsi="宋体" w:eastAsia="宋体" w:cs="宋体"/>
          <w:color w:val="auto"/>
          <w:sz w:val="21"/>
          <w:szCs w:val="21"/>
          <w:highlight w:val="none"/>
          <w:lang w:val="en-US" w:eastAsia="zh-CN"/>
        </w:rPr>
      </w:pPr>
    </w:p>
    <w:p w14:paraId="6048D824">
      <w:pPr>
        <w:rPr>
          <w:rFonts w:hint="eastAsia" w:ascii="宋体" w:hAnsi="宋体" w:eastAsia="宋体" w:cs="宋体"/>
          <w:color w:val="auto"/>
          <w:sz w:val="21"/>
          <w:szCs w:val="21"/>
          <w:highlight w:val="none"/>
          <w:lang w:val="en-US" w:eastAsia="zh-CN"/>
        </w:rPr>
      </w:pPr>
    </w:p>
    <w:p w14:paraId="471DA35B">
      <w:pPr>
        <w:pStyle w:val="2"/>
        <w:rPr>
          <w:rFonts w:hint="eastAsia" w:ascii="宋体" w:hAnsi="宋体" w:eastAsia="宋体" w:cs="宋体"/>
          <w:color w:val="auto"/>
          <w:sz w:val="21"/>
          <w:szCs w:val="21"/>
          <w:highlight w:val="none"/>
          <w:lang w:val="en-US" w:eastAsia="zh-CN"/>
        </w:rPr>
      </w:pPr>
    </w:p>
    <w:p w14:paraId="14BCB16E">
      <w:pPr>
        <w:rPr>
          <w:rFonts w:hint="eastAsia" w:ascii="宋体" w:hAnsi="宋体" w:eastAsia="宋体" w:cs="宋体"/>
          <w:color w:val="auto"/>
          <w:sz w:val="21"/>
          <w:szCs w:val="21"/>
          <w:highlight w:val="none"/>
          <w:lang w:val="en-US" w:eastAsia="zh-CN"/>
        </w:rPr>
      </w:pPr>
    </w:p>
    <w:p w14:paraId="5083BB1C">
      <w:pPr>
        <w:pStyle w:val="2"/>
        <w:rPr>
          <w:rFonts w:hint="eastAsia" w:ascii="宋体" w:hAnsi="宋体" w:eastAsia="宋体" w:cs="宋体"/>
          <w:color w:val="auto"/>
          <w:sz w:val="21"/>
          <w:szCs w:val="21"/>
          <w:highlight w:val="none"/>
          <w:lang w:val="en-US" w:eastAsia="zh-CN"/>
        </w:rPr>
      </w:pPr>
    </w:p>
    <w:p w14:paraId="28BFB6C4">
      <w:pPr>
        <w:rPr>
          <w:rFonts w:hint="eastAsia" w:ascii="宋体" w:hAnsi="宋体" w:eastAsia="宋体" w:cs="宋体"/>
          <w:color w:val="auto"/>
          <w:sz w:val="21"/>
          <w:szCs w:val="21"/>
          <w:highlight w:val="none"/>
          <w:lang w:val="en-US" w:eastAsia="zh-CN"/>
        </w:rPr>
      </w:pPr>
    </w:p>
    <w:p w14:paraId="59F8A5E7">
      <w:pPr>
        <w:pStyle w:val="2"/>
        <w:rPr>
          <w:rFonts w:hint="eastAsia" w:ascii="宋体" w:hAnsi="宋体" w:eastAsia="宋体" w:cs="宋体"/>
          <w:color w:val="auto"/>
          <w:sz w:val="21"/>
          <w:szCs w:val="21"/>
          <w:highlight w:val="none"/>
          <w:lang w:val="en-US" w:eastAsia="zh-CN"/>
        </w:rPr>
      </w:pPr>
    </w:p>
    <w:p w14:paraId="5ACEC9C2">
      <w:pPr>
        <w:rPr>
          <w:rFonts w:hint="eastAsia" w:ascii="宋体" w:hAnsi="宋体" w:eastAsia="宋体" w:cs="宋体"/>
          <w:color w:val="auto"/>
          <w:sz w:val="21"/>
          <w:szCs w:val="21"/>
          <w:highlight w:val="none"/>
          <w:lang w:val="en-US" w:eastAsia="zh-CN"/>
        </w:rPr>
      </w:pPr>
    </w:p>
    <w:p w14:paraId="21FCE35E">
      <w:pPr>
        <w:pStyle w:val="2"/>
        <w:rPr>
          <w:rFonts w:hint="eastAsia" w:ascii="宋体" w:hAnsi="宋体" w:eastAsia="宋体" w:cs="宋体"/>
          <w:color w:val="auto"/>
          <w:sz w:val="21"/>
          <w:szCs w:val="21"/>
          <w:highlight w:val="none"/>
          <w:lang w:val="en-US" w:eastAsia="zh-CN"/>
        </w:rPr>
      </w:pPr>
    </w:p>
    <w:p w14:paraId="0D8CDAF5">
      <w:pPr>
        <w:rPr>
          <w:rFonts w:hint="eastAsia" w:ascii="宋体" w:hAnsi="宋体" w:eastAsia="宋体" w:cs="宋体"/>
          <w:color w:val="auto"/>
          <w:sz w:val="21"/>
          <w:szCs w:val="21"/>
          <w:highlight w:val="none"/>
          <w:lang w:val="en-US" w:eastAsia="zh-CN"/>
        </w:rPr>
      </w:pPr>
    </w:p>
    <w:p w14:paraId="69512E83">
      <w:pPr>
        <w:pStyle w:val="2"/>
        <w:rPr>
          <w:rFonts w:hint="eastAsia" w:ascii="宋体" w:hAnsi="宋体" w:eastAsia="宋体" w:cs="宋体"/>
          <w:color w:val="auto"/>
          <w:sz w:val="21"/>
          <w:szCs w:val="21"/>
          <w:highlight w:val="none"/>
          <w:lang w:val="en-US" w:eastAsia="zh-CN"/>
        </w:rPr>
      </w:pPr>
    </w:p>
    <w:p w14:paraId="6791E4FD">
      <w:pPr>
        <w:rPr>
          <w:rFonts w:hint="eastAsia"/>
          <w:lang w:val="en-US" w:eastAsia="zh-CN"/>
        </w:rPr>
      </w:pPr>
    </w:p>
    <w:p w14:paraId="3E626ABD">
      <w:pPr>
        <w:rPr>
          <w:color w:val="auto"/>
          <w:highlight w:val="none"/>
        </w:rPr>
      </w:pPr>
      <w:r>
        <w:rPr>
          <w:rFonts w:hint="eastAsia"/>
          <w:color w:val="auto"/>
          <w:highlight w:val="none"/>
        </w:rPr>
        <w:t>附件</w:t>
      </w:r>
    </w:p>
    <w:p w14:paraId="60A5A090">
      <w:pPr>
        <w:tabs>
          <w:tab w:val="left" w:pos="3479"/>
        </w:tabs>
        <w:spacing w:line="520" w:lineRule="exact"/>
        <w:jc w:val="center"/>
        <w:rPr>
          <w:rFonts w:hint="eastAsia" w:asciiTheme="minorEastAsia" w:hAnsiTheme="minorEastAsia" w:cstheme="minorEastAsia"/>
          <w:b/>
          <w:color w:val="auto"/>
          <w:sz w:val="32"/>
          <w:szCs w:val="32"/>
          <w:highlight w:val="none"/>
        </w:rPr>
      </w:pPr>
      <w:r>
        <w:rPr>
          <w:rFonts w:hint="eastAsia" w:asciiTheme="minorEastAsia" w:hAnsiTheme="minorEastAsia" w:cstheme="minorEastAsia"/>
          <w:b/>
          <w:color w:val="auto"/>
          <w:sz w:val="44"/>
          <w:szCs w:val="44"/>
          <w:highlight w:val="none"/>
        </w:rPr>
        <w:t>竞  标  报  价  表</w:t>
      </w:r>
    </w:p>
    <w:p w14:paraId="4D0D8E3A">
      <w:pPr>
        <w:spacing w:line="520" w:lineRule="exact"/>
        <w:jc w:val="center"/>
        <w:rPr>
          <w:rFonts w:hint="eastAsia" w:ascii="方正小标宋简体" w:hAnsi="方正小标宋简体" w:eastAsia="方正小标宋简体" w:cs="方正小标宋简体"/>
          <w:bCs/>
          <w:color w:val="auto"/>
          <w:sz w:val="32"/>
          <w:szCs w:val="32"/>
          <w:highlight w:val="none"/>
        </w:rPr>
      </w:pPr>
    </w:p>
    <w:p w14:paraId="1C161FB7">
      <w:pPr>
        <w:snapToGrid w:val="0"/>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项目名称：                                                                                    单位：元</w:t>
      </w:r>
    </w:p>
    <w:tbl>
      <w:tblPr>
        <w:tblStyle w:val="7"/>
        <w:tblW w:w="14514"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8"/>
        <w:gridCol w:w="4343"/>
        <w:gridCol w:w="2865"/>
        <w:gridCol w:w="1050"/>
        <w:gridCol w:w="1590"/>
        <w:gridCol w:w="1445"/>
        <w:gridCol w:w="2383"/>
      </w:tblGrid>
      <w:tr w14:paraId="529E612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838" w:type="dxa"/>
            <w:tcBorders>
              <w:top w:val="single" w:color="auto" w:sz="4" w:space="0"/>
              <w:left w:val="single" w:color="auto" w:sz="4" w:space="0"/>
              <w:bottom w:val="single" w:color="auto" w:sz="4" w:space="0"/>
              <w:right w:val="single" w:color="auto" w:sz="4" w:space="0"/>
            </w:tcBorders>
            <w:vAlign w:val="center"/>
          </w:tcPr>
          <w:p w14:paraId="17CB5E63">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项号</w:t>
            </w:r>
          </w:p>
        </w:tc>
        <w:tc>
          <w:tcPr>
            <w:tcW w:w="4343" w:type="dxa"/>
            <w:tcBorders>
              <w:top w:val="single" w:color="auto" w:sz="4" w:space="0"/>
              <w:left w:val="single" w:color="auto" w:sz="4" w:space="0"/>
              <w:bottom w:val="single" w:color="auto" w:sz="4" w:space="0"/>
              <w:right w:val="single" w:color="auto" w:sz="4" w:space="0"/>
            </w:tcBorders>
            <w:vAlign w:val="center"/>
          </w:tcPr>
          <w:p w14:paraId="6FF0CA90">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货物名称</w:t>
            </w:r>
          </w:p>
        </w:tc>
        <w:tc>
          <w:tcPr>
            <w:tcW w:w="2865" w:type="dxa"/>
            <w:tcBorders>
              <w:top w:val="single" w:color="auto" w:sz="4" w:space="0"/>
              <w:left w:val="single" w:color="auto" w:sz="4" w:space="0"/>
              <w:bottom w:val="single" w:color="auto" w:sz="4" w:space="0"/>
              <w:right w:val="single" w:color="auto" w:sz="4" w:space="0"/>
            </w:tcBorders>
            <w:vAlign w:val="center"/>
          </w:tcPr>
          <w:p w14:paraId="0397E4E9">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品牌</w:t>
            </w:r>
          </w:p>
        </w:tc>
        <w:tc>
          <w:tcPr>
            <w:tcW w:w="1050" w:type="dxa"/>
            <w:tcBorders>
              <w:top w:val="single" w:color="auto" w:sz="4" w:space="0"/>
              <w:left w:val="single" w:color="auto" w:sz="4" w:space="0"/>
              <w:bottom w:val="single" w:color="auto" w:sz="4" w:space="0"/>
              <w:right w:val="single" w:color="auto" w:sz="4" w:space="0"/>
            </w:tcBorders>
            <w:vAlign w:val="center"/>
          </w:tcPr>
          <w:p w14:paraId="75357603">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单位</w:t>
            </w:r>
          </w:p>
        </w:tc>
        <w:tc>
          <w:tcPr>
            <w:tcW w:w="1590" w:type="dxa"/>
            <w:tcBorders>
              <w:top w:val="single" w:color="auto" w:sz="4" w:space="0"/>
              <w:left w:val="single" w:color="auto" w:sz="4" w:space="0"/>
              <w:bottom w:val="single" w:color="auto" w:sz="4" w:space="0"/>
              <w:right w:val="single" w:color="auto" w:sz="4" w:space="0"/>
            </w:tcBorders>
            <w:vAlign w:val="center"/>
          </w:tcPr>
          <w:p w14:paraId="1EFD5A36">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数量</w:t>
            </w:r>
          </w:p>
          <w:p w14:paraId="787A8CAD">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①</w:t>
            </w:r>
          </w:p>
        </w:tc>
        <w:tc>
          <w:tcPr>
            <w:tcW w:w="1445" w:type="dxa"/>
            <w:tcBorders>
              <w:top w:val="single" w:color="auto" w:sz="4" w:space="0"/>
              <w:left w:val="single" w:color="auto" w:sz="4" w:space="0"/>
              <w:bottom w:val="single" w:color="auto" w:sz="4" w:space="0"/>
              <w:right w:val="single" w:color="auto" w:sz="4" w:space="0"/>
            </w:tcBorders>
            <w:vAlign w:val="center"/>
          </w:tcPr>
          <w:p w14:paraId="1073B87E">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单价</w:t>
            </w:r>
          </w:p>
          <w:p w14:paraId="42798620">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②</w:t>
            </w:r>
          </w:p>
        </w:tc>
        <w:tc>
          <w:tcPr>
            <w:tcW w:w="2383" w:type="dxa"/>
            <w:tcBorders>
              <w:top w:val="single" w:color="auto" w:sz="4" w:space="0"/>
              <w:left w:val="single" w:color="auto" w:sz="4" w:space="0"/>
              <w:bottom w:val="single" w:color="auto" w:sz="4" w:space="0"/>
              <w:right w:val="single" w:color="auto" w:sz="4" w:space="0"/>
            </w:tcBorders>
            <w:vAlign w:val="center"/>
          </w:tcPr>
          <w:p w14:paraId="4B1B56FC">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竞标报价</w:t>
            </w:r>
          </w:p>
          <w:p w14:paraId="72E4E7D2">
            <w:pPr>
              <w:spacing w:line="360" w:lineRule="exact"/>
              <w:jc w:val="center"/>
              <w:rPr>
                <w:rFonts w:hint="eastAsia" w:ascii="宋体" w:hAnsi="宋体" w:cs="仿宋_GB2312"/>
                <w:b/>
                <w:bCs/>
                <w:color w:val="auto"/>
                <w:szCs w:val="21"/>
                <w:highlight w:val="none"/>
              </w:rPr>
            </w:pPr>
            <w:r>
              <w:rPr>
                <w:rFonts w:hint="eastAsia" w:ascii="宋体" w:hAnsi="宋体" w:cs="仿宋_GB2312"/>
                <w:b/>
                <w:bCs/>
                <w:color w:val="auto"/>
                <w:szCs w:val="21"/>
                <w:highlight w:val="none"/>
              </w:rPr>
              <w:t>③=①×②</w:t>
            </w:r>
          </w:p>
        </w:tc>
      </w:tr>
      <w:tr w14:paraId="73C8AA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21028E75">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1</w:t>
            </w:r>
          </w:p>
        </w:tc>
        <w:tc>
          <w:tcPr>
            <w:tcW w:w="4343" w:type="dxa"/>
            <w:tcBorders>
              <w:top w:val="single" w:color="auto" w:sz="4" w:space="0"/>
              <w:left w:val="single" w:color="auto" w:sz="4" w:space="0"/>
              <w:bottom w:val="single" w:color="auto" w:sz="4" w:space="0"/>
              <w:right w:val="single" w:color="auto" w:sz="4" w:space="0"/>
            </w:tcBorders>
            <w:vAlign w:val="center"/>
          </w:tcPr>
          <w:p w14:paraId="7A1FDE31">
            <w:pPr>
              <w:spacing w:line="360" w:lineRule="auto"/>
              <w:jc w:val="center"/>
              <w:rPr>
                <w:rFonts w:hint="eastAsia" w:ascii="宋体" w:hAnsi="宋体" w:cs="仿宋_GB2312"/>
                <w:color w:val="auto"/>
                <w:szCs w:val="21"/>
                <w:highlight w:val="none"/>
              </w:rPr>
            </w:pPr>
            <w:r>
              <w:rPr>
                <w:rFonts w:hint="eastAsia" w:cs="仿宋" w:asciiTheme="minorEastAsia" w:hAnsiTheme="minorEastAsia"/>
                <w:color w:val="000000"/>
                <w:szCs w:val="21"/>
                <w:lang w:val="en-US" w:eastAsia="zh-CN"/>
              </w:rPr>
              <w:t>超融合一体机</w:t>
            </w:r>
          </w:p>
        </w:tc>
        <w:tc>
          <w:tcPr>
            <w:tcW w:w="2865" w:type="dxa"/>
            <w:tcBorders>
              <w:top w:val="single" w:color="auto" w:sz="4" w:space="0"/>
              <w:left w:val="single" w:color="auto" w:sz="4" w:space="0"/>
              <w:bottom w:val="single" w:color="auto" w:sz="4" w:space="0"/>
              <w:right w:val="single" w:color="auto" w:sz="4" w:space="0"/>
            </w:tcBorders>
            <w:vAlign w:val="center"/>
          </w:tcPr>
          <w:p w14:paraId="339BE6C7">
            <w:pPr>
              <w:spacing w:line="360" w:lineRule="auto"/>
              <w:jc w:val="center"/>
              <w:rPr>
                <w:rFonts w:hint="eastAsia" w:ascii="宋体" w:hAnsi="宋体" w:cs="仿宋_GB2312"/>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7EF12633">
            <w:pPr>
              <w:spacing w:line="360" w:lineRule="exact"/>
              <w:jc w:val="center"/>
              <w:rPr>
                <w:rFonts w:hint="eastAsia" w:ascii="宋体" w:hAnsi="宋体" w:eastAsia="宋体" w:cs="仿宋_GB2312"/>
                <w:b/>
                <w:bCs/>
                <w:color w:val="auto"/>
                <w:szCs w:val="21"/>
                <w:highlight w:val="none"/>
                <w:lang w:val="en-US" w:eastAsia="zh-CN"/>
              </w:rPr>
            </w:pPr>
          </w:p>
        </w:tc>
        <w:tc>
          <w:tcPr>
            <w:tcW w:w="1590" w:type="dxa"/>
            <w:tcBorders>
              <w:top w:val="single" w:color="auto" w:sz="4" w:space="0"/>
              <w:left w:val="single" w:color="auto" w:sz="4" w:space="0"/>
              <w:bottom w:val="single" w:color="auto" w:sz="4" w:space="0"/>
              <w:right w:val="single" w:color="auto" w:sz="4" w:space="0"/>
            </w:tcBorders>
            <w:vAlign w:val="center"/>
          </w:tcPr>
          <w:p w14:paraId="04535E6E">
            <w:pPr>
              <w:spacing w:line="360" w:lineRule="exact"/>
              <w:jc w:val="center"/>
              <w:rPr>
                <w:rFonts w:hint="eastAsia" w:ascii="宋体" w:hAnsi="宋体" w:eastAsia="宋体" w:cs="仿宋_GB2312"/>
                <w:b/>
                <w:bCs/>
                <w:color w:val="auto"/>
                <w:szCs w:val="21"/>
                <w:highlight w:val="none"/>
                <w:lang w:val="en-US" w:eastAsia="zh-CN"/>
              </w:rPr>
            </w:pPr>
          </w:p>
        </w:tc>
        <w:tc>
          <w:tcPr>
            <w:tcW w:w="1445" w:type="dxa"/>
            <w:tcBorders>
              <w:top w:val="single" w:color="auto" w:sz="4" w:space="0"/>
              <w:left w:val="single" w:color="auto" w:sz="4" w:space="0"/>
              <w:bottom w:val="single" w:color="auto" w:sz="4" w:space="0"/>
              <w:right w:val="single" w:color="auto" w:sz="4" w:space="0"/>
            </w:tcBorders>
            <w:vAlign w:val="center"/>
          </w:tcPr>
          <w:p w14:paraId="0D5A44A8">
            <w:pPr>
              <w:spacing w:line="360" w:lineRule="auto"/>
              <w:jc w:val="center"/>
              <w:rPr>
                <w:rFonts w:hint="eastAsia" w:ascii="宋体" w:hAnsi="宋体" w:cs="仿宋_GB2312"/>
                <w:color w:val="auto"/>
                <w:szCs w:val="21"/>
                <w:highlight w:val="none"/>
              </w:rPr>
            </w:pPr>
          </w:p>
        </w:tc>
        <w:tc>
          <w:tcPr>
            <w:tcW w:w="2383" w:type="dxa"/>
            <w:tcBorders>
              <w:top w:val="single" w:color="auto" w:sz="4" w:space="0"/>
              <w:left w:val="single" w:color="auto" w:sz="4" w:space="0"/>
              <w:bottom w:val="single" w:color="auto" w:sz="4" w:space="0"/>
              <w:right w:val="single" w:color="auto" w:sz="4" w:space="0"/>
            </w:tcBorders>
            <w:vAlign w:val="center"/>
          </w:tcPr>
          <w:p w14:paraId="5B089854">
            <w:pPr>
              <w:spacing w:line="360" w:lineRule="auto"/>
              <w:jc w:val="center"/>
              <w:rPr>
                <w:rFonts w:hint="eastAsia" w:ascii="宋体" w:hAnsi="宋体" w:cs="仿宋_GB2312"/>
                <w:color w:val="auto"/>
                <w:szCs w:val="21"/>
                <w:highlight w:val="none"/>
              </w:rPr>
            </w:pPr>
          </w:p>
        </w:tc>
      </w:tr>
      <w:tr w14:paraId="6262DE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743A395D">
            <w:pPr>
              <w:spacing w:line="360" w:lineRule="auto"/>
              <w:jc w:val="center"/>
              <w:rPr>
                <w:rFonts w:hint="eastAsia" w:ascii="宋体" w:hAnsi="宋体" w:cs="仿宋_GB2312"/>
                <w:color w:val="auto"/>
                <w:szCs w:val="21"/>
                <w:highlight w:val="none"/>
              </w:rPr>
            </w:pPr>
            <w:r>
              <w:rPr>
                <w:rFonts w:hint="eastAsia" w:ascii="宋体" w:hAnsi="宋体" w:cs="仿宋_GB2312"/>
                <w:color w:val="auto"/>
                <w:szCs w:val="21"/>
                <w:highlight w:val="none"/>
              </w:rPr>
              <w:t>2</w:t>
            </w:r>
          </w:p>
        </w:tc>
        <w:tc>
          <w:tcPr>
            <w:tcW w:w="4343" w:type="dxa"/>
            <w:tcBorders>
              <w:top w:val="single" w:color="auto" w:sz="4" w:space="0"/>
              <w:left w:val="single" w:color="auto" w:sz="4" w:space="0"/>
              <w:bottom w:val="single" w:color="auto" w:sz="4" w:space="0"/>
              <w:right w:val="single" w:color="auto" w:sz="4" w:space="0"/>
            </w:tcBorders>
            <w:vAlign w:val="center"/>
          </w:tcPr>
          <w:p w14:paraId="78B7AC7A">
            <w:pPr>
              <w:spacing w:line="360" w:lineRule="auto"/>
              <w:jc w:val="center"/>
              <w:rPr>
                <w:rFonts w:hint="eastAsia" w:ascii="宋体" w:hAnsi="宋体" w:cs="仿宋_GB2312"/>
                <w:color w:val="auto"/>
                <w:szCs w:val="21"/>
                <w:highlight w:val="none"/>
              </w:rPr>
            </w:pPr>
            <w:r>
              <w:rPr>
                <w:rFonts w:hint="eastAsia" w:cs="仿宋" w:asciiTheme="minorEastAsia" w:hAnsiTheme="minorEastAsia"/>
                <w:color w:val="000000"/>
                <w:szCs w:val="21"/>
                <w:lang w:val="en-US" w:eastAsia="zh-CN"/>
              </w:rPr>
              <w:t>国产化服务器虚拟化软件授权</w:t>
            </w:r>
          </w:p>
        </w:tc>
        <w:tc>
          <w:tcPr>
            <w:tcW w:w="2865" w:type="dxa"/>
            <w:tcBorders>
              <w:top w:val="single" w:color="auto" w:sz="4" w:space="0"/>
              <w:left w:val="single" w:color="auto" w:sz="4" w:space="0"/>
              <w:bottom w:val="single" w:color="auto" w:sz="4" w:space="0"/>
              <w:right w:val="single" w:color="auto" w:sz="4" w:space="0"/>
            </w:tcBorders>
            <w:vAlign w:val="center"/>
          </w:tcPr>
          <w:p w14:paraId="3960C2BA">
            <w:pPr>
              <w:spacing w:line="360" w:lineRule="auto"/>
              <w:jc w:val="center"/>
              <w:rPr>
                <w:rFonts w:hint="eastAsia" w:ascii="宋体" w:hAnsi="宋体" w:cs="仿宋_GB2312"/>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501B1D88">
            <w:pPr>
              <w:spacing w:line="360" w:lineRule="exact"/>
              <w:jc w:val="center"/>
              <w:rPr>
                <w:rFonts w:hint="eastAsia" w:ascii="宋体" w:hAnsi="宋体" w:cs="仿宋_GB2312"/>
                <w:b/>
                <w:bCs/>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3B48BA95">
            <w:pPr>
              <w:spacing w:line="360" w:lineRule="exact"/>
              <w:jc w:val="center"/>
              <w:rPr>
                <w:rFonts w:hint="eastAsia" w:ascii="宋体" w:hAnsi="宋体" w:cs="仿宋_GB2312"/>
                <w:b/>
                <w:bCs/>
                <w:color w:val="auto"/>
                <w:szCs w:val="21"/>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702AA73D">
            <w:pPr>
              <w:spacing w:line="360" w:lineRule="auto"/>
              <w:jc w:val="center"/>
              <w:rPr>
                <w:rFonts w:hint="eastAsia" w:ascii="宋体" w:hAnsi="宋体" w:cs="仿宋_GB2312"/>
                <w:color w:val="auto"/>
                <w:szCs w:val="21"/>
                <w:highlight w:val="none"/>
              </w:rPr>
            </w:pPr>
          </w:p>
        </w:tc>
        <w:tc>
          <w:tcPr>
            <w:tcW w:w="2383" w:type="dxa"/>
            <w:tcBorders>
              <w:top w:val="single" w:color="auto" w:sz="4" w:space="0"/>
              <w:left w:val="single" w:color="auto" w:sz="4" w:space="0"/>
              <w:bottom w:val="single" w:color="auto" w:sz="4" w:space="0"/>
              <w:right w:val="single" w:color="auto" w:sz="4" w:space="0"/>
            </w:tcBorders>
            <w:vAlign w:val="center"/>
          </w:tcPr>
          <w:p w14:paraId="2F5EC972">
            <w:pPr>
              <w:spacing w:line="360" w:lineRule="auto"/>
              <w:jc w:val="center"/>
              <w:rPr>
                <w:rFonts w:hint="eastAsia" w:ascii="宋体" w:hAnsi="宋体" w:cs="仿宋_GB2312"/>
                <w:color w:val="auto"/>
                <w:szCs w:val="21"/>
                <w:highlight w:val="none"/>
              </w:rPr>
            </w:pPr>
          </w:p>
        </w:tc>
      </w:tr>
      <w:tr w14:paraId="2D73B3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06055889">
            <w:pPr>
              <w:spacing w:line="360" w:lineRule="auto"/>
              <w:jc w:val="center"/>
              <w:rPr>
                <w:rFonts w:hint="eastAsia" w:ascii="宋体" w:hAnsi="宋体" w:eastAsia="宋体" w:cs="仿宋_GB2312"/>
                <w:color w:val="auto"/>
                <w:szCs w:val="21"/>
                <w:highlight w:val="none"/>
                <w:lang w:eastAsia="zh-CN"/>
              </w:rPr>
            </w:pPr>
            <w:r>
              <w:rPr>
                <w:rFonts w:hint="eastAsia" w:ascii="宋体" w:hAnsi="宋体" w:cs="仿宋_GB2312"/>
                <w:color w:val="auto"/>
                <w:szCs w:val="21"/>
                <w:highlight w:val="none"/>
                <w:lang w:val="en-US" w:eastAsia="zh-CN"/>
              </w:rPr>
              <w:t>3</w:t>
            </w:r>
          </w:p>
        </w:tc>
        <w:tc>
          <w:tcPr>
            <w:tcW w:w="4343" w:type="dxa"/>
            <w:tcBorders>
              <w:top w:val="single" w:color="auto" w:sz="4" w:space="0"/>
              <w:left w:val="single" w:color="auto" w:sz="4" w:space="0"/>
              <w:bottom w:val="single" w:color="auto" w:sz="4" w:space="0"/>
              <w:right w:val="single" w:color="auto" w:sz="4" w:space="0"/>
            </w:tcBorders>
            <w:vAlign w:val="center"/>
          </w:tcPr>
          <w:p w14:paraId="16223067">
            <w:pPr>
              <w:spacing w:line="360" w:lineRule="auto"/>
              <w:jc w:val="center"/>
              <w:rPr>
                <w:rFonts w:hint="eastAsia" w:ascii="宋体" w:hAnsi="宋体" w:cs="仿宋_GB2312"/>
                <w:color w:val="auto"/>
                <w:szCs w:val="21"/>
                <w:highlight w:val="none"/>
              </w:rPr>
            </w:pPr>
            <w:r>
              <w:rPr>
                <w:rFonts w:hint="eastAsia" w:cs="仿宋" w:asciiTheme="minorEastAsia" w:hAnsiTheme="minorEastAsia"/>
                <w:color w:val="000000"/>
                <w:szCs w:val="21"/>
                <w:lang w:val="en-US" w:eastAsia="zh-CN"/>
              </w:rPr>
              <w:t>服务器虚拟化软件授权</w:t>
            </w:r>
          </w:p>
        </w:tc>
        <w:tc>
          <w:tcPr>
            <w:tcW w:w="2865" w:type="dxa"/>
            <w:tcBorders>
              <w:top w:val="single" w:color="auto" w:sz="4" w:space="0"/>
              <w:left w:val="single" w:color="auto" w:sz="4" w:space="0"/>
              <w:bottom w:val="single" w:color="auto" w:sz="4" w:space="0"/>
              <w:right w:val="single" w:color="auto" w:sz="4" w:space="0"/>
            </w:tcBorders>
            <w:vAlign w:val="center"/>
          </w:tcPr>
          <w:p w14:paraId="38A78E79">
            <w:pPr>
              <w:spacing w:line="360" w:lineRule="auto"/>
              <w:jc w:val="center"/>
              <w:rPr>
                <w:rFonts w:hint="eastAsia" w:ascii="宋体" w:hAnsi="宋体" w:cs="仿宋_GB2312"/>
                <w:color w:val="auto"/>
                <w:szCs w:val="21"/>
                <w:highlight w:val="none"/>
              </w:rPr>
            </w:pPr>
          </w:p>
        </w:tc>
        <w:tc>
          <w:tcPr>
            <w:tcW w:w="1050" w:type="dxa"/>
            <w:tcBorders>
              <w:top w:val="single" w:color="auto" w:sz="4" w:space="0"/>
              <w:left w:val="single" w:color="auto" w:sz="4" w:space="0"/>
              <w:bottom w:val="single" w:color="auto" w:sz="4" w:space="0"/>
              <w:right w:val="single" w:color="auto" w:sz="4" w:space="0"/>
            </w:tcBorders>
            <w:vAlign w:val="center"/>
          </w:tcPr>
          <w:p w14:paraId="0F11947F">
            <w:pPr>
              <w:spacing w:line="360" w:lineRule="exact"/>
              <w:jc w:val="center"/>
              <w:rPr>
                <w:rFonts w:hint="eastAsia" w:ascii="宋体" w:hAnsi="宋体" w:cs="仿宋_GB2312"/>
                <w:b/>
                <w:bCs/>
                <w:color w:val="auto"/>
                <w:szCs w:val="21"/>
                <w:highlight w:val="none"/>
              </w:rPr>
            </w:pPr>
          </w:p>
        </w:tc>
        <w:tc>
          <w:tcPr>
            <w:tcW w:w="1590" w:type="dxa"/>
            <w:tcBorders>
              <w:top w:val="single" w:color="auto" w:sz="4" w:space="0"/>
              <w:left w:val="single" w:color="auto" w:sz="4" w:space="0"/>
              <w:bottom w:val="single" w:color="auto" w:sz="4" w:space="0"/>
              <w:right w:val="single" w:color="auto" w:sz="4" w:space="0"/>
            </w:tcBorders>
            <w:vAlign w:val="center"/>
          </w:tcPr>
          <w:p w14:paraId="307A8C20">
            <w:pPr>
              <w:spacing w:line="360" w:lineRule="exact"/>
              <w:jc w:val="center"/>
              <w:rPr>
                <w:rFonts w:hint="eastAsia" w:ascii="宋体" w:hAnsi="宋体" w:cs="仿宋_GB2312"/>
                <w:b/>
                <w:bCs/>
                <w:color w:val="auto"/>
                <w:szCs w:val="21"/>
                <w:highlight w:val="none"/>
              </w:rPr>
            </w:pPr>
          </w:p>
        </w:tc>
        <w:tc>
          <w:tcPr>
            <w:tcW w:w="1445" w:type="dxa"/>
            <w:tcBorders>
              <w:top w:val="single" w:color="auto" w:sz="4" w:space="0"/>
              <w:left w:val="single" w:color="auto" w:sz="4" w:space="0"/>
              <w:bottom w:val="single" w:color="auto" w:sz="4" w:space="0"/>
              <w:right w:val="single" w:color="auto" w:sz="4" w:space="0"/>
            </w:tcBorders>
            <w:vAlign w:val="center"/>
          </w:tcPr>
          <w:p w14:paraId="685E861C">
            <w:pPr>
              <w:spacing w:line="360" w:lineRule="auto"/>
              <w:jc w:val="center"/>
              <w:rPr>
                <w:rFonts w:hint="eastAsia" w:ascii="宋体" w:hAnsi="宋体" w:cs="仿宋_GB2312"/>
                <w:color w:val="auto"/>
                <w:szCs w:val="21"/>
                <w:highlight w:val="none"/>
              </w:rPr>
            </w:pPr>
          </w:p>
        </w:tc>
        <w:tc>
          <w:tcPr>
            <w:tcW w:w="2383" w:type="dxa"/>
            <w:tcBorders>
              <w:top w:val="single" w:color="auto" w:sz="4" w:space="0"/>
              <w:left w:val="single" w:color="auto" w:sz="4" w:space="0"/>
              <w:bottom w:val="single" w:color="auto" w:sz="4" w:space="0"/>
              <w:right w:val="single" w:color="auto" w:sz="4" w:space="0"/>
            </w:tcBorders>
            <w:vAlign w:val="center"/>
          </w:tcPr>
          <w:p w14:paraId="0D4BBBE3">
            <w:pPr>
              <w:spacing w:line="360" w:lineRule="auto"/>
              <w:jc w:val="center"/>
              <w:rPr>
                <w:rFonts w:hint="eastAsia" w:ascii="宋体" w:hAnsi="宋体" w:cs="仿宋_GB2312"/>
                <w:color w:val="auto"/>
                <w:szCs w:val="21"/>
                <w:highlight w:val="none"/>
              </w:rPr>
            </w:pPr>
          </w:p>
        </w:tc>
      </w:tr>
      <w:tr w14:paraId="6853EF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14514" w:type="dxa"/>
            <w:gridSpan w:val="7"/>
            <w:tcBorders>
              <w:top w:val="single" w:color="auto" w:sz="4" w:space="0"/>
              <w:left w:val="single" w:color="auto" w:sz="4" w:space="0"/>
              <w:bottom w:val="single" w:color="auto" w:sz="4" w:space="0"/>
              <w:right w:val="single" w:color="auto" w:sz="4" w:space="0"/>
            </w:tcBorders>
            <w:vAlign w:val="center"/>
          </w:tcPr>
          <w:p w14:paraId="1D0F2039">
            <w:pPr>
              <w:snapToGrid w:val="0"/>
              <w:spacing w:line="360" w:lineRule="auto"/>
              <w:rPr>
                <w:rFonts w:hint="eastAsia" w:ascii="宋体" w:hAnsi="宋体" w:cs="仿宋_GB2312"/>
                <w:color w:val="auto"/>
                <w:szCs w:val="21"/>
                <w:highlight w:val="none"/>
                <w:u w:val="single"/>
              </w:rPr>
            </w:pPr>
            <w:r>
              <w:rPr>
                <w:rFonts w:hint="eastAsia" w:ascii="宋体" w:hAnsi="宋体" w:cs="仿宋_GB2312"/>
                <w:color w:val="auto"/>
                <w:szCs w:val="21"/>
                <w:highlight w:val="none"/>
              </w:rPr>
              <w:t>合计金额大写：人民币      （</w:t>
            </w:r>
            <w:r>
              <w:rPr>
                <w:rFonts w:hint="eastAsia" w:ascii="宋体" w:hAnsi="宋体" w:cs="宋体"/>
                <w:color w:val="auto"/>
                <w:szCs w:val="21"/>
                <w:highlight w:val="none"/>
              </w:rPr>
              <w:t>￥</w:t>
            </w:r>
            <w:r>
              <w:rPr>
                <w:rFonts w:hint="eastAsia" w:ascii="宋体" w:hAnsi="宋体" w:cs="仿宋_GB2312"/>
                <w:color w:val="auto"/>
                <w:szCs w:val="21"/>
                <w:highlight w:val="none"/>
              </w:rPr>
              <w:t>：   ）</w:t>
            </w:r>
          </w:p>
        </w:tc>
      </w:tr>
    </w:tbl>
    <w:p w14:paraId="7720247B">
      <w:pPr>
        <w:spacing w:line="360" w:lineRule="exact"/>
        <w:ind w:firstLine="420" w:firstLineChars="200"/>
        <w:contextualSpacing/>
        <w:rPr>
          <w:rFonts w:hint="eastAsia" w:ascii="宋体" w:hAnsi="宋体"/>
          <w:color w:val="auto"/>
          <w:szCs w:val="21"/>
          <w:highlight w:val="none"/>
        </w:rPr>
      </w:pPr>
      <w:r>
        <w:rPr>
          <w:rFonts w:hint="eastAsia" w:ascii="宋体" w:hAnsi="宋体"/>
          <w:color w:val="auto"/>
          <w:szCs w:val="21"/>
          <w:highlight w:val="none"/>
        </w:rPr>
        <w:t>注: 1.所有价格均用人民币表示，单位为元，精确到小数点后两数位。</w:t>
      </w:r>
    </w:p>
    <w:p w14:paraId="27247D31">
      <w:pPr>
        <w:spacing w:line="360" w:lineRule="exact"/>
        <w:ind w:firstLine="840" w:firstLineChars="400"/>
        <w:contextualSpacing/>
        <w:rPr>
          <w:rFonts w:hint="eastAsia" w:ascii="宋体" w:hAnsi="宋体"/>
          <w:color w:val="auto"/>
          <w:szCs w:val="21"/>
          <w:highlight w:val="none"/>
        </w:rPr>
      </w:pPr>
      <w:r>
        <w:rPr>
          <w:rFonts w:hint="eastAsia" w:ascii="宋体" w:hAnsi="宋体"/>
          <w:color w:val="auto"/>
          <w:szCs w:val="21"/>
          <w:highlight w:val="none"/>
        </w:rPr>
        <w:t>2、供应商的报价表必须加盖供应商公章并由法定代表人或者委托代理人签字，否则其响应文件按无效响应处理。</w:t>
      </w:r>
    </w:p>
    <w:p w14:paraId="3DE39A0A">
      <w:pPr>
        <w:spacing w:line="360" w:lineRule="exact"/>
        <w:ind w:firstLine="840" w:firstLineChars="400"/>
        <w:contextualSpacing/>
        <w:rPr>
          <w:rFonts w:hint="eastAsia" w:ascii="宋体" w:hAnsi="宋体"/>
          <w:color w:val="auto"/>
          <w:szCs w:val="21"/>
          <w:highlight w:val="none"/>
        </w:rPr>
      </w:pPr>
      <w:r>
        <w:rPr>
          <w:rFonts w:hint="eastAsia" w:ascii="宋体" w:hAnsi="宋体"/>
          <w:color w:val="auto"/>
          <w:szCs w:val="21"/>
          <w:highlight w:val="none"/>
        </w:rPr>
        <w:t>3、报价一经涂改，应在涂改处加盖供应商公章或者由法定代表人或者授权委托人签字或者盖章，否则其响应文件按无效响应处理。</w:t>
      </w:r>
    </w:p>
    <w:p w14:paraId="5F995848">
      <w:pPr>
        <w:spacing w:line="360" w:lineRule="exact"/>
        <w:contextualSpacing/>
        <w:rPr>
          <w:rFonts w:hint="eastAsia" w:ascii="宋体" w:hAnsi="宋体"/>
          <w:color w:val="auto"/>
          <w:szCs w:val="21"/>
          <w:highlight w:val="none"/>
        </w:rPr>
      </w:pPr>
    </w:p>
    <w:p w14:paraId="18DCBC84">
      <w:pPr>
        <w:spacing w:line="360" w:lineRule="auto"/>
        <w:ind w:right="-817" w:rightChars="-389" w:firstLine="5460" w:firstLineChars="2600"/>
        <w:contextualSpacing/>
        <w:rPr>
          <w:rFonts w:hint="eastAsia" w:ascii="宋体" w:hAnsi="宋体" w:cs="仿宋_GB2312"/>
          <w:color w:val="auto"/>
          <w:szCs w:val="21"/>
          <w:highlight w:val="none"/>
        </w:rPr>
      </w:pPr>
      <w:r>
        <w:rPr>
          <w:rFonts w:hint="eastAsia" w:ascii="宋体" w:hAnsi="宋体" w:cs="仿宋_GB2312"/>
          <w:color w:val="auto"/>
          <w:szCs w:val="21"/>
          <w:highlight w:val="none"/>
        </w:rPr>
        <w:t xml:space="preserve">法定代表人或者委托代理人（签字）：                    </w:t>
      </w:r>
    </w:p>
    <w:p w14:paraId="6738DF2E">
      <w:pPr>
        <w:spacing w:line="360" w:lineRule="auto"/>
        <w:ind w:right="-817" w:rightChars="-389" w:firstLine="7140" w:firstLineChars="3400"/>
        <w:contextualSpacing/>
        <w:rPr>
          <w:rFonts w:hint="eastAsia" w:ascii="宋体" w:hAnsi="宋体" w:cs="仿宋_GB2312"/>
          <w:color w:val="auto"/>
          <w:szCs w:val="21"/>
          <w:highlight w:val="none"/>
        </w:rPr>
      </w:pPr>
      <w:r>
        <w:rPr>
          <w:rFonts w:hint="eastAsia" w:ascii="宋体" w:hAnsi="宋体" w:cs="仿宋_GB2312"/>
          <w:color w:val="auto"/>
          <w:szCs w:val="21"/>
          <w:highlight w:val="none"/>
        </w:rPr>
        <w:t xml:space="preserve">供应商（盖公章）：      </w:t>
      </w:r>
    </w:p>
    <w:p w14:paraId="0BD6CFA4">
      <w:pPr>
        <w:spacing w:line="360" w:lineRule="auto"/>
        <w:ind w:right="-817" w:rightChars="-389" w:firstLine="8190" w:firstLineChars="3900"/>
        <w:contextualSpacing/>
        <w:rPr>
          <w:rFonts w:hint="eastAsia" w:ascii="宋体" w:hAnsi="宋体" w:cs="仿宋_GB2312"/>
          <w:color w:val="auto"/>
          <w:szCs w:val="21"/>
          <w:highlight w:val="none"/>
        </w:rPr>
      </w:pPr>
      <w:r>
        <w:rPr>
          <w:rFonts w:hint="eastAsia" w:ascii="宋体" w:hAnsi="宋体" w:cs="仿宋_GB2312"/>
          <w:color w:val="auto"/>
          <w:szCs w:val="21"/>
          <w:highlight w:val="none"/>
        </w:rPr>
        <w:t>日 期：   年   月   日</w:t>
      </w:r>
    </w:p>
    <w:p w14:paraId="1323BCA2">
      <w:pPr>
        <w:spacing w:line="360" w:lineRule="auto"/>
        <w:ind w:right="-817" w:rightChars="-389" w:firstLine="8190" w:firstLineChars="3900"/>
        <w:contextualSpacing/>
        <w:rPr>
          <w:rFonts w:hint="eastAsia" w:ascii="宋体" w:hAnsi="宋体" w:cs="仿宋_GB2312"/>
          <w:color w:val="auto"/>
          <w:szCs w:val="21"/>
          <w:highlight w:val="none"/>
        </w:rPr>
      </w:pPr>
    </w:p>
    <w:p w14:paraId="2474CA1C">
      <w:pPr>
        <w:spacing w:line="360" w:lineRule="auto"/>
        <w:ind w:right="-817" w:rightChars="-389" w:firstLine="8190" w:firstLineChars="3900"/>
        <w:contextualSpacing/>
        <w:rPr>
          <w:rFonts w:hint="eastAsia" w:ascii="宋体" w:hAnsi="宋体" w:cs="仿宋_GB2312"/>
          <w:color w:val="auto"/>
          <w:szCs w:val="21"/>
          <w:highlight w:val="none"/>
        </w:rPr>
      </w:pPr>
    </w:p>
    <w:p w14:paraId="53A85A38">
      <w:pPr>
        <w:spacing w:line="360" w:lineRule="auto"/>
        <w:ind w:right="-817" w:rightChars="-389" w:firstLine="8190" w:firstLineChars="3900"/>
        <w:contextualSpacing/>
        <w:rPr>
          <w:rFonts w:hint="eastAsia" w:ascii="宋体" w:hAnsi="宋体" w:cs="仿宋_GB2312"/>
          <w:color w:val="auto"/>
          <w:szCs w:val="21"/>
          <w:highlight w:val="none"/>
        </w:rPr>
      </w:pPr>
    </w:p>
    <w:p w14:paraId="51D3433C">
      <w:pPr>
        <w:spacing w:line="360" w:lineRule="auto"/>
        <w:ind w:right="-817" w:rightChars="-389" w:firstLine="8190" w:firstLineChars="3900"/>
        <w:contextualSpacing/>
        <w:rPr>
          <w:rFonts w:hint="eastAsia" w:ascii="宋体" w:hAnsi="宋体" w:cs="仿宋_GB2312"/>
          <w:color w:val="auto"/>
          <w:szCs w:val="21"/>
          <w:highlight w:val="none"/>
        </w:rPr>
      </w:pPr>
    </w:p>
    <w:p w14:paraId="2F3FAB2E">
      <w:pPr>
        <w:spacing w:line="360" w:lineRule="auto"/>
        <w:ind w:right="-817" w:rightChars="-389" w:firstLine="8190" w:firstLineChars="3900"/>
        <w:contextualSpacing/>
        <w:rPr>
          <w:rFonts w:hint="eastAsia" w:ascii="宋体" w:hAnsi="宋体" w:cs="仿宋_GB2312"/>
          <w:color w:val="auto"/>
          <w:szCs w:val="21"/>
          <w:highlight w:val="none"/>
        </w:rPr>
      </w:pPr>
    </w:p>
    <w:p w14:paraId="46A6633B">
      <w:pPr>
        <w:adjustRightInd w:val="0"/>
        <w:snapToGrid w:val="0"/>
        <w:spacing w:line="520" w:lineRule="exact"/>
        <w:jc w:val="center"/>
        <w:rPr>
          <w:rFonts w:hint="eastAsia" w:ascii="方正小标宋简体" w:hAnsi="方正小标宋简体" w:eastAsia="方正小标宋简体" w:cs="方正小标宋简体"/>
          <w:bCs/>
          <w:sz w:val="44"/>
          <w:szCs w:val="44"/>
          <w:highlight w:val="none"/>
        </w:rPr>
      </w:pPr>
      <w:r>
        <w:rPr>
          <w:rFonts w:hint="eastAsia" w:ascii="宋体" w:hAnsi="宋体"/>
          <w:b/>
          <w:sz w:val="44"/>
          <w:szCs w:val="44"/>
          <w:highlight w:val="none"/>
        </w:rPr>
        <w:t>货物技术参数配置清单</w:t>
      </w:r>
    </w:p>
    <w:p w14:paraId="7118F3EA">
      <w:pPr>
        <w:spacing w:line="360" w:lineRule="auto"/>
        <w:rPr>
          <w:rFonts w:hint="eastAsia" w:ascii="宋体" w:hAnsi="宋体"/>
          <w:szCs w:val="21"/>
          <w:highlight w:val="none"/>
        </w:rPr>
      </w:pPr>
      <w:r>
        <w:rPr>
          <w:rFonts w:hint="eastAsia" w:ascii="宋体" w:hAnsi="宋体"/>
          <w:szCs w:val="21"/>
          <w:highlight w:val="none"/>
        </w:rPr>
        <w:t xml:space="preserve">项目名称： </w:t>
      </w:r>
    </w:p>
    <w:tbl>
      <w:tblPr>
        <w:tblStyle w:val="7"/>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647"/>
        <w:gridCol w:w="3025"/>
        <w:gridCol w:w="816"/>
        <w:gridCol w:w="913"/>
        <w:gridCol w:w="1394"/>
        <w:gridCol w:w="1856"/>
        <w:gridCol w:w="1806"/>
        <w:gridCol w:w="1760"/>
        <w:gridCol w:w="3397"/>
      </w:tblGrid>
      <w:tr w14:paraId="2216C7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14:paraId="6149E5FC">
            <w:pPr>
              <w:snapToGrid w:val="0"/>
              <w:spacing w:before="50" w:after="50"/>
              <w:jc w:val="center"/>
              <w:rPr>
                <w:rFonts w:hint="eastAsia" w:ascii="宋体" w:hAnsi="宋体"/>
                <w:szCs w:val="21"/>
                <w:highlight w:val="none"/>
              </w:rPr>
            </w:pPr>
            <w:r>
              <w:rPr>
                <w:rFonts w:hint="eastAsia" w:ascii="宋体" w:hAnsi="宋体"/>
                <w:szCs w:val="21"/>
                <w:highlight w:val="none"/>
              </w:rPr>
              <w:t>序号</w:t>
            </w:r>
          </w:p>
        </w:tc>
        <w:tc>
          <w:tcPr>
            <w:tcW w:w="968" w:type="pct"/>
            <w:tcBorders>
              <w:top w:val="single" w:color="auto" w:sz="4" w:space="0"/>
              <w:left w:val="single" w:color="auto" w:sz="4" w:space="0"/>
              <w:bottom w:val="single" w:color="auto" w:sz="4" w:space="0"/>
              <w:right w:val="single" w:color="auto" w:sz="4" w:space="0"/>
            </w:tcBorders>
            <w:vAlign w:val="center"/>
          </w:tcPr>
          <w:p w14:paraId="21C8FE18">
            <w:pPr>
              <w:snapToGrid w:val="0"/>
              <w:spacing w:before="50" w:after="50"/>
              <w:jc w:val="center"/>
              <w:rPr>
                <w:rFonts w:hint="eastAsia" w:ascii="宋体" w:hAnsi="宋体"/>
                <w:szCs w:val="21"/>
                <w:highlight w:val="none"/>
              </w:rPr>
            </w:pPr>
            <w:r>
              <w:rPr>
                <w:rFonts w:hint="eastAsia" w:ascii="宋体" w:hAnsi="宋体"/>
                <w:szCs w:val="21"/>
                <w:highlight w:val="none"/>
              </w:rPr>
              <w:t>货物名称</w:t>
            </w:r>
          </w:p>
        </w:tc>
        <w:tc>
          <w:tcPr>
            <w:tcW w:w="261" w:type="pct"/>
            <w:tcBorders>
              <w:top w:val="single" w:color="auto" w:sz="4" w:space="0"/>
              <w:left w:val="single" w:color="auto" w:sz="4" w:space="0"/>
              <w:bottom w:val="single" w:color="auto" w:sz="4" w:space="0"/>
              <w:right w:val="single" w:color="auto" w:sz="4" w:space="0"/>
            </w:tcBorders>
            <w:vAlign w:val="center"/>
          </w:tcPr>
          <w:p w14:paraId="718827A2">
            <w:pPr>
              <w:snapToGrid w:val="0"/>
              <w:spacing w:before="50" w:after="50"/>
              <w:jc w:val="center"/>
              <w:rPr>
                <w:rFonts w:hint="eastAsia" w:ascii="宋体" w:hAnsi="宋体"/>
                <w:szCs w:val="21"/>
                <w:highlight w:val="none"/>
              </w:rPr>
            </w:pPr>
            <w:r>
              <w:rPr>
                <w:rFonts w:hint="eastAsia" w:ascii="宋体" w:hAnsi="宋体"/>
                <w:szCs w:val="21"/>
                <w:highlight w:val="none"/>
              </w:rPr>
              <w:t>单位</w:t>
            </w:r>
          </w:p>
        </w:tc>
        <w:tc>
          <w:tcPr>
            <w:tcW w:w="292" w:type="pct"/>
            <w:tcBorders>
              <w:top w:val="single" w:color="auto" w:sz="4" w:space="0"/>
              <w:left w:val="single" w:color="auto" w:sz="4" w:space="0"/>
              <w:bottom w:val="single" w:color="auto" w:sz="4" w:space="0"/>
              <w:right w:val="single" w:color="auto" w:sz="4" w:space="0"/>
            </w:tcBorders>
            <w:vAlign w:val="center"/>
          </w:tcPr>
          <w:p w14:paraId="4A8A17B4">
            <w:pPr>
              <w:snapToGrid w:val="0"/>
              <w:spacing w:before="50" w:after="50"/>
              <w:jc w:val="center"/>
              <w:rPr>
                <w:rFonts w:hint="eastAsia" w:ascii="宋体" w:hAnsi="宋体"/>
                <w:szCs w:val="21"/>
                <w:highlight w:val="none"/>
              </w:rPr>
            </w:pPr>
            <w:r>
              <w:rPr>
                <w:rFonts w:hint="eastAsia" w:ascii="宋体" w:hAnsi="宋体"/>
                <w:szCs w:val="21"/>
                <w:highlight w:val="none"/>
              </w:rPr>
              <w:t>数量</w:t>
            </w:r>
          </w:p>
        </w:tc>
        <w:tc>
          <w:tcPr>
            <w:tcW w:w="446" w:type="pct"/>
            <w:tcBorders>
              <w:top w:val="single" w:color="auto" w:sz="4" w:space="0"/>
              <w:left w:val="single" w:color="auto" w:sz="4" w:space="0"/>
              <w:bottom w:val="single" w:color="auto" w:sz="4" w:space="0"/>
              <w:right w:val="single" w:color="auto" w:sz="4" w:space="0"/>
            </w:tcBorders>
            <w:vAlign w:val="center"/>
          </w:tcPr>
          <w:p w14:paraId="4EDFBBC8">
            <w:pPr>
              <w:snapToGrid w:val="0"/>
              <w:spacing w:before="50" w:after="50"/>
              <w:jc w:val="center"/>
              <w:rPr>
                <w:rFonts w:hint="eastAsia" w:ascii="宋体" w:hAnsi="宋体"/>
                <w:szCs w:val="21"/>
                <w:highlight w:val="none"/>
              </w:rPr>
            </w:pPr>
            <w:r>
              <w:rPr>
                <w:rFonts w:hint="eastAsia" w:ascii="宋体" w:hAnsi="宋体"/>
                <w:szCs w:val="21"/>
                <w:highlight w:val="none"/>
              </w:rPr>
              <w:t>品牌</w:t>
            </w:r>
          </w:p>
        </w:tc>
        <w:tc>
          <w:tcPr>
            <w:tcW w:w="594" w:type="pct"/>
            <w:tcBorders>
              <w:top w:val="single" w:color="auto" w:sz="4" w:space="0"/>
              <w:left w:val="single" w:color="auto" w:sz="4" w:space="0"/>
              <w:bottom w:val="single" w:color="auto" w:sz="4" w:space="0"/>
              <w:right w:val="single" w:color="auto" w:sz="4" w:space="0"/>
            </w:tcBorders>
            <w:vAlign w:val="center"/>
          </w:tcPr>
          <w:p w14:paraId="0C72BE19">
            <w:pPr>
              <w:snapToGrid w:val="0"/>
              <w:spacing w:before="50" w:after="50"/>
              <w:jc w:val="center"/>
              <w:rPr>
                <w:rFonts w:hint="eastAsia" w:ascii="宋体" w:hAnsi="宋体"/>
                <w:szCs w:val="21"/>
                <w:highlight w:val="none"/>
              </w:rPr>
            </w:pPr>
            <w:r>
              <w:rPr>
                <w:rFonts w:hint="eastAsia" w:ascii="宋体" w:hAnsi="宋体"/>
                <w:szCs w:val="21"/>
                <w:highlight w:val="none"/>
              </w:rPr>
              <w:t>规格型号</w:t>
            </w:r>
          </w:p>
        </w:tc>
        <w:tc>
          <w:tcPr>
            <w:tcW w:w="578" w:type="pct"/>
            <w:tcBorders>
              <w:top w:val="single" w:color="auto" w:sz="4" w:space="0"/>
              <w:left w:val="single" w:color="auto" w:sz="4" w:space="0"/>
              <w:bottom w:val="single" w:color="auto" w:sz="4" w:space="0"/>
              <w:right w:val="single" w:color="auto" w:sz="4" w:space="0"/>
            </w:tcBorders>
            <w:vAlign w:val="center"/>
          </w:tcPr>
          <w:p w14:paraId="77C59776">
            <w:pPr>
              <w:snapToGrid w:val="0"/>
              <w:spacing w:before="50" w:after="50"/>
              <w:jc w:val="center"/>
              <w:rPr>
                <w:rFonts w:hint="eastAsia" w:ascii="宋体" w:hAnsi="宋体"/>
                <w:szCs w:val="21"/>
                <w:highlight w:val="none"/>
              </w:rPr>
            </w:pPr>
            <w:r>
              <w:rPr>
                <w:rFonts w:hint="eastAsia" w:ascii="宋体" w:hAnsi="宋体"/>
                <w:szCs w:val="21"/>
                <w:highlight w:val="none"/>
              </w:rPr>
              <w:t>制造商</w:t>
            </w:r>
          </w:p>
        </w:tc>
        <w:tc>
          <w:tcPr>
            <w:tcW w:w="563" w:type="pct"/>
            <w:tcBorders>
              <w:top w:val="single" w:color="auto" w:sz="4" w:space="0"/>
              <w:left w:val="single" w:color="auto" w:sz="4" w:space="0"/>
              <w:bottom w:val="single" w:color="auto" w:sz="4" w:space="0"/>
              <w:right w:val="single" w:color="auto" w:sz="4" w:space="0"/>
            </w:tcBorders>
            <w:vAlign w:val="center"/>
          </w:tcPr>
          <w:p w14:paraId="00DB263D">
            <w:pPr>
              <w:snapToGrid w:val="0"/>
              <w:spacing w:before="50" w:after="50"/>
              <w:jc w:val="center"/>
              <w:rPr>
                <w:rFonts w:hint="eastAsia" w:ascii="宋体" w:hAnsi="宋体"/>
                <w:szCs w:val="21"/>
                <w:highlight w:val="none"/>
              </w:rPr>
            </w:pPr>
            <w:r>
              <w:rPr>
                <w:rFonts w:hint="eastAsia" w:ascii="宋体" w:hAnsi="宋体"/>
                <w:szCs w:val="21"/>
                <w:highlight w:val="none"/>
              </w:rPr>
              <w:t>原产地</w:t>
            </w:r>
          </w:p>
        </w:tc>
        <w:tc>
          <w:tcPr>
            <w:tcW w:w="1087" w:type="pct"/>
            <w:tcBorders>
              <w:top w:val="single" w:color="auto" w:sz="4" w:space="0"/>
              <w:left w:val="single" w:color="auto" w:sz="4" w:space="0"/>
              <w:bottom w:val="single" w:color="auto" w:sz="4" w:space="0"/>
              <w:right w:val="single" w:color="auto" w:sz="4" w:space="0"/>
            </w:tcBorders>
            <w:vAlign w:val="center"/>
          </w:tcPr>
          <w:p w14:paraId="3C31E609">
            <w:pPr>
              <w:snapToGrid w:val="0"/>
              <w:spacing w:before="50" w:after="50"/>
              <w:jc w:val="center"/>
              <w:rPr>
                <w:rFonts w:hint="eastAsia" w:ascii="宋体" w:hAnsi="宋体"/>
                <w:szCs w:val="21"/>
                <w:highlight w:val="none"/>
              </w:rPr>
            </w:pPr>
            <w:r>
              <w:rPr>
                <w:rFonts w:hint="eastAsia" w:ascii="宋体" w:hAnsi="宋体"/>
                <w:szCs w:val="21"/>
                <w:highlight w:val="none"/>
              </w:rPr>
              <w:t>技术参数及性能配置</w:t>
            </w:r>
          </w:p>
        </w:tc>
      </w:tr>
      <w:tr w14:paraId="54FB45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207" w:type="pct"/>
            <w:tcBorders>
              <w:top w:val="single" w:color="auto" w:sz="4" w:space="0"/>
              <w:left w:val="single" w:color="auto" w:sz="4" w:space="0"/>
              <w:right w:val="single" w:color="auto" w:sz="4" w:space="0"/>
            </w:tcBorders>
            <w:vAlign w:val="center"/>
          </w:tcPr>
          <w:p w14:paraId="10205FDB">
            <w:pPr>
              <w:snapToGrid w:val="0"/>
              <w:spacing w:before="50" w:after="50"/>
              <w:jc w:val="center"/>
              <w:rPr>
                <w:rFonts w:hint="eastAsia" w:ascii="宋体" w:hAnsi="宋体"/>
                <w:szCs w:val="21"/>
                <w:highlight w:val="none"/>
              </w:rPr>
            </w:pPr>
            <w:r>
              <w:rPr>
                <w:rFonts w:hint="eastAsia" w:ascii="宋体" w:hAnsi="宋体"/>
                <w:szCs w:val="21"/>
                <w:highlight w:val="none"/>
              </w:rPr>
              <w:t>1</w:t>
            </w:r>
          </w:p>
        </w:tc>
        <w:tc>
          <w:tcPr>
            <w:tcW w:w="968" w:type="pct"/>
            <w:tcBorders>
              <w:top w:val="single" w:color="auto" w:sz="4" w:space="0"/>
              <w:left w:val="single" w:color="auto" w:sz="4" w:space="0"/>
              <w:bottom w:val="single" w:color="auto" w:sz="4" w:space="0"/>
              <w:right w:val="single" w:color="auto" w:sz="4" w:space="0"/>
            </w:tcBorders>
            <w:vAlign w:val="center"/>
          </w:tcPr>
          <w:p w14:paraId="1F74BB4F">
            <w:pPr>
              <w:spacing w:line="360" w:lineRule="auto"/>
              <w:jc w:val="center"/>
              <w:rPr>
                <w:rFonts w:hint="eastAsia" w:ascii="宋体" w:hAnsi="宋体"/>
                <w:szCs w:val="21"/>
                <w:highlight w:val="none"/>
              </w:rPr>
            </w:pPr>
            <w:r>
              <w:rPr>
                <w:rFonts w:hint="eastAsia" w:cs="仿宋" w:asciiTheme="minorEastAsia" w:hAnsiTheme="minorEastAsia"/>
                <w:color w:val="000000"/>
                <w:szCs w:val="21"/>
                <w:lang w:val="en-US" w:eastAsia="zh-CN"/>
              </w:rPr>
              <w:t>超融合一体机</w:t>
            </w:r>
          </w:p>
        </w:tc>
        <w:tc>
          <w:tcPr>
            <w:tcW w:w="261" w:type="pct"/>
            <w:tcBorders>
              <w:top w:val="single" w:color="auto" w:sz="4" w:space="0"/>
              <w:left w:val="single" w:color="auto" w:sz="4" w:space="0"/>
              <w:bottom w:val="single" w:color="auto" w:sz="4" w:space="0"/>
              <w:right w:val="single" w:color="auto" w:sz="4" w:space="0"/>
            </w:tcBorders>
            <w:vAlign w:val="center"/>
          </w:tcPr>
          <w:p w14:paraId="27877978">
            <w:pPr>
              <w:widowControl/>
              <w:jc w:val="center"/>
              <w:textAlignment w:val="center"/>
              <w:rPr>
                <w:rFonts w:hint="eastAsia" w:ascii="宋体" w:hAnsi="宋体"/>
                <w:szCs w:val="21"/>
                <w:highlight w:val="none"/>
              </w:rPr>
            </w:pPr>
          </w:p>
        </w:tc>
        <w:tc>
          <w:tcPr>
            <w:tcW w:w="292" w:type="pct"/>
            <w:tcBorders>
              <w:top w:val="single" w:color="auto" w:sz="4" w:space="0"/>
              <w:left w:val="single" w:color="auto" w:sz="4" w:space="0"/>
              <w:bottom w:val="single" w:color="auto" w:sz="4" w:space="0"/>
              <w:right w:val="single" w:color="auto" w:sz="4" w:space="0"/>
            </w:tcBorders>
            <w:vAlign w:val="center"/>
          </w:tcPr>
          <w:p w14:paraId="3476AD1A">
            <w:pPr>
              <w:widowControl/>
              <w:jc w:val="center"/>
              <w:textAlignment w:val="center"/>
              <w:rPr>
                <w:rFonts w:hint="eastAsia" w:ascii="宋体" w:hAnsi="宋体"/>
                <w:szCs w:val="21"/>
                <w:highlight w:val="none"/>
              </w:rPr>
            </w:pPr>
          </w:p>
        </w:tc>
        <w:tc>
          <w:tcPr>
            <w:tcW w:w="446" w:type="pct"/>
            <w:tcBorders>
              <w:top w:val="single" w:color="auto" w:sz="4" w:space="0"/>
              <w:left w:val="single" w:color="auto" w:sz="4" w:space="0"/>
              <w:bottom w:val="single" w:color="auto" w:sz="4" w:space="0"/>
              <w:right w:val="single" w:color="auto" w:sz="4" w:space="0"/>
            </w:tcBorders>
            <w:vAlign w:val="center"/>
          </w:tcPr>
          <w:p w14:paraId="29EC6CBE">
            <w:pPr>
              <w:snapToGrid w:val="0"/>
              <w:spacing w:before="50" w:after="50"/>
              <w:jc w:val="center"/>
              <w:rPr>
                <w:rFonts w:hint="eastAsia" w:ascii="宋体" w:hAnsi="宋体"/>
                <w:szCs w:val="21"/>
                <w:highlight w:val="none"/>
              </w:rPr>
            </w:pPr>
          </w:p>
        </w:tc>
        <w:tc>
          <w:tcPr>
            <w:tcW w:w="594" w:type="pct"/>
            <w:tcBorders>
              <w:top w:val="single" w:color="auto" w:sz="4" w:space="0"/>
              <w:left w:val="single" w:color="auto" w:sz="4" w:space="0"/>
              <w:bottom w:val="single" w:color="auto" w:sz="4" w:space="0"/>
              <w:right w:val="single" w:color="auto" w:sz="4" w:space="0"/>
            </w:tcBorders>
          </w:tcPr>
          <w:p w14:paraId="7DDCA39D">
            <w:pPr>
              <w:snapToGrid w:val="0"/>
              <w:spacing w:before="50" w:after="50"/>
              <w:jc w:val="center"/>
              <w:rPr>
                <w:rFonts w:hint="eastAsia" w:ascii="宋体" w:hAnsi="宋体"/>
                <w:szCs w:val="21"/>
                <w:highlight w:val="none"/>
              </w:rPr>
            </w:pPr>
          </w:p>
        </w:tc>
        <w:tc>
          <w:tcPr>
            <w:tcW w:w="578" w:type="pct"/>
            <w:tcBorders>
              <w:top w:val="single" w:color="auto" w:sz="4" w:space="0"/>
              <w:left w:val="single" w:color="auto" w:sz="4" w:space="0"/>
              <w:bottom w:val="single" w:color="auto" w:sz="4" w:space="0"/>
              <w:right w:val="single" w:color="auto" w:sz="4" w:space="0"/>
            </w:tcBorders>
            <w:vAlign w:val="center"/>
          </w:tcPr>
          <w:p w14:paraId="67285F6F">
            <w:pPr>
              <w:snapToGrid w:val="0"/>
              <w:spacing w:before="50" w:after="50"/>
              <w:jc w:val="center"/>
              <w:rPr>
                <w:rFonts w:hint="eastAsia" w:ascii="宋体" w:hAnsi="宋体"/>
                <w:szCs w:val="21"/>
                <w:highlight w:val="none"/>
              </w:rPr>
            </w:pPr>
          </w:p>
        </w:tc>
        <w:tc>
          <w:tcPr>
            <w:tcW w:w="563" w:type="pct"/>
            <w:tcBorders>
              <w:top w:val="single" w:color="auto" w:sz="4" w:space="0"/>
              <w:left w:val="single" w:color="auto" w:sz="4" w:space="0"/>
              <w:bottom w:val="single" w:color="auto" w:sz="4" w:space="0"/>
              <w:right w:val="single" w:color="auto" w:sz="4" w:space="0"/>
            </w:tcBorders>
            <w:vAlign w:val="center"/>
          </w:tcPr>
          <w:p w14:paraId="03DBD8F5">
            <w:pPr>
              <w:snapToGrid w:val="0"/>
              <w:spacing w:before="50" w:after="50"/>
              <w:jc w:val="center"/>
              <w:rPr>
                <w:rFonts w:hint="eastAsia" w:ascii="宋体" w:hAnsi="宋体"/>
                <w:szCs w:val="21"/>
                <w:highlight w:val="none"/>
              </w:rPr>
            </w:pPr>
          </w:p>
        </w:tc>
        <w:tc>
          <w:tcPr>
            <w:tcW w:w="1087" w:type="pct"/>
            <w:tcBorders>
              <w:top w:val="single" w:color="auto" w:sz="4" w:space="0"/>
              <w:left w:val="single" w:color="auto" w:sz="4" w:space="0"/>
              <w:bottom w:val="single" w:color="auto" w:sz="4" w:space="0"/>
              <w:right w:val="single" w:color="auto" w:sz="4" w:space="0"/>
            </w:tcBorders>
            <w:vAlign w:val="center"/>
          </w:tcPr>
          <w:p w14:paraId="4D02491A">
            <w:pPr>
              <w:snapToGrid w:val="0"/>
              <w:spacing w:before="50" w:after="50"/>
              <w:jc w:val="center"/>
              <w:rPr>
                <w:rFonts w:hint="eastAsia" w:ascii="宋体" w:hAnsi="宋体"/>
                <w:szCs w:val="21"/>
                <w:highlight w:val="none"/>
              </w:rPr>
            </w:pPr>
          </w:p>
        </w:tc>
      </w:tr>
      <w:tr w14:paraId="0B1B09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14:paraId="6C0B33CF">
            <w:pPr>
              <w:snapToGrid w:val="0"/>
              <w:spacing w:before="50" w:after="50"/>
              <w:jc w:val="center"/>
              <w:rPr>
                <w:rFonts w:hint="eastAsia" w:ascii="宋体" w:hAnsi="宋体"/>
                <w:szCs w:val="21"/>
                <w:highlight w:val="none"/>
              </w:rPr>
            </w:pPr>
            <w:r>
              <w:rPr>
                <w:rFonts w:hint="eastAsia" w:ascii="宋体" w:hAnsi="宋体"/>
                <w:szCs w:val="21"/>
                <w:highlight w:val="none"/>
              </w:rPr>
              <w:t>2</w:t>
            </w:r>
          </w:p>
        </w:tc>
        <w:tc>
          <w:tcPr>
            <w:tcW w:w="968" w:type="pct"/>
            <w:tcBorders>
              <w:top w:val="single" w:color="auto" w:sz="4" w:space="0"/>
              <w:left w:val="single" w:color="auto" w:sz="4" w:space="0"/>
              <w:bottom w:val="single" w:color="auto" w:sz="4" w:space="0"/>
              <w:right w:val="single" w:color="auto" w:sz="4" w:space="0"/>
            </w:tcBorders>
            <w:vAlign w:val="center"/>
          </w:tcPr>
          <w:p w14:paraId="4C8732D8">
            <w:pPr>
              <w:spacing w:line="360" w:lineRule="auto"/>
              <w:jc w:val="center"/>
              <w:rPr>
                <w:rFonts w:hint="eastAsia" w:ascii="宋体" w:hAnsi="宋体"/>
                <w:color w:val="000000"/>
                <w:kern w:val="0"/>
                <w:szCs w:val="21"/>
                <w:highlight w:val="none"/>
              </w:rPr>
            </w:pPr>
            <w:r>
              <w:rPr>
                <w:rFonts w:hint="eastAsia" w:cs="仿宋" w:asciiTheme="minorEastAsia" w:hAnsiTheme="minorEastAsia"/>
                <w:color w:val="000000"/>
                <w:szCs w:val="21"/>
                <w:lang w:val="en-US" w:eastAsia="zh-CN"/>
              </w:rPr>
              <w:t>国产化服务器虚拟化软件授权</w:t>
            </w:r>
          </w:p>
        </w:tc>
        <w:tc>
          <w:tcPr>
            <w:tcW w:w="261" w:type="pct"/>
            <w:tcBorders>
              <w:top w:val="single" w:color="auto" w:sz="4" w:space="0"/>
              <w:left w:val="single" w:color="auto" w:sz="4" w:space="0"/>
              <w:bottom w:val="single" w:color="auto" w:sz="4" w:space="0"/>
              <w:right w:val="single" w:color="auto" w:sz="4" w:space="0"/>
            </w:tcBorders>
            <w:vAlign w:val="center"/>
          </w:tcPr>
          <w:p w14:paraId="4E8CD63D">
            <w:pPr>
              <w:widowControl/>
              <w:jc w:val="center"/>
              <w:textAlignment w:val="center"/>
              <w:rPr>
                <w:rFonts w:hint="eastAsia" w:ascii="宋体" w:hAnsi="宋体"/>
                <w:szCs w:val="21"/>
                <w:highlight w:val="none"/>
              </w:rPr>
            </w:pPr>
          </w:p>
        </w:tc>
        <w:tc>
          <w:tcPr>
            <w:tcW w:w="292" w:type="pct"/>
            <w:tcBorders>
              <w:top w:val="single" w:color="auto" w:sz="4" w:space="0"/>
              <w:left w:val="single" w:color="auto" w:sz="4" w:space="0"/>
              <w:bottom w:val="single" w:color="auto" w:sz="4" w:space="0"/>
              <w:right w:val="single" w:color="auto" w:sz="4" w:space="0"/>
            </w:tcBorders>
            <w:vAlign w:val="center"/>
          </w:tcPr>
          <w:p w14:paraId="67E1489D">
            <w:pPr>
              <w:widowControl/>
              <w:jc w:val="center"/>
              <w:textAlignment w:val="center"/>
              <w:rPr>
                <w:rFonts w:hint="eastAsia" w:ascii="宋体" w:hAnsi="宋体"/>
                <w:szCs w:val="21"/>
                <w:highlight w:val="none"/>
              </w:rPr>
            </w:pPr>
          </w:p>
        </w:tc>
        <w:tc>
          <w:tcPr>
            <w:tcW w:w="446" w:type="pct"/>
            <w:tcBorders>
              <w:top w:val="single" w:color="auto" w:sz="4" w:space="0"/>
              <w:left w:val="single" w:color="auto" w:sz="4" w:space="0"/>
              <w:bottom w:val="single" w:color="auto" w:sz="4" w:space="0"/>
              <w:right w:val="single" w:color="auto" w:sz="4" w:space="0"/>
            </w:tcBorders>
            <w:vAlign w:val="center"/>
          </w:tcPr>
          <w:p w14:paraId="2EA6E337">
            <w:pPr>
              <w:snapToGrid w:val="0"/>
              <w:spacing w:before="50" w:after="50"/>
              <w:jc w:val="center"/>
              <w:rPr>
                <w:rFonts w:hint="eastAsia" w:ascii="宋体" w:hAnsi="宋体"/>
                <w:szCs w:val="21"/>
                <w:highlight w:val="none"/>
              </w:rPr>
            </w:pPr>
          </w:p>
        </w:tc>
        <w:tc>
          <w:tcPr>
            <w:tcW w:w="594" w:type="pct"/>
            <w:tcBorders>
              <w:top w:val="single" w:color="auto" w:sz="4" w:space="0"/>
              <w:left w:val="single" w:color="auto" w:sz="4" w:space="0"/>
              <w:bottom w:val="single" w:color="auto" w:sz="4" w:space="0"/>
              <w:right w:val="single" w:color="auto" w:sz="4" w:space="0"/>
            </w:tcBorders>
          </w:tcPr>
          <w:p w14:paraId="7FF6C6BE">
            <w:pPr>
              <w:snapToGrid w:val="0"/>
              <w:spacing w:before="50" w:after="50"/>
              <w:jc w:val="center"/>
              <w:rPr>
                <w:rFonts w:hint="eastAsia" w:ascii="宋体" w:hAnsi="宋体"/>
                <w:szCs w:val="21"/>
                <w:highlight w:val="none"/>
              </w:rPr>
            </w:pPr>
          </w:p>
        </w:tc>
        <w:tc>
          <w:tcPr>
            <w:tcW w:w="578" w:type="pct"/>
            <w:tcBorders>
              <w:top w:val="single" w:color="auto" w:sz="4" w:space="0"/>
              <w:left w:val="single" w:color="auto" w:sz="4" w:space="0"/>
              <w:bottom w:val="single" w:color="auto" w:sz="4" w:space="0"/>
              <w:right w:val="single" w:color="auto" w:sz="4" w:space="0"/>
            </w:tcBorders>
            <w:vAlign w:val="center"/>
          </w:tcPr>
          <w:p w14:paraId="2D1EC980">
            <w:pPr>
              <w:snapToGrid w:val="0"/>
              <w:spacing w:before="50" w:after="50"/>
              <w:jc w:val="center"/>
              <w:rPr>
                <w:rFonts w:hint="eastAsia" w:ascii="宋体" w:hAnsi="宋体"/>
                <w:szCs w:val="21"/>
                <w:highlight w:val="none"/>
              </w:rPr>
            </w:pPr>
          </w:p>
        </w:tc>
        <w:tc>
          <w:tcPr>
            <w:tcW w:w="563" w:type="pct"/>
            <w:tcBorders>
              <w:top w:val="single" w:color="auto" w:sz="4" w:space="0"/>
              <w:left w:val="single" w:color="auto" w:sz="4" w:space="0"/>
              <w:bottom w:val="single" w:color="auto" w:sz="4" w:space="0"/>
              <w:right w:val="single" w:color="auto" w:sz="4" w:space="0"/>
            </w:tcBorders>
            <w:vAlign w:val="center"/>
          </w:tcPr>
          <w:p w14:paraId="785C57F6">
            <w:pPr>
              <w:snapToGrid w:val="0"/>
              <w:spacing w:before="50" w:after="50"/>
              <w:jc w:val="center"/>
              <w:rPr>
                <w:rFonts w:hint="eastAsia" w:ascii="宋体" w:hAnsi="宋体"/>
                <w:szCs w:val="21"/>
                <w:highlight w:val="none"/>
              </w:rPr>
            </w:pPr>
          </w:p>
        </w:tc>
        <w:tc>
          <w:tcPr>
            <w:tcW w:w="1087" w:type="pct"/>
            <w:tcBorders>
              <w:top w:val="single" w:color="auto" w:sz="4" w:space="0"/>
              <w:left w:val="single" w:color="auto" w:sz="4" w:space="0"/>
              <w:bottom w:val="single" w:color="auto" w:sz="4" w:space="0"/>
              <w:right w:val="single" w:color="auto" w:sz="4" w:space="0"/>
            </w:tcBorders>
            <w:vAlign w:val="center"/>
          </w:tcPr>
          <w:p w14:paraId="319B1543">
            <w:pPr>
              <w:snapToGrid w:val="0"/>
              <w:spacing w:before="50" w:after="50"/>
              <w:jc w:val="center"/>
              <w:rPr>
                <w:rFonts w:hint="eastAsia" w:ascii="宋体" w:hAnsi="宋体"/>
                <w:szCs w:val="21"/>
                <w:highlight w:val="none"/>
              </w:rPr>
            </w:pPr>
          </w:p>
        </w:tc>
      </w:tr>
      <w:tr w14:paraId="7CC085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14:paraId="2B2E394B">
            <w:pPr>
              <w:snapToGrid w:val="0"/>
              <w:spacing w:before="50" w:after="50"/>
              <w:jc w:val="center"/>
              <w:rPr>
                <w:rFonts w:hint="eastAsia" w:ascii="宋体" w:hAnsi="宋体" w:eastAsia="宋体"/>
                <w:szCs w:val="21"/>
                <w:highlight w:val="none"/>
                <w:lang w:eastAsia="zh-CN"/>
              </w:rPr>
            </w:pPr>
            <w:r>
              <w:rPr>
                <w:rFonts w:hint="eastAsia" w:ascii="宋体" w:hAnsi="宋体"/>
                <w:szCs w:val="21"/>
                <w:highlight w:val="none"/>
                <w:lang w:val="en-US" w:eastAsia="zh-CN"/>
              </w:rPr>
              <w:t>3</w:t>
            </w:r>
          </w:p>
        </w:tc>
        <w:tc>
          <w:tcPr>
            <w:tcW w:w="968" w:type="pct"/>
            <w:tcBorders>
              <w:top w:val="single" w:color="auto" w:sz="4" w:space="0"/>
              <w:left w:val="single" w:color="auto" w:sz="4" w:space="0"/>
              <w:bottom w:val="single" w:color="auto" w:sz="4" w:space="0"/>
              <w:right w:val="single" w:color="auto" w:sz="4" w:space="0"/>
            </w:tcBorders>
            <w:vAlign w:val="center"/>
          </w:tcPr>
          <w:p w14:paraId="0376EC9C">
            <w:pPr>
              <w:spacing w:line="360" w:lineRule="auto"/>
              <w:jc w:val="center"/>
              <w:rPr>
                <w:rFonts w:hint="eastAsia" w:ascii="宋体" w:hAnsi="宋体"/>
                <w:color w:val="000000"/>
                <w:kern w:val="0"/>
                <w:szCs w:val="21"/>
                <w:highlight w:val="none"/>
              </w:rPr>
            </w:pPr>
            <w:r>
              <w:rPr>
                <w:rFonts w:hint="eastAsia" w:cs="仿宋" w:asciiTheme="minorEastAsia" w:hAnsiTheme="minorEastAsia"/>
                <w:color w:val="000000"/>
                <w:szCs w:val="21"/>
                <w:lang w:val="en-US" w:eastAsia="zh-CN"/>
              </w:rPr>
              <w:t>服务器虚拟化软件授权</w:t>
            </w:r>
          </w:p>
        </w:tc>
        <w:tc>
          <w:tcPr>
            <w:tcW w:w="261" w:type="pct"/>
            <w:tcBorders>
              <w:top w:val="single" w:color="auto" w:sz="4" w:space="0"/>
              <w:left w:val="single" w:color="auto" w:sz="4" w:space="0"/>
              <w:bottom w:val="single" w:color="auto" w:sz="4" w:space="0"/>
              <w:right w:val="single" w:color="auto" w:sz="4" w:space="0"/>
            </w:tcBorders>
            <w:vAlign w:val="center"/>
          </w:tcPr>
          <w:p w14:paraId="377592BA">
            <w:pPr>
              <w:widowControl/>
              <w:jc w:val="center"/>
              <w:textAlignment w:val="center"/>
              <w:rPr>
                <w:rFonts w:hint="eastAsia" w:ascii="宋体" w:hAnsi="宋体"/>
                <w:szCs w:val="21"/>
                <w:highlight w:val="none"/>
              </w:rPr>
            </w:pPr>
          </w:p>
        </w:tc>
        <w:tc>
          <w:tcPr>
            <w:tcW w:w="292" w:type="pct"/>
            <w:tcBorders>
              <w:top w:val="single" w:color="auto" w:sz="4" w:space="0"/>
              <w:left w:val="single" w:color="auto" w:sz="4" w:space="0"/>
              <w:bottom w:val="single" w:color="auto" w:sz="4" w:space="0"/>
              <w:right w:val="single" w:color="auto" w:sz="4" w:space="0"/>
            </w:tcBorders>
            <w:vAlign w:val="center"/>
          </w:tcPr>
          <w:p w14:paraId="468EE0D1">
            <w:pPr>
              <w:widowControl/>
              <w:jc w:val="center"/>
              <w:textAlignment w:val="center"/>
              <w:rPr>
                <w:rFonts w:hint="eastAsia" w:ascii="宋体" w:hAnsi="宋体"/>
                <w:szCs w:val="21"/>
                <w:highlight w:val="none"/>
              </w:rPr>
            </w:pPr>
          </w:p>
        </w:tc>
        <w:tc>
          <w:tcPr>
            <w:tcW w:w="446" w:type="pct"/>
            <w:tcBorders>
              <w:top w:val="single" w:color="auto" w:sz="4" w:space="0"/>
              <w:left w:val="single" w:color="auto" w:sz="4" w:space="0"/>
              <w:bottom w:val="single" w:color="auto" w:sz="4" w:space="0"/>
              <w:right w:val="single" w:color="auto" w:sz="4" w:space="0"/>
            </w:tcBorders>
            <w:vAlign w:val="center"/>
          </w:tcPr>
          <w:p w14:paraId="66B43837">
            <w:pPr>
              <w:snapToGrid w:val="0"/>
              <w:spacing w:before="50" w:after="50"/>
              <w:jc w:val="center"/>
              <w:rPr>
                <w:rFonts w:hint="eastAsia" w:ascii="宋体" w:hAnsi="宋体"/>
                <w:szCs w:val="21"/>
                <w:highlight w:val="none"/>
              </w:rPr>
            </w:pPr>
          </w:p>
        </w:tc>
        <w:tc>
          <w:tcPr>
            <w:tcW w:w="594" w:type="pct"/>
            <w:tcBorders>
              <w:top w:val="single" w:color="auto" w:sz="4" w:space="0"/>
              <w:left w:val="single" w:color="auto" w:sz="4" w:space="0"/>
              <w:bottom w:val="single" w:color="auto" w:sz="4" w:space="0"/>
              <w:right w:val="single" w:color="auto" w:sz="4" w:space="0"/>
            </w:tcBorders>
          </w:tcPr>
          <w:p w14:paraId="5D123DC0">
            <w:pPr>
              <w:snapToGrid w:val="0"/>
              <w:spacing w:before="50" w:after="50"/>
              <w:jc w:val="center"/>
              <w:rPr>
                <w:rFonts w:hint="eastAsia" w:ascii="宋体" w:hAnsi="宋体"/>
                <w:szCs w:val="21"/>
                <w:highlight w:val="none"/>
              </w:rPr>
            </w:pPr>
          </w:p>
        </w:tc>
        <w:tc>
          <w:tcPr>
            <w:tcW w:w="578" w:type="pct"/>
            <w:tcBorders>
              <w:top w:val="single" w:color="auto" w:sz="4" w:space="0"/>
              <w:left w:val="single" w:color="auto" w:sz="4" w:space="0"/>
              <w:bottom w:val="single" w:color="auto" w:sz="4" w:space="0"/>
              <w:right w:val="single" w:color="auto" w:sz="4" w:space="0"/>
            </w:tcBorders>
            <w:vAlign w:val="center"/>
          </w:tcPr>
          <w:p w14:paraId="2E7B8865">
            <w:pPr>
              <w:snapToGrid w:val="0"/>
              <w:spacing w:before="50" w:after="50"/>
              <w:jc w:val="center"/>
              <w:rPr>
                <w:rFonts w:hint="eastAsia" w:ascii="宋体" w:hAnsi="宋体"/>
                <w:szCs w:val="21"/>
                <w:highlight w:val="none"/>
              </w:rPr>
            </w:pPr>
          </w:p>
        </w:tc>
        <w:tc>
          <w:tcPr>
            <w:tcW w:w="563" w:type="pct"/>
            <w:tcBorders>
              <w:top w:val="single" w:color="auto" w:sz="4" w:space="0"/>
              <w:left w:val="single" w:color="auto" w:sz="4" w:space="0"/>
              <w:bottom w:val="single" w:color="auto" w:sz="4" w:space="0"/>
              <w:right w:val="single" w:color="auto" w:sz="4" w:space="0"/>
            </w:tcBorders>
            <w:vAlign w:val="center"/>
          </w:tcPr>
          <w:p w14:paraId="3C48EF83">
            <w:pPr>
              <w:snapToGrid w:val="0"/>
              <w:spacing w:before="50" w:after="50"/>
              <w:jc w:val="center"/>
              <w:rPr>
                <w:rFonts w:hint="eastAsia" w:ascii="宋体" w:hAnsi="宋体"/>
                <w:szCs w:val="21"/>
                <w:highlight w:val="none"/>
              </w:rPr>
            </w:pPr>
          </w:p>
        </w:tc>
        <w:tc>
          <w:tcPr>
            <w:tcW w:w="1087" w:type="pct"/>
            <w:tcBorders>
              <w:top w:val="single" w:color="auto" w:sz="4" w:space="0"/>
              <w:left w:val="single" w:color="auto" w:sz="4" w:space="0"/>
              <w:bottom w:val="single" w:color="auto" w:sz="4" w:space="0"/>
              <w:right w:val="single" w:color="auto" w:sz="4" w:space="0"/>
            </w:tcBorders>
            <w:vAlign w:val="center"/>
          </w:tcPr>
          <w:p w14:paraId="4D654267">
            <w:pPr>
              <w:snapToGrid w:val="0"/>
              <w:spacing w:before="50" w:after="50"/>
              <w:jc w:val="center"/>
              <w:rPr>
                <w:rFonts w:hint="eastAsia" w:ascii="宋体" w:hAnsi="宋体"/>
                <w:szCs w:val="21"/>
                <w:highlight w:val="none"/>
              </w:rPr>
            </w:pPr>
          </w:p>
        </w:tc>
      </w:tr>
    </w:tbl>
    <w:p w14:paraId="648CD903">
      <w:pPr>
        <w:contextualSpacing/>
        <w:rPr>
          <w:rFonts w:hint="eastAsia" w:ascii="宋体" w:hAnsi="宋体"/>
          <w:szCs w:val="21"/>
          <w:highlight w:val="none"/>
        </w:rPr>
      </w:pPr>
      <w:r>
        <w:rPr>
          <w:rFonts w:hint="eastAsia" w:ascii="宋体" w:hAnsi="宋体"/>
          <w:szCs w:val="21"/>
          <w:highlight w:val="none"/>
        </w:rPr>
        <w:t>备注：</w:t>
      </w:r>
      <w:r>
        <w:rPr>
          <w:rFonts w:hint="eastAsia" w:ascii="宋体" w:hAnsi="宋体"/>
          <w:b/>
          <w:bCs/>
          <w:szCs w:val="21"/>
          <w:highlight w:val="none"/>
        </w:rPr>
        <w:t>以上货物配置清单中“货物名称、数量及单位、品牌、规格型号、制造商、原产地、技术参数及性能配置”必须如实填写完整，品牌、规格型号没有则填无，填写有缺漏的，响应文件按无效响应处理</w:t>
      </w:r>
      <w:r>
        <w:rPr>
          <w:rFonts w:hint="eastAsia" w:ascii="宋体" w:hAnsi="宋体"/>
          <w:b/>
          <w:szCs w:val="21"/>
          <w:highlight w:val="none"/>
        </w:rPr>
        <w:t>。</w:t>
      </w:r>
      <w:r>
        <w:rPr>
          <w:rFonts w:hint="eastAsia" w:ascii="宋体" w:hAnsi="宋体"/>
          <w:szCs w:val="21"/>
          <w:highlight w:val="none"/>
        </w:rPr>
        <w:t>货物名称、数量及单位、品牌必须与“竞标报价表”一致，</w:t>
      </w:r>
      <w:r>
        <w:rPr>
          <w:rFonts w:hint="eastAsia" w:ascii="宋体" w:hAnsi="宋体"/>
          <w:bCs/>
          <w:szCs w:val="21"/>
          <w:highlight w:val="none"/>
        </w:rPr>
        <w:t>否则响应文件按无效响应处理</w:t>
      </w:r>
      <w:r>
        <w:rPr>
          <w:rFonts w:hint="eastAsia" w:ascii="宋体" w:hAnsi="宋体"/>
          <w:b/>
          <w:szCs w:val="21"/>
          <w:highlight w:val="none"/>
        </w:rPr>
        <w:t>。</w:t>
      </w:r>
      <w:r>
        <w:rPr>
          <w:rFonts w:hint="eastAsia" w:ascii="宋体" w:hAnsi="宋体"/>
          <w:szCs w:val="21"/>
          <w:highlight w:val="none"/>
        </w:rPr>
        <w:tab/>
      </w:r>
    </w:p>
    <w:p w14:paraId="24A64991">
      <w:pPr>
        <w:pStyle w:val="6"/>
        <w:rPr>
          <w:rFonts w:hint="eastAsia" w:ascii="宋体" w:hAnsi="宋体" w:cs="宋体"/>
          <w:szCs w:val="21"/>
          <w:highlight w:val="none"/>
        </w:rPr>
      </w:pPr>
    </w:p>
    <w:p w14:paraId="4BFE1AB8">
      <w:pPr>
        <w:ind w:right="-817" w:rightChars="-389"/>
        <w:contextualSpacing/>
        <w:jc w:val="center"/>
        <w:rPr>
          <w:rFonts w:hint="eastAsia" w:ascii="宋体" w:hAnsi="宋体"/>
          <w:szCs w:val="21"/>
          <w:highlight w:val="none"/>
        </w:rPr>
      </w:pPr>
      <w:r>
        <w:rPr>
          <w:rFonts w:hint="eastAsia" w:ascii="宋体" w:hAnsi="宋体"/>
          <w:szCs w:val="21"/>
          <w:highlight w:val="none"/>
        </w:rPr>
        <w:t>法定代表人或者委托代理人（签字）：</w:t>
      </w:r>
    </w:p>
    <w:p w14:paraId="7347544C">
      <w:pPr>
        <w:ind w:right="-817" w:rightChars="-389" w:firstLine="7245" w:firstLineChars="3450"/>
        <w:contextualSpacing/>
        <w:rPr>
          <w:rFonts w:hint="eastAsia" w:ascii="宋体" w:hAnsi="宋体"/>
          <w:szCs w:val="21"/>
          <w:highlight w:val="none"/>
        </w:rPr>
      </w:pPr>
      <w:r>
        <w:rPr>
          <w:rFonts w:hint="eastAsia" w:ascii="宋体" w:hAnsi="宋体"/>
          <w:szCs w:val="21"/>
          <w:highlight w:val="none"/>
        </w:rPr>
        <w:t xml:space="preserve">供应商（盖公章）：      </w:t>
      </w:r>
    </w:p>
    <w:p w14:paraId="4188AEF4">
      <w:pPr>
        <w:ind w:right="-817" w:rightChars="-389" w:firstLine="8190" w:firstLineChars="3900"/>
        <w:contextualSpacing/>
        <w:rPr>
          <w:highlight w:val="none"/>
        </w:rPr>
      </w:pPr>
      <w:r>
        <w:rPr>
          <w:rFonts w:hint="eastAsia" w:ascii="宋体" w:hAnsi="宋体"/>
          <w:szCs w:val="21"/>
          <w:highlight w:val="none"/>
        </w:rPr>
        <w:t>日  期：    年   月   日</w:t>
      </w:r>
    </w:p>
    <w:p w14:paraId="3DA5D3A2">
      <w:pPr>
        <w:rPr>
          <w:highlight w:val="none"/>
        </w:rPr>
      </w:pPr>
    </w:p>
    <w:p w14:paraId="3A4574FE">
      <w:pPr>
        <w:ind w:right="-817" w:rightChars="-389" w:firstLine="8190" w:firstLineChars="3900"/>
        <w:contextualSpacing/>
        <w:rPr>
          <w:rFonts w:hint="eastAsia" w:ascii="宋体" w:hAnsi="宋体" w:eastAsia="宋体" w:cs="宋体"/>
          <w:color w:val="auto"/>
          <w:sz w:val="21"/>
          <w:szCs w:val="21"/>
          <w:highlight w:val="none"/>
          <w:lang w:val="en-US" w:eastAsia="zh-CN"/>
        </w:rPr>
      </w:pPr>
    </w:p>
    <w:sectPr>
      <w:pgSz w:w="16838" w:h="11906" w:orient="landscape"/>
      <w:pgMar w:top="720" w:right="720" w:bottom="720" w:left="72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19A9F99-8187-4C72-B35E-B294A70425E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518215C-D14B-404C-84AE-EF356F08985A}"/>
  </w:font>
  <w:font w:name="仿宋_GB2312">
    <w:panose1 w:val="02010609030101010101"/>
    <w:charset w:val="86"/>
    <w:family w:val="modern"/>
    <w:pitch w:val="default"/>
    <w:sig w:usb0="00000001" w:usb1="080E0000" w:usb2="00000000" w:usb3="00000000" w:csb0="00040000" w:csb1="00000000"/>
    <w:embedRegular r:id="rId3" w:fontKey="{AEE4E68F-690A-4376-8095-77BDD5161E12}"/>
  </w:font>
  <w:font w:name="仿宋">
    <w:panose1 w:val="02010609060101010101"/>
    <w:charset w:val="86"/>
    <w:family w:val="modern"/>
    <w:pitch w:val="default"/>
    <w:sig w:usb0="800002BF" w:usb1="38CF7CFA" w:usb2="00000016" w:usb3="00000000" w:csb0="00040001" w:csb1="00000000"/>
    <w:embedRegular r:id="rId4" w:fontKey="{E731C289-DC66-454B-9CC4-FDD8F9F03453}"/>
  </w:font>
  <w:font w:name="方正小标宋简体">
    <w:panose1 w:val="02010601030101010101"/>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E5NTAxOGNiNWY5YjZiYjRiZTBiMDc3NTc1OWE2YTUifQ=="/>
  </w:docVars>
  <w:rsids>
    <w:rsidRoot w:val="46492AE9"/>
    <w:rsid w:val="00264E69"/>
    <w:rsid w:val="00333C76"/>
    <w:rsid w:val="005C2A9D"/>
    <w:rsid w:val="0083050D"/>
    <w:rsid w:val="01C544F5"/>
    <w:rsid w:val="024822CD"/>
    <w:rsid w:val="02BB60B1"/>
    <w:rsid w:val="03CE5A7E"/>
    <w:rsid w:val="03FB7492"/>
    <w:rsid w:val="041208A9"/>
    <w:rsid w:val="04381A26"/>
    <w:rsid w:val="044C330C"/>
    <w:rsid w:val="047C3FFD"/>
    <w:rsid w:val="05825674"/>
    <w:rsid w:val="059917D1"/>
    <w:rsid w:val="05E435F1"/>
    <w:rsid w:val="07127BCE"/>
    <w:rsid w:val="072858CC"/>
    <w:rsid w:val="07680680"/>
    <w:rsid w:val="07C2391D"/>
    <w:rsid w:val="08230FE7"/>
    <w:rsid w:val="087522BD"/>
    <w:rsid w:val="09A51675"/>
    <w:rsid w:val="09C556F2"/>
    <w:rsid w:val="09E162A4"/>
    <w:rsid w:val="0A12645E"/>
    <w:rsid w:val="0A3F5991"/>
    <w:rsid w:val="0A544CC8"/>
    <w:rsid w:val="0ADA09F2"/>
    <w:rsid w:val="0D6276FC"/>
    <w:rsid w:val="0D8B27AF"/>
    <w:rsid w:val="0FDA30C2"/>
    <w:rsid w:val="0FE668E8"/>
    <w:rsid w:val="0FFE195E"/>
    <w:rsid w:val="10317B99"/>
    <w:rsid w:val="1069326D"/>
    <w:rsid w:val="10934408"/>
    <w:rsid w:val="12560BCE"/>
    <w:rsid w:val="12624550"/>
    <w:rsid w:val="12FB3585"/>
    <w:rsid w:val="12FC7CAB"/>
    <w:rsid w:val="1425142D"/>
    <w:rsid w:val="14F944F9"/>
    <w:rsid w:val="15145780"/>
    <w:rsid w:val="15632BBE"/>
    <w:rsid w:val="15D1541F"/>
    <w:rsid w:val="171621EF"/>
    <w:rsid w:val="1735576C"/>
    <w:rsid w:val="174C46E4"/>
    <w:rsid w:val="176E1B89"/>
    <w:rsid w:val="17DE7734"/>
    <w:rsid w:val="182E4DAB"/>
    <w:rsid w:val="18C846F4"/>
    <w:rsid w:val="19381F1E"/>
    <w:rsid w:val="194D74B2"/>
    <w:rsid w:val="1A7F4983"/>
    <w:rsid w:val="1AFA0F74"/>
    <w:rsid w:val="1B057CF1"/>
    <w:rsid w:val="1C2509DA"/>
    <w:rsid w:val="1CCF4430"/>
    <w:rsid w:val="1CEA2D34"/>
    <w:rsid w:val="1EB66ED2"/>
    <w:rsid w:val="1F291E28"/>
    <w:rsid w:val="1FB719A5"/>
    <w:rsid w:val="20033557"/>
    <w:rsid w:val="20080E5C"/>
    <w:rsid w:val="20091C16"/>
    <w:rsid w:val="21290155"/>
    <w:rsid w:val="21661111"/>
    <w:rsid w:val="218164F0"/>
    <w:rsid w:val="21C916A0"/>
    <w:rsid w:val="21D37D8C"/>
    <w:rsid w:val="22206AE2"/>
    <w:rsid w:val="222B7EDF"/>
    <w:rsid w:val="227B6E3E"/>
    <w:rsid w:val="22896782"/>
    <w:rsid w:val="22906A74"/>
    <w:rsid w:val="22BD058C"/>
    <w:rsid w:val="22D636B5"/>
    <w:rsid w:val="23005B4C"/>
    <w:rsid w:val="23491FB8"/>
    <w:rsid w:val="23E26A49"/>
    <w:rsid w:val="23EA19A0"/>
    <w:rsid w:val="23F92A3E"/>
    <w:rsid w:val="24A05A4C"/>
    <w:rsid w:val="24CD14A7"/>
    <w:rsid w:val="24E47F82"/>
    <w:rsid w:val="24FC2C7E"/>
    <w:rsid w:val="25B24942"/>
    <w:rsid w:val="25C2598D"/>
    <w:rsid w:val="264B0C32"/>
    <w:rsid w:val="26A748A6"/>
    <w:rsid w:val="26AF70B6"/>
    <w:rsid w:val="2751016E"/>
    <w:rsid w:val="278A3680"/>
    <w:rsid w:val="282633A8"/>
    <w:rsid w:val="286A05DF"/>
    <w:rsid w:val="28E141FE"/>
    <w:rsid w:val="28FB2A87"/>
    <w:rsid w:val="293D309F"/>
    <w:rsid w:val="29514455"/>
    <w:rsid w:val="29562532"/>
    <w:rsid w:val="29B019A3"/>
    <w:rsid w:val="29F179E6"/>
    <w:rsid w:val="2A4C4A62"/>
    <w:rsid w:val="2AE83430"/>
    <w:rsid w:val="2C31056E"/>
    <w:rsid w:val="2C980571"/>
    <w:rsid w:val="2D412A2F"/>
    <w:rsid w:val="2D460049"/>
    <w:rsid w:val="2D4D6201"/>
    <w:rsid w:val="2D555A65"/>
    <w:rsid w:val="2DD018D3"/>
    <w:rsid w:val="2E1819E5"/>
    <w:rsid w:val="2E40595A"/>
    <w:rsid w:val="2F6446E6"/>
    <w:rsid w:val="2FCB7E5A"/>
    <w:rsid w:val="320512B5"/>
    <w:rsid w:val="330662B0"/>
    <w:rsid w:val="350A469D"/>
    <w:rsid w:val="351A0E35"/>
    <w:rsid w:val="356B7865"/>
    <w:rsid w:val="357868A7"/>
    <w:rsid w:val="35A10297"/>
    <w:rsid w:val="3613599B"/>
    <w:rsid w:val="366559E4"/>
    <w:rsid w:val="36F227F3"/>
    <w:rsid w:val="38C22C79"/>
    <w:rsid w:val="38DA4FA2"/>
    <w:rsid w:val="39303E66"/>
    <w:rsid w:val="398126A4"/>
    <w:rsid w:val="398E34A3"/>
    <w:rsid w:val="399B3F89"/>
    <w:rsid w:val="399E5E40"/>
    <w:rsid w:val="39CF48CB"/>
    <w:rsid w:val="39F767A7"/>
    <w:rsid w:val="3A033549"/>
    <w:rsid w:val="3A791A5E"/>
    <w:rsid w:val="3ACD3B57"/>
    <w:rsid w:val="3B100629"/>
    <w:rsid w:val="3C231166"/>
    <w:rsid w:val="3C357927"/>
    <w:rsid w:val="3C3B4CB8"/>
    <w:rsid w:val="3C67348A"/>
    <w:rsid w:val="3C8658DE"/>
    <w:rsid w:val="3CC75445"/>
    <w:rsid w:val="3D355CEE"/>
    <w:rsid w:val="3DC254CA"/>
    <w:rsid w:val="3E4929BF"/>
    <w:rsid w:val="3E5F4AE1"/>
    <w:rsid w:val="3ECC2AA4"/>
    <w:rsid w:val="3EE80F60"/>
    <w:rsid w:val="3F424B14"/>
    <w:rsid w:val="3FD1152F"/>
    <w:rsid w:val="3FE61943"/>
    <w:rsid w:val="4007339F"/>
    <w:rsid w:val="40330901"/>
    <w:rsid w:val="41C41316"/>
    <w:rsid w:val="41D30A5F"/>
    <w:rsid w:val="423B7FDB"/>
    <w:rsid w:val="42614D21"/>
    <w:rsid w:val="42725B89"/>
    <w:rsid w:val="428F54EA"/>
    <w:rsid w:val="436037BB"/>
    <w:rsid w:val="43953BCE"/>
    <w:rsid w:val="43B35FE0"/>
    <w:rsid w:val="441E71D2"/>
    <w:rsid w:val="44A27E03"/>
    <w:rsid w:val="44B4705C"/>
    <w:rsid w:val="44C304A5"/>
    <w:rsid w:val="45B31B87"/>
    <w:rsid w:val="45DB64CD"/>
    <w:rsid w:val="46492AE9"/>
    <w:rsid w:val="47543636"/>
    <w:rsid w:val="47D33885"/>
    <w:rsid w:val="486F6565"/>
    <w:rsid w:val="4A0251E4"/>
    <w:rsid w:val="4A622219"/>
    <w:rsid w:val="4A913ECA"/>
    <w:rsid w:val="4AA76173"/>
    <w:rsid w:val="4ABF498D"/>
    <w:rsid w:val="4B0770BF"/>
    <w:rsid w:val="4E4D4E0A"/>
    <w:rsid w:val="4EC45545"/>
    <w:rsid w:val="4ECC264C"/>
    <w:rsid w:val="50394E2D"/>
    <w:rsid w:val="5049361B"/>
    <w:rsid w:val="507263F6"/>
    <w:rsid w:val="509E5922"/>
    <w:rsid w:val="510C4F82"/>
    <w:rsid w:val="515B3D78"/>
    <w:rsid w:val="51907961"/>
    <w:rsid w:val="51B43ED4"/>
    <w:rsid w:val="51BD267C"/>
    <w:rsid w:val="521775E3"/>
    <w:rsid w:val="5303039B"/>
    <w:rsid w:val="53E35D94"/>
    <w:rsid w:val="544319BB"/>
    <w:rsid w:val="549D32C7"/>
    <w:rsid w:val="550310E3"/>
    <w:rsid w:val="552934B0"/>
    <w:rsid w:val="556915A4"/>
    <w:rsid w:val="5584168C"/>
    <w:rsid w:val="55D50038"/>
    <w:rsid w:val="55FB4C01"/>
    <w:rsid w:val="55FD61F8"/>
    <w:rsid w:val="560C024F"/>
    <w:rsid w:val="567C0098"/>
    <w:rsid w:val="569C0B56"/>
    <w:rsid w:val="56AE26CA"/>
    <w:rsid w:val="56DE5E59"/>
    <w:rsid w:val="5753390A"/>
    <w:rsid w:val="5795302F"/>
    <w:rsid w:val="58705DF6"/>
    <w:rsid w:val="594D4389"/>
    <w:rsid w:val="594F0EDF"/>
    <w:rsid w:val="5A670A9F"/>
    <w:rsid w:val="5AA04E3D"/>
    <w:rsid w:val="5B344A4C"/>
    <w:rsid w:val="5B4672E2"/>
    <w:rsid w:val="5C1A0C76"/>
    <w:rsid w:val="5C5278E9"/>
    <w:rsid w:val="5D303DA6"/>
    <w:rsid w:val="5D493CE1"/>
    <w:rsid w:val="5D656145"/>
    <w:rsid w:val="5E800D5D"/>
    <w:rsid w:val="5E987E55"/>
    <w:rsid w:val="5EE272E6"/>
    <w:rsid w:val="5EE96902"/>
    <w:rsid w:val="5F577B32"/>
    <w:rsid w:val="5F846FCB"/>
    <w:rsid w:val="5FCB28A8"/>
    <w:rsid w:val="5FE11D50"/>
    <w:rsid w:val="60CD54B1"/>
    <w:rsid w:val="6109328C"/>
    <w:rsid w:val="613A0A90"/>
    <w:rsid w:val="61B96A60"/>
    <w:rsid w:val="61DC2DC0"/>
    <w:rsid w:val="61ED6709"/>
    <w:rsid w:val="6268097C"/>
    <w:rsid w:val="627209BD"/>
    <w:rsid w:val="62D56A83"/>
    <w:rsid w:val="62F63236"/>
    <w:rsid w:val="63E9040E"/>
    <w:rsid w:val="63F43719"/>
    <w:rsid w:val="64364DEF"/>
    <w:rsid w:val="6490433F"/>
    <w:rsid w:val="65B45FF1"/>
    <w:rsid w:val="669465AE"/>
    <w:rsid w:val="675A757F"/>
    <w:rsid w:val="67921CCC"/>
    <w:rsid w:val="679C300B"/>
    <w:rsid w:val="67C277C8"/>
    <w:rsid w:val="67C768DC"/>
    <w:rsid w:val="685A41B9"/>
    <w:rsid w:val="68F95994"/>
    <w:rsid w:val="6922138F"/>
    <w:rsid w:val="69F94FC6"/>
    <w:rsid w:val="6A9736B6"/>
    <w:rsid w:val="6AE54D7A"/>
    <w:rsid w:val="6C573720"/>
    <w:rsid w:val="6CA834AF"/>
    <w:rsid w:val="6CFB23FF"/>
    <w:rsid w:val="6D003795"/>
    <w:rsid w:val="6E46167B"/>
    <w:rsid w:val="6F0841CC"/>
    <w:rsid w:val="6F3B7985"/>
    <w:rsid w:val="6FCD6822"/>
    <w:rsid w:val="702634C5"/>
    <w:rsid w:val="717670E7"/>
    <w:rsid w:val="71C31235"/>
    <w:rsid w:val="71F96A05"/>
    <w:rsid w:val="735E1215"/>
    <w:rsid w:val="7365314D"/>
    <w:rsid w:val="747A41E0"/>
    <w:rsid w:val="749D5D6D"/>
    <w:rsid w:val="74D250AB"/>
    <w:rsid w:val="75A562CE"/>
    <w:rsid w:val="75F4180E"/>
    <w:rsid w:val="75F7B373"/>
    <w:rsid w:val="75FE0BB1"/>
    <w:rsid w:val="7662101C"/>
    <w:rsid w:val="767D7101"/>
    <w:rsid w:val="77252585"/>
    <w:rsid w:val="77991BD9"/>
    <w:rsid w:val="77FB0FEB"/>
    <w:rsid w:val="78AF42C1"/>
    <w:rsid w:val="78CC09CF"/>
    <w:rsid w:val="78E77772"/>
    <w:rsid w:val="791B780E"/>
    <w:rsid w:val="794F33AE"/>
    <w:rsid w:val="7A41642C"/>
    <w:rsid w:val="7A794B87"/>
    <w:rsid w:val="7A9C0BDF"/>
    <w:rsid w:val="7BB57A83"/>
    <w:rsid w:val="7BBB4D2B"/>
    <w:rsid w:val="7BD6412D"/>
    <w:rsid w:val="7BF344C5"/>
    <w:rsid w:val="7C82216F"/>
    <w:rsid w:val="7CCA7C28"/>
    <w:rsid w:val="7CE24C65"/>
    <w:rsid w:val="7CE62F77"/>
    <w:rsid w:val="7CEB1414"/>
    <w:rsid w:val="7DA7785B"/>
    <w:rsid w:val="7DB87DA9"/>
    <w:rsid w:val="7DBC3708"/>
    <w:rsid w:val="7DF74740"/>
    <w:rsid w:val="7DFA10D0"/>
    <w:rsid w:val="7E603BAA"/>
    <w:rsid w:val="7EEE1FE7"/>
    <w:rsid w:val="7F29292E"/>
    <w:rsid w:val="7F3948E4"/>
    <w:rsid w:val="7F7E49ED"/>
    <w:rsid w:val="7F815536"/>
    <w:rsid w:val="7F9D3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3">
    <w:name w:val="Normal Indent"/>
    <w:basedOn w:val="1"/>
    <w:next w:val="1"/>
    <w:qFormat/>
    <w:uiPriority w:val="0"/>
    <w:pPr>
      <w:ind w:firstLine="420" w:firstLineChars="200"/>
    </w:pPr>
  </w:style>
  <w:style w:type="paragraph" w:styleId="4">
    <w:name w:val="Body Text Indent"/>
    <w:basedOn w:val="1"/>
    <w:qFormat/>
    <w:uiPriority w:val="0"/>
    <w:pPr>
      <w:ind w:firstLine="830" w:firstLineChars="352"/>
    </w:pPr>
    <w:rPr>
      <w:rFonts w:ascii="仿宋_GB2312" w:eastAsia="仿宋_GB2312" w:cs="仿宋_GB2312"/>
      <w:sz w:val="32"/>
      <w:szCs w:val="32"/>
    </w:rPr>
  </w:style>
  <w:style w:type="paragraph" w:styleId="5">
    <w:name w:val="index 1"/>
    <w:basedOn w:val="1"/>
    <w:next w:val="1"/>
    <w:qFormat/>
    <w:uiPriority w:val="0"/>
    <w:pPr>
      <w:spacing w:line="400" w:lineRule="exact"/>
      <w:ind w:firstLine="420" w:firstLineChars="200"/>
    </w:pPr>
    <w:rPr>
      <w:rFonts w:ascii="宋体" w:hAnsi="Courier New"/>
      <w:b/>
      <w:szCs w:val="20"/>
    </w:rPr>
  </w:style>
  <w:style w:type="paragraph" w:styleId="6">
    <w:name w:val="Body Text First Indent 2"/>
    <w:basedOn w:val="4"/>
    <w:next w:val="3"/>
    <w:qFormat/>
    <w:uiPriority w:val="0"/>
    <w:pPr>
      <w:spacing w:after="120"/>
      <w:ind w:left="420" w:leftChars="200" w:firstLine="420" w:firstLineChars="200"/>
    </w:pPr>
    <w:rPr>
      <w:rFonts w:ascii="Times New Roman" w:eastAsia="宋体"/>
      <w:sz w:val="21"/>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qFormat/>
    <w:uiPriority w:val="0"/>
    <w:rPr>
      <w:sz w:val="21"/>
      <w:szCs w:val="21"/>
    </w:rPr>
  </w:style>
  <w:style w:type="paragraph" w:customStyle="1" w:styleId="11">
    <w:name w:val="表格文字"/>
    <w:basedOn w:val="1"/>
    <w:qFormat/>
    <w:uiPriority w:val="0"/>
    <w:pPr>
      <w:spacing w:before="25" w:after="25"/>
      <w:jc w:val="left"/>
    </w:pPr>
    <w:rPr>
      <w:bCs/>
      <w:spacing w:val="10"/>
      <w:kern w:val="0"/>
      <w:sz w:val="24"/>
    </w:rPr>
  </w:style>
  <w:style w:type="character" w:customStyle="1" w:styleId="12">
    <w:name w:val="NormalCharacter"/>
    <w:semiHidden/>
    <w:qFormat/>
    <w:uiPriority w:val="0"/>
    <w:rPr>
      <w:rFonts w:ascii="Calibri" w:hAnsi="Calibri"/>
      <w:kern w:val="2"/>
      <w:sz w:val="21"/>
      <w:szCs w:val="24"/>
      <w:lang w:val="en-US" w:eastAsia="zh-CN" w:bidi="ar-SA"/>
    </w:rPr>
  </w:style>
  <w:style w:type="paragraph" w:customStyle="1" w:styleId="13">
    <w:name w:val="Table Text"/>
    <w:basedOn w:val="1"/>
    <w:semiHidden/>
    <w:qFormat/>
    <w:uiPriority w:val="0"/>
    <w:rPr>
      <w:rFonts w:ascii="宋体" w:hAnsi="宋体" w:eastAsia="宋体" w:cs="宋体"/>
      <w:sz w:val="20"/>
      <w:szCs w:val="20"/>
      <w:lang w:val="en-US" w:eastAsia="en-US" w:bidi="ar-SA"/>
    </w:rPr>
  </w:style>
  <w:style w:type="table" w:customStyle="1" w:styleId="14">
    <w:name w:val="Table Normal"/>
    <w:semiHidden/>
    <w:unhideWhenUsed/>
    <w:qFormat/>
    <w:uiPriority w:val="0"/>
    <w:tblPr>
      <w:tblCellMar>
        <w:top w:w="0" w:type="dxa"/>
        <w:left w:w="0" w:type="dxa"/>
        <w:bottom w:w="0" w:type="dxa"/>
        <w:right w:w="0" w:type="dxa"/>
      </w:tblCellMar>
    </w:tblPr>
  </w:style>
  <w:style w:type="character" w:customStyle="1" w:styleId="15">
    <w:name w:val="font3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default" w:ascii="Times New Roman" w:hAnsi="Times New Roman" w:cs="Times New Roman"/>
      <w:color w:val="000000"/>
      <w:sz w:val="20"/>
      <w:szCs w:val="20"/>
      <w:u w:val="none"/>
    </w:rPr>
  </w:style>
  <w:style w:type="character" w:customStyle="1" w:styleId="17">
    <w:name w:val="font41"/>
    <w:basedOn w:val="9"/>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6440</Words>
  <Characters>6902</Characters>
  <Lines>0</Lines>
  <Paragraphs>0</Paragraphs>
  <TotalTime>2</TotalTime>
  <ScaleCrop>false</ScaleCrop>
  <LinksUpToDate>false</LinksUpToDate>
  <CharactersWithSpaces>6931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2023-06-06T17:36:00Z</dcterms:created>
  <dc:creator>刘新月</dc:creator>
  <cp:lastModifiedBy>Administrator</cp:lastModifiedBy>
  <cp:lastPrinted>2024-06-20T18:35:00Z</cp:lastPrinted>
  <dcterms:modified xsi:type="dcterms:W3CDTF">2026-07-15T02:42:42Z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F7E2E2FEC2CD4F4A8A93DFB395444AA0_13</vt:lpwstr>
  </property>
  <property fmtid="{D5CDD505-2E9C-101B-9397-08002B2CF9AE}" pid="4" name="KSOTemplateDocerSaveRecord">
    <vt:lpwstr>eyJoZGlkIjoiNDQ2NDNjNDIxZjA5ZWJhZjVhNzRmM2MyMDA1MGE1YjQiLCJ1c2VySWQiOiIxNDk4MDI4MzY5In0=</vt:lpwstr>
  </property>
</Properties>
</file>