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F5DA950">
      <w:pPr>
        <w:keepNext w:val="0"/>
        <w:keepLines w:val="0"/>
        <w:pageBreakBefore w:val="0"/>
        <w:widowControl/>
        <w:kinsoku/>
        <w:wordWrap/>
        <w:overflowPunct/>
        <w:topLinePunct w:val="0"/>
        <w:autoSpaceDE/>
        <w:autoSpaceDN/>
        <w:bidi w:val="0"/>
        <w:spacing w:line="288" w:lineRule="auto"/>
        <w:jc w:val="center"/>
        <w:textAlignment w:val="auto"/>
        <w:rPr>
          <w:rFonts w:hint="eastAsia" w:ascii="宋体" w:hAnsi="宋体" w:eastAsia="宋体" w:cs="宋体"/>
          <w:b/>
          <w:bCs/>
          <w:color w:val="auto"/>
          <w:sz w:val="36"/>
          <w:szCs w:val="36"/>
          <w:highlight w:val="none"/>
          <w:lang w:val="en-US" w:eastAsia="zh-CN"/>
        </w:rPr>
      </w:pPr>
      <w:r>
        <w:rPr>
          <w:rFonts w:hint="eastAsia" w:ascii="宋体" w:hAnsi="宋体" w:eastAsia="宋体" w:cs="宋体"/>
          <w:b/>
          <w:bCs/>
          <w:color w:val="auto"/>
          <w:sz w:val="36"/>
          <w:szCs w:val="36"/>
          <w:highlight w:val="none"/>
          <w:lang w:val="en-US" w:eastAsia="zh-CN"/>
        </w:rPr>
        <w:t>图书馆专用设备采购（LED）购置清单</w:t>
      </w:r>
    </w:p>
    <w:tbl>
      <w:tblPr>
        <w:tblStyle w:val="11"/>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3"/>
        <w:gridCol w:w="1024"/>
        <w:gridCol w:w="1077"/>
        <w:gridCol w:w="9310"/>
        <w:gridCol w:w="656"/>
        <w:gridCol w:w="656"/>
        <w:gridCol w:w="1037"/>
        <w:gridCol w:w="1155"/>
      </w:tblGrid>
      <w:tr w14:paraId="237A1A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trPr>
        <w:tc>
          <w:tcPr>
            <w:tcW w:w="693" w:type="dxa"/>
            <w:vAlign w:val="center"/>
          </w:tcPr>
          <w:p w14:paraId="18B1C556">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bCs/>
                <w:color w:val="auto"/>
                <w:kern w:val="2"/>
                <w:sz w:val="22"/>
                <w:szCs w:val="22"/>
                <w:highlight w:val="none"/>
                <w:lang w:val="en-US" w:eastAsia="zh-CN" w:bidi="ar-SA"/>
              </w:rPr>
            </w:pPr>
            <w:r>
              <w:rPr>
                <w:rFonts w:hint="eastAsia" w:ascii="宋体" w:hAnsi="宋体" w:eastAsia="宋体" w:cs="宋体"/>
                <w:b/>
                <w:bCs/>
                <w:color w:val="auto"/>
                <w:sz w:val="22"/>
                <w:szCs w:val="22"/>
                <w:highlight w:val="none"/>
              </w:rPr>
              <w:t>序号</w:t>
            </w:r>
          </w:p>
        </w:tc>
        <w:tc>
          <w:tcPr>
            <w:tcW w:w="1024" w:type="dxa"/>
            <w:vAlign w:val="center"/>
          </w:tcPr>
          <w:p w14:paraId="5E8967E4">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bCs/>
                <w:color w:val="auto"/>
                <w:kern w:val="2"/>
                <w:sz w:val="22"/>
                <w:szCs w:val="22"/>
                <w:highlight w:val="none"/>
                <w:lang w:val="en-US" w:eastAsia="zh-CN" w:bidi="ar-SA"/>
              </w:rPr>
            </w:pPr>
            <w:r>
              <w:rPr>
                <w:rFonts w:hint="eastAsia" w:ascii="宋体" w:hAnsi="宋体" w:eastAsia="宋体" w:cs="宋体"/>
                <w:b/>
                <w:bCs/>
                <w:color w:val="auto"/>
                <w:sz w:val="22"/>
                <w:szCs w:val="22"/>
                <w:highlight w:val="none"/>
              </w:rPr>
              <w:t>名称</w:t>
            </w:r>
          </w:p>
        </w:tc>
        <w:tc>
          <w:tcPr>
            <w:tcW w:w="1077" w:type="dxa"/>
            <w:vAlign w:val="center"/>
          </w:tcPr>
          <w:p w14:paraId="72DCD02D">
            <w:pPr>
              <w:keepNext w:val="0"/>
              <w:keepLines w:val="0"/>
              <w:pageBreakBefore w:val="0"/>
              <w:kinsoku/>
              <w:wordWrap/>
              <w:overflowPunct/>
              <w:topLinePunct w:val="0"/>
              <w:autoSpaceDE/>
              <w:autoSpaceDN/>
              <w:bidi w:val="0"/>
              <w:adjustRightInd/>
              <w:snapToGrid/>
              <w:spacing w:line="440" w:lineRule="exact"/>
              <w:jc w:val="center"/>
              <w:textAlignment w:val="auto"/>
              <w:rPr>
                <w:rFonts w:hint="default" w:ascii="宋体" w:hAnsi="宋体" w:eastAsia="宋体" w:cs="宋体"/>
                <w:b/>
                <w:bCs/>
                <w:color w:val="auto"/>
                <w:kern w:val="2"/>
                <w:sz w:val="22"/>
                <w:szCs w:val="22"/>
                <w:highlight w:val="none"/>
                <w:lang w:val="en-US" w:eastAsia="zh-CN" w:bidi="ar-SA"/>
              </w:rPr>
            </w:pPr>
            <w:r>
              <w:rPr>
                <w:rFonts w:hint="eastAsia" w:ascii="宋体" w:hAnsi="宋体" w:cs="宋体"/>
                <w:b/>
                <w:bCs/>
                <w:color w:val="auto"/>
                <w:kern w:val="2"/>
                <w:sz w:val="22"/>
                <w:szCs w:val="22"/>
                <w:highlight w:val="none"/>
                <w:lang w:val="en-US" w:eastAsia="zh-CN" w:bidi="ar-SA"/>
              </w:rPr>
              <w:t>推荐</w:t>
            </w:r>
            <w:r>
              <w:rPr>
                <w:rFonts w:hint="eastAsia" w:ascii="宋体" w:hAnsi="宋体" w:eastAsia="宋体" w:cs="宋体"/>
                <w:b/>
                <w:bCs/>
                <w:color w:val="auto"/>
                <w:kern w:val="2"/>
                <w:sz w:val="22"/>
                <w:szCs w:val="22"/>
                <w:highlight w:val="none"/>
                <w:lang w:val="en-US" w:eastAsia="zh-CN" w:bidi="ar-SA"/>
              </w:rPr>
              <w:t>品牌</w:t>
            </w:r>
            <w:r>
              <w:rPr>
                <w:rFonts w:hint="eastAsia" w:ascii="宋体" w:hAnsi="宋体" w:cs="宋体"/>
                <w:b/>
                <w:bCs/>
                <w:color w:val="auto"/>
                <w:kern w:val="2"/>
                <w:sz w:val="22"/>
                <w:szCs w:val="22"/>
                <w:highlight w:val="none"/>
                <w:lang w:val="en-US" w:eastAsia="zh-CN" w:bidi="ar-SA"/>
              </w:rPr>
              <w:t>及型号</w:t>
            </w:r>
          </w:p>
        </w:tc>
        <w:tc>
          <w:tcPr>
            <w:tcW w:w="9310" w:type="dxa"/>
            <w:vAlign w:val="center"/>
          </w:tcPr>
          <w:p w14:paraId="1AF2A0D5">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bCs/>
                <w:color w:val="auto"/>
                <w:kern w:val="2"/>
                <w:sz w:val="22"/>
                <w:szCs w:val="22"/>
                <w:highlight w:val="none"/>
                <w:lang w:val="en-US" w:eastAsia="zh-CN" w:bidi="ar-SA"/>
              </w:rPr>
            </w:pPr>
            <w:r>
              <w:rPr>
                <w:rFonts w:hint="eastAsia" w:ascii="宋体" w:hAnsi="宋体" w:eastAsia="宋体" w:cs="宋体"/>
                <w:b/>
                <w:bCs/>
                <w:color w:val="auto"/>
                <w:sz w:val="22"/>
                <w:szCs w:val="22"/>
                <w:highlight w:val="none"/>
              </w:rPr>
              <w:t>规格参数</w:t>
            </w:r>
          </w:p>
        </w:tc>
        <w:tc>
          <w:tcPr>
            <w:tcW w:w="656" w:type="dxa"/>
            <w:vAlign w:val="center"/>
          </w:tcPr>
          <w:p w14:paraId="47E28092">
            <w:pPr>
              <w:keepNext w:val="0"/>
              <w:keepLines w:val="0"/>
              <w:pageBreakBefore w:val="0"/>
              <w:kinsoku/>
              <w:wordWrap/>
              <w:overflowPunct/>
              <w:topLinePunct w:val="0"/>
              <w:autoSpaceDE/>
              <w:autoSpaceDN/>
              <w:bidi w:val="0"/>
              <w:adjustRightInd/>
              <w:snapToGrid/>
              <w:spacing w:line="440" w:lineRule="exact"/>
              <w:jc w:val="both"/>
              <w:textAlignment w:val="auto"/>
              <w:rPr>
                <w:rFonts w:hint="eastAsia" w:ascii="宋体" w:hAnsi="宋体" w:eastAsia="宋体" w:cs="宋体"/>
                <w:b/>
                <w:bCs/>
                <w:color w:val="auto"/>
                <w:sz w:val="22"/>
                <w:szCs w:val="22"/>
                <w:highlight w:val="none"/>
                <w:lang w:val="en-US" w:eastAsia="zh-CN"/>
              </w:rPr>
            </w:pPr>
            <w:r>
              <w:rPr>
                <w:rFonts w:hint="eastAsia" w:ascii="宋体" w:hAnsi="宋体" w:eastAsia="宋体" w:cs="宋体"/>
                <w:b/>
                <w:bCs/>
                <w:color w:val="auto"/>
                <w:sz w:val="22"/>
                <w:szCs w:val="22"/>
                <w:highlight w:val="none"/>
                <w:lang w:val="en-US" w:eastAsia="zh-CN"/>
              </w:rPr>
              <w:t>单位</w:t>
            </w:r>
          </w:p>
        </w:tc>
        <w:tc>
          <w:tcPr>
            <w:tcW w:w="656" w:type="dxa"/>
            <w:vAlign w:val="center"/>
          </w:tcPr>
          <w:p w14:paraId="27AA3CB8">
            <w:pPr>
              <w:keepNext w:val="0"/>
              <w:keepLines w:val="0"/>
              <w:pageBreakBefore w:val="0"/>
              <w:kinsoku/>
              <w:wordWrap/>
              <w:overflowPunct/>
              <w:topLinePunct w:val="0"/>
              <w:autoSpaceDE/>
              <w:autoSpaceDN/>
              <w:bidi w:val="0"/>
              <w:adjustRightInd/>
              <w:snapToGrid/>
              <w:spacing w:line="440" w:lineRule="exact"/>
              <w:jc w:val="both"/>
              <w:textAlignment w:val="auto"/>
              <w:rPr>
                <w:rFonts w:hint="eastAsia" w:ascii="宋体" w:hAnsi="宋体" w:eastAsia="宋体" w:cs="宋体"/>
                <w:b/>
                <w:bCs/>
                <w:color w:val="auto"/>
                <w:sz w:val="22"/>
                <w:szCs w:val="22"/>
                <w:highlight w:val="none"/>
                <w:lang w:val="en-US" w:eastAsia="zh-CN"/>
              </w:rPr>
            </w:pPr>
            <w:r>
              <w:rPr>
                <w:rFonts w:hint="eastAsia" w:ascii="宋体" w:hAnsi="宋体" w:eastAsia="宋体" w:cs="宋体"/>
                <w:b/>
                <w:bCs/>
                <w:color w:val="auto"/>
                <w:sz w:val="22"/>
                <w:szCs w:val="22"/>
                <w:highlight w:val="none"/>
                <w:lang w:val="en-US" w:eastAsia="zh-CN"/>
              </w:rPr>
              <w:t>数量</w:t>
            </w:r>
          </w:p>
        </w:tc>
        <w:tc>
          <w:tcPr>
            <w:tcW w:w="1037" w:type="dxa"/>
            <w:vAlign w:val="center"/>
          </w:tcPr>
          <w:p w14:paraId="417169EC">
            <w:pPr>
              <w:keepNext w:val="0"/>
              <w:keepLines w:val="0"/>
              <w:pageBreakBefore w:val="0"/>
              <w:kinsoku/>
              <w:wordWrap/>
              <w:overflowPunct/>
              <w:topLinePunct w:val="0"/>
              <w:autoSpaceDE/>
              <w:autoSpaceDN/>
              <w:bidi w:val="0"/>
              <w:adjustRightInd/>
              <w:snapToGrid/>
              <w:spacing w:line="440" w:lineRule="exact"/>
              <w:jc w:val="both"/>
              <w:textAlignment w:val="auto"/>
              <w:rPr>
                <w:rFonts w:hint="eastAsia" w:ascii="宋体" w:hAnsi="宋体" w:eastAsia="宋体" w:cs="宋体"/>
                <w:b/>
                <w:bCs/>
                <w:color w:val="auto"/>
                <w:sz w:val="22"/>
                <w:szCs w:val="22"/>
                <w:highlight w:val="none"/>
                <w:lang w:val="en-US" w:eastAsia="zh-CN"/>
              </w:rPr>
            </w:pPr>
            <w:r>
              <w:rPr>
                <w:rFonts w:hint="eastAsia" w:ascii="宋体" w:hAnsi="宋体" w:eastAsia="宋体" w:cs="宋体"/>
                <w:b/>
                <w:bCs/>
                <w:color w:val="auto"/>
                <w:sz w:val="22"/>
                <w:szCs w:val="22"/>
                <w:highlight w:val="none"/>
                <w:lang w:val="en-US" w:eastAsia="zh-CN"/>
              </w:rPr>
              <w:t>单价（元）</w:t>
            </w:r>
          </w:p>
        </w:tc>
        <w:tc>
          <w:tcPr>
            <w:tcW w:w="1155" w:type="dxa"/>
            <w:vAlign w:val="center"/>
          </w:tcPr>
          <w:p w14:paraId="5010D55C">
            <w:pPr>
              <w:keepNext w:val="0"/>
              <w:keepLines w:val="0"/>
              <w:pageBreakBefore w:val="0"/>
              <w:kinsoku/>
              <w:wordWrap/>
              <w:overflowPunct/>
              <w:topLinePunct w:val="0"/>
              <w:autoSpaceDE/>
              <w:autoSpaceDN/>
              <w:bidi w:val="0"/>
              <w:adjustRightInd/>
              <w:snapToGrid/>
              <w:spacing w:line="440" w:lineRule="exact"/>
              <w:jc w:val="both"/>
              <w:textAlignment w:val="auto"/>
              <w:rPr>
                <w:rFonts w:hint="eastAsia" w:ascii="宋体" w:hAnsi="宋体" w:eastAsia="宋体" w:cs="宋体"/>
                <w:b/>
                <w:bCs/>
                <w:color w:val="auto"/>
                <w:sz w:val="22"/>
                <w:szCs w:val="22"/>
                <w:highlight w:val="none"/>
                <w:lang w:val="en-US" w:eastAsia="zh-CN"/>
              </w:rPr>
            </w:pPr>
            <w:r>
              <w:rPr>
                <w:rFonts w:hint="eastAsia" w:ascii="宋体" w:hAnsi="宋体" w:eastAsia="宋体" w:cs="宋体"/>
                <w:b/>
                <w:bCs/>
                <w:color w:val="auto"/>
                <w:sz w:val="22"/>
                <w:szCs w:val="22"/>
                <w:highlight w:val="none"/>
                <w:lang w:val="en-US" w:eastAsia="zh-CN"/>
              </w:rPr>
              <w:t>合价（元）</w:t>
            </w:r>
          </w:p>
        </w:tc>
      </w:tr>
      <w:tr w14:paraId="32B7B1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 w:hRule="atLeast"/>
        </w:trPr>
        <w:tc>
          <w:tcPr>
            <w:tcW w:w="693" w:type="dxa"/>
            <w:vAlign w:val="center"/>
          </w:tcPr>
          <w:p w14:paraId="332DF16E">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val="0"/>
                <w:bCs w:val="0"/>
                <w:color w:val="auto"/>
                <w:kern w:val="2"/>
                <w:sz w:val="22"/>
                <w:szCs w:val="22"/>
                <w:highlight w:val="none"/>
                <w:lang w:val="en-US" w:eastAsia="zh-CN" w:bidi="ar-SA"/>
              </w:rPr>
            </w:pPr>
            <w:r>
              <w:rPr>
                <w:rFonts w:hint="eastAsia" w:ascii="宋体" w:hAnsi="宋体" w:eastAsia="宋体" w:cs="宋体"/>
                <w:b w:val="0"/>
                <w:bCs w:val="0"/>
                <w:color w:val="auto"/>
                <w:sz w:val="22"/>
                <w:szCs w:val="22"/>
                <w:highlight w:val="none"/>
              </w:rPr>
              <w:t>1</w:t>
            </w:r>
          </w:p>
        </w:tc>
        <w:tc>
          <w:tcPr>
            <w:tcW w:w="1024" w:type="dxa"/>
            <w:shd w:val="clear" w:color="auto" w:fill="auto"/>
            <w:vAlign w:val="center"/>
          </w:tcPr>
          <w:p w14:paraId="363CBE27">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宋体" w:hAnsi="宋体" w:eastAsia="宋体" w:cs="宋体"/>
                <w:b w:val="0"/>
                <w:bCs w:val="0"/>
                <w:color w:val="auto"/>
                <w:kern w:val="2"/>
                <w:sz w:val="22"/>
                <w:szCs w:val="22"/>
                <w:highlight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室内LED显示屏系统</w:t>
            </w:r>
          </w:p>
        </w:tc>
        <w:tc>
          <w:tcPr>
            <w:tcW w:w="1077" w:type="dxa"/>
            <w:shd w:val="clear" w:color="auto" w:fill="auto"/>
            <w:vAlign w:val="center"/>
          </w:tcPr>
          <w:p w14:paraId="0AB3B3AF">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val="0"/>
                <w:bCs w:val="0"/>
                <w:color w:val="auto"/>
                <w:sz w:val="22"/>
                <w:szCs w:val="22"/>
                <w:highlight w:val="none"/>
                <w:lang w:eastAsia="zh-CN"/>
              </w:rPr>
            </w:pPr>
          </w:p>
          <w:p w14:paraId="442498BA">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val="0"/>
                <w:bCs w:val="0"/>
                <w:color w:val="auto"/>
                <w:sz w:val="22"/>
                <w:szCs w:val="22"/>
                <w:highlight w:val="none"/>
                <w:lang w:eastAsia="zh-CN"/>
              </w:rPr>
            </w:pPr>
          </w:p>
          <w:p w14:paraId="25E1E1B6">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val="0"/>
                <w:bCs w:val="0"/>
                <w:color w:val="auto"/>
                <w:sz w:val="22"/>
                <w:szCs w:val="22"/>
                <w:highlight w:val="none"/>
                <w:lang w:eastAsia="zh-CN"/>
              </w:rPr>
            </w:pPr>
          </w:p>
          <w:p w14:paraId="5702BF24">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val="0"/>
                <w:bCs w:val="0"/>
                <w:color w:val="auto"/>
                <w:sz w:val="22"/>
                <w:szCs w:val="22"/>
                <w:highlight w:val="none"/>
                <w:lang w:eastAsia="zh-CN"/>
              </w:rPr>
            </w:pPr>
          </w:p>
          <w:p w14:paraId="7454D34A">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val="0"/>
                <w:bCs w:val="0"/>
                <w:color w:val="auto"/>
                <w:sz w:val="22"/>
                <w:szCs w:val="22"/>
                <w:highlight w:val="none"/>
                <w:lang w:eastAsia="zh-CN"/>
              </w:rPr>
            </w:pPr>
          </w:p>
          <w:p w14:paraId="767E284A">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val="0"/>
                <w:bCs w:val="0"/>
                <w:color w:val="auto"/>
                <w:sz w:val="22"/>
                <w:szCs w:val="22"/>
                <w:highlight w:val="none"/>
                <w:lang w:eastAsia="zh-CN"/>
              </w:rPr>
            </w:pPr>
          </w:p>
          <w:p w14:paraId="742F3440">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val="0"/>
                <w:bCs w:val="0"/>
                <w:color w:val="auto"/>
                <w:sz w:val="22"/>
                <w:szCs w:val="22"/>
                <w:highlight w:val="none"/>
                <w:lang w:eastAsia="zh-CN"/>
              </w:rPr>
            </w:pPr>
          </w:p>
          <w:p w14:paraId="1C9DED48">
            <w:pPr>
              <w:keepNext w:val="0"/>
              <w:keepLines w:val="0"/>
              <w:pageBreakBefore w:val="0"/>
              <w:kinsoku/>
              <w:wordWrap/>
              <w:overflowPunct/>
              <w:topLinePunct w:val="0"/>
              <w:autoSpaceDE/>
              <w:autoSpaceDN/>
              <w:bidi w:val="0"/>
              <w:adjustRightInd/>
              <w:snapToGrid/>
              <w:spacing w:line="440" w:lineRule="exact"/>
              <w:jc w:val="left"/>
              <w:textAlignment w:val="auto"/>
              <w:rPr>
                <w:rFonts w:hint="eastAsia" w:ascii="宋体" w:hAnsi="宋体" w:eastAsia="宋体" w:cs="宋体"/>
                <w:b w:val="0"/>
                <w:bCs w:val="0"/>
                <w:color w:val="auto"/>
                <w:sz w:val="22"/>
                <w:szCs w:val="22"/>
                <w:highlight w:val="none"/>
                <w:lang w:eastAsia="zh-CN"/>
              </w:rPr>
            </w:pPr>
            <w:r>
              <w:rPr>
                <w:rFonts w:hint="eastAsia" w:ascii="宋体" w:hAnsi="宋体" w:eastAsia="宋体" w:cs="宋体"/>
                <w:b w:val="0"/>
                <w:bCs w:val="0"/>
                <w:color w:val="auto"/>
                <w:sz w:val="22"/>
                <w:szCs w:val="22"/>
                <w:highlight w:val="none"/>
                <w:lang w:eastAsia="zh-CN"/>
              </w:rPr>
              <w:t>雷曼 、</w:t>
            </w:r>
          </w:p>
          <w:p w14:paraId="019AE193">
            <w:pPr>
              <w:keepNext w:val="0"/>
              <w:keepLines w:val="0"/>
              <w:pageBreakBefore w:val="0"/>
              <w:kinsoku/>
              <w:wordWrap/>
              <w:overflowPunct/>
              <w:topLinePunct w:val="0"/>
              <w:autoSpaceDE/>
              <w:autoSpaceDN/>
              <w:bidi w:val="0"/>
              <w:adjustRightInd/>
              <w:snapToGrid/>
              <w:spacing w:line="440" w:lineRule="exact"/>
              <w:jc w:val="both"/>
              <w:textAlignment w:val="auto"/>
              <w:rPr>
                <w:rFonts w:hint="eastAsia" w:ascii="宋体" w:hAnsi="宋体" w:eastAsia="宋体" w:cs="宋体"/>
                <w:b w:val="0"/>
                <w:bCs w:val="0"/>
                <w:color w:val="auto"/>
                <w:sz w:val="22"/>
                <w:szCs w:val="22"/>
                <w:highlight w:val="none"/>
                <w:lang w:eastAsia="zh-CN"/>
              </w:rPr>
            </w:pPr>
            <w:r>
              <w:rPr>
                <w:rFonts w:hint="eastAsia" w:ascii="宋体" w:hAnsi="宋体" w:eastAsia="宋体" w:cs="宋体"/>
                <w:b w:val="0"/>
                <w:bCs w:val="0"/>
                <w:color w:val="auto"/>
                <w:sz w:val="22"/>
                <w:szCs w:val="22"/>
                <w:highlight w:val="none"/>
                <w:lang w:eastAsia="zh-CN"/>
              </w:rPr>
              <w:t>维合丰、  统创</w:t>
            </w:r>
            <w:r>
              <w:rPr>
                <w:rFonts w:hint="eastAsia" w:ascii="宋体" w:hAnsi="宋体" w:cs="宋体"/>
                <w:b w:val="0"/>
                <w:bCs w:val="0"/>
                <w:color w:val="auto"/>
                <w:sz w:val="22"/>
                <w:szCs w:val="22"/>
                <w:highlight w:val="none"/>
                <w:lang w:val="en-US" w:eastAsia="zh-CN"/>
              </w:rPr>
              <w:t>（</w:t>
            </w:r>
            <w:r>
              <w:rPr>
                <w:rFonts w:hint="eastAsia" w:ascii="宋体" w:hAnsi="宋体" w:cs="宋体"/>
                <w:b w:val="0"/>
                <w:bCs w:val="0"/>
                <w:color w:val="auto"/>
                <w:sz w:val="22"/>
                <w:szCs w:val="22"/>
                <w:highlight w:val="none"/>
                <w:lang w:eastAsia="zh-CN"/>
              </w:rPr>
              <w:t>或同档次品牌以上</w:t>
            </w:r>
            <w:r>
              <w:rPr>
                <w:rFonts w:hint="eastAsia" w:ascii="宋体" w:hAnsi="宋体" w:cs="宋体"/>
                <w:b w:val="0"/>
                <w:bCs w:val="0"/>
                <w:color w:val="auto"/>
                <w:sz w:val="22"/>
                <w:szCs w:val="22"/>
                <w:highlight w:val="none"/>
                <w:lang w:val="en-US" w:eastAsia="zh-CN"/>
              </w:rPr>
              <w:t>）</w:t>
            </w:r>
          </w:p>
          <w:p w14:paraId="0E69E83E">
            <w:pPr>
              <w:keepNext w:val="0"/>
              <w:keepLines w:val="0"/>
              <w:pageBreakBefore w:val="0"/>
              <w:kinsoku/>
              <w:wordWrap/>
              <w:overflowPunct/>
              <w:topLinePunct w:val="0"/>
              <w:autoSpaceDE/>
              <w:autoSpaceDN/>
              <w:bidi w:val="0"/>
              <w:adjustRightInd/>
              <w:snapToGrid/>
              <w:spacing w:line="440" w:lineRule="exact"/>
              <w:jc w:val="left"/>
              <w:textAlignment w:val="auto"/>
              <w:rPr>
                <w:rFonts w:hint="eastAsia" w:ascii="宋体" w:hAnsi="宋体" w:eastAsia="宋体" w:cs="宋体"/>
                <w:b w:val="0"/>
                <w:bCs w:val="0"/>
                <w:color w:val="auto"/>
                <w:sz w:val="22"/>
                <w:szCs w:val="22"/>
                <w:highlight w:val="none"/>
              </w:rPr>
            </w:pPr>
          </w:p>
          <w:p w14:paraId="400B5901">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val="0"/>
                <w:bCs w:val="0"/>
                <w:color w:val="auto"/>
                <w:sz w:val="22"/>
                <w:szCs w:val="22"/>
                <w:highlight w:val="none"/>
              </w:rPr>
            </w:pPr>
          </w:p>
          <w:p w14:paraId="23586591">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val="0"/>
                <w:bCs w:val="0"/>
                <w:color w:val="auto"/>
                <w:sz w:val="22"/>
                <w:szCs w:val="22"/>
                <w:highlight w:val="none"/>
              </w:rPr>
            </w:pPr>
          </w:p>
          <w:p w14:paraId="54A18F0C">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val="0"/>
                <w:bCs w:val="0"/>
                <w:color w:val="auto"/>
                <w:sz w:val="22"/>
                <w:szCs w:val="22"/>
                <w:highlight w:val="none"/>
              </w:rPr>
            </w:pPr>
          </w:p>
          <w:p w14:paraId="2BBBD68F">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val="0"/>
                <w:bCs w:val="0"/>
                <w:color w:val="auto"/>
                <w:sz w:val="22"/>
                <w:szCs w:val="22"/>
                <w:highlight w:val="none"/>
              </w:rPr>
            </w:pPr>
          </w:p>
          <w:p w14:paraId="490BE883">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val="0"/>
                <w:bCs w:val="0"/>
                <w:color w:val="auto"/>
                <w:sz w:val="22"/>
                <w:szCs w:val="22"/>
                <w:highlight w:val="none"/>
              </w:rPr>
            </w:pPr>
          </w:p>
          <w:p w14:paraId="112FA824">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val="0"/>
                <w:bCs w:val="0"/>
                <w:color w:val="auto"/>
                <w:sz w:val="22"/>
                <w:szCs w:val="22"/>
                <w:highlight w:val="none"/>
              </w:rPr>
            </w:pPr>
          </w:p>
          <w:p w14:paraId="144B462F">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val="0"/>
                <w:bCs w:val="0"/>
                <w:color w:val="auto"/>
                <w:sz w:val="22"/>
                <w:szCs w:val="22"/>
                <w:highlight w:val="none"/>
              </w:rPr>
            </w:pPr>
          </w:p>
          <w:p w14:paraId="4FCA392D">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val="0"/>
                <w:bCs w:val="0"/>
                <w:color w:val="auto"/>
                <w:sz w:val="22"/>
                <w:szCs w:val="22"/>
                <w:highlight w:val="none"/>
              </w:rPr>
            </w:pPr>
          </w:p>
          <w:p w14:paraId="039BF708">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val="0"/>
                <w:bCs w:val="0"/>
                <w:color w:val="auto"/>
                <w:sz w:val="22"/>
                <w:szCs w:val="22"/>
                <w:highlight w:val="none"/>
              </w:rPr>
            </w:pPr>
          </w:p>
          <w:p w14:paraId="5E68A6B7">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val="0"/>
                <w:bCs w:val="0"/>
                <w:color w:val="auto"/>
                <w:kern w:val="2"/>
                <w:sz w:val="22"/>
                <w:szCs w:val="22"/>
                <w:highlight w:val="none"/>
                <w:lang w:val="en-US" w:eastAsia="zh-CN" w:bidi="ar-SA"/>
              </w:rPr>
            </w:pPr>
          </w:p>
        </w:tc>
        <w:tc>
          <w:tcPr>
            <w:tcW w:w="9310" w:type="dxa"/>
          </w:tcPr>
          <w:p w14:paraId="1E2A7746">
            <w:pPr>
              <w:spacing w:line="400" w:lineRule="exact"/>
              <w:jc w:val="left"/>
              <w:rPr>
                <w:rFonts w:hint="default"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一、屏体部分（≥6.76 ㎡）</w:t>
            </w:r>
          </w:p>
          <w:p w14:paraId="5A8AC22D">
            <w:pPr>
              <w:spacing w:line="400" w:lineRule="exact"/>
              <w:jc w:val="left"/>
              <w:rPr>
                <w:rFonts w:hint="eastAsia"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1.屏体尺寸宽度≥3.52米，高度≥1.92米，屏体分辨率宽≥1892点，高≥1032点。</w:t>
            </w:r>
            <w:r>
              <w:rPr>
                <w:rFonts w:hint="eastAsia" w:ascii="Times New Roman" w:hAnsi="Times New Roman" w:eastAsia="宋体" w:cs="Times New Roman"/>
                <w:color w:val="auto"/>
                <w:highlight w:val="none"/>
                <w:lang w:val="en-US" w:eastAsia="zh-CN"/>
              </w:rPr>
              <w:br w:type="textWrapping"/>
            </w:r>
            <w:r>
              <w:rPr>
                <w:rFonts w:hint="eastAsia" w:ascii="Times New Roman" w:hAnsi="Times New Roman" w:eastAsia="宋体" w:cs="Times New Roman"/>
                <w:color w:val="auto"/>
                <w:highlight w:val="none"/>
                <w:lang w:val="en-US" w:eastAsia="zh-CN"/>
              </w:rPr>
              <w:t>2.点间距：≤1.86mm，像素密度：288906点/㎡</w:t>
            </w:r>
            <w:r>
              <w:rPr>
                <w:rFonts w:hint="eastAsia" w:ascii="Times New Roman" w:hAnsi="Times New Roman" w:eastAsia="宋体" w:cs="Times New Roman"/>
                <w:color w:val="auto"/>
                <w:highlight w:val="none"/>
                <w:lang w:val="en-US" w:eastAsia="zh-CN"/>
              </w:rPr>
              <w:br w:type="textWrapping"/>
            </w:r>
            <w:r>
              <w:rPr>
                <w:rFonts w:hint="eastAsia" w:ascii="Times New Roman" w:hAnsi="Times New Roman" w:eastAsia="宋体" w:cs="Times New Roman"/>
                <w:color w:val="auto"/>
                <w:highlight w:val="none"/>
                <w:lang w:val="en-US" w:eastAsia="zh-CN"/>
              </w:rPr>
              <w:t>3.▲因屏幕安装在公共场所，模组应具有防坠落安全绳设计，安全绳的材料选择机构耐久性等需通过GB 24543-2009标准的安全绳设计，在突发情况下提供可靠的安全保护防止掉落；</w:t>
            </w:r>
            <w:r>
              <w:rPr>
                <w:rFonts w:hint="eastAsia" w:ascii="Times New Roman" w:hAnsi="Times New Roman" w:eastAsia="宋体" w:cs="Times New Roman"/>
                <w:color w:val="auto"/>
                <w:highlight w:val="none"/>
                <w:lang w:val="en-US" w:eastAsia="zh-CN"/>
              </w:rPr>
              <w:br w:type="textWrapping"/>
            </w:r>
            <w:r>
              <w:rPr>
                <w:rFonts w:hint="eastAsia" w:ascii="Times New Roman" w:hAnsi="Times New Roman" w:eastAsia="宋体" w:cs="Times New Roman"/>
                <w:color w:val="auto"/>
                <w:highlight w:val="none"/>
                <w:lang w:val="en-US" w:eastAsia="zh-CN"/>
              </w:rPr>
              <w:t>4.▲亮度：显示单元亮度≥500nits，亮度调节0～100%无极可调，白平衡亮度≥1000cd/㎡；（6500K校正后）；</w:t>
            </w:r>
            <w:r>
              <w:rPr>
                <w:rFonts w:hint="eastAsia" w:ascii="Times New Roman" w:hAnsi="Times New Roman" w:eastAsia="宋体" w:cs="Times New Roman"/>
                <w:color w:val="auto"/>
                <w:highlight w:val="none"/>
                <w:lang w:val="en-US" w:eastAsia="zh-CN"/>
              </w:rPr>
              <w:br w:type="textWrapping"/>
            </w:r>
            <w:r>
              <w:rPr>
                <w:rFonts w:hint="eastAsia" w:ascii="Times New Roman" w:hAnsi="Times New Roman" w:eastAsia="宋体" w:cs="Times New Roman"/>
                <w:color w:val="auto"/>
                <w:highlight w:val="none"/>
                <w:lang w:val="en-US" w:eastAsia="zh-CN"/>
              </w:rPr>
              <w:t>5.可视角度：水平角度≥160°、垂直角度≥160°；</w:t>
            </w:r>
            <w:r>
              <w:rPr>
                <w:rFonts w:hint="eastAsia" w:ascii="Times New Roman" w:hAnsi="Times New Roman" w:eastAsia="宋体" w:cs="Times New Roman"/>
                <w:color w:val="auto"/>
                <w:highlight w:val="none"/>
                <w:lang w:val="en-US" w:eastAsia="zh-CN"/>
              </w:rPr>
              <w:br w:type="textWrapping"/>
            </w:r>
            <w:r>
              <w:rPr>
                <w:rFonts w:hint="eastAsia" w:ascii="Times New Roman" w:hAnsi="Times New Roman" w:eastAsia="宋体" w:cs="Times New Roman"/>
                <w:color w:val="auto"/>
                <w:highlight w:val="none"/>
                <w:lang w:val="en-US" w:eastAsia="zh-CN"/>
              </w:rPr>
              <w:t>6.亮度均匀性：≥98%；</w:t>
            </w:r>
            <w:r>
              <w:rPr>
                <w:rFonts w:hint="eastAsia" w:ascii="Times New Roman" w:hAnsi="Times New Roman" w:eastAsia="宋体" w:cs="Times New Roman"/>
                <w:color w:val="auto"/>
                <w:highlight w:val="none"/>
                <w:lang w:val="en-US" w:eastAsia="zh-CN"/>
              </w:rPr>
              <w:br w:type="textWrapping"/>
            </w:r>
            <w:r>
              <w:rPr>
                <w:rFonts w:hint="eastAsia" w:ascii="Times New Roman" w:hAnsi="Times New Roman" w:eastAsia="宋体" w:cs="Times New Roman"/>
                <w:color w:val="auto"/>
                <w:highlight w:val="none"/>
                <w:lang w:val="en-US" w:eastAsia="zh-CN"/>
              </w:rPr>
              <w:t>7.色度均匀性：±0.002Cx,Cy之内；</w:t>
            </w:r>
            <w:r>
              <w:rPr>
                <w:rFonts w:hint="eastAsia" w:ascii="Times New Roman" w:hAnsi="Times New Roman" w:eastAsia="宋体" w:cs="Times New Roman"/>
                <w:color w:val="auto"/>
                <w:highlight w:val="none"/>
                <w:lang w:val="en-US" w:eastAsia="zh-CN"/>
              </w:rPr>
              <w:br w:type="textWrapping"/>
            </w:r>
            <w:r>
              <w:rPr>
                <w:rFonts w:hint="eastAsia" w:ascii="Times New Roman" w:hAnsi="Times New Roman" w:eastAsia="宋体" w:cs="Times New Roman"/>
                <w:color w:val="auto"/>
                <w:highlight w:val="none"/>
                <w:lang w:val="en-US" w:eastAsia="zh-CN"/>
              </w:rPr>
              <w:t>8.对比度：≥15000:1；</w:t>
            </w:r>
            <w:r>
              <w:rPr>
                <w:rFonts w:hint="eastAsia" w:ascii="Times New Roman" w:hAnsi="Times New Roman" w:eastAsia="宋体" w:cs="Times New Roman"/>
                <w:color w:val="auto"/>
                <w:highlight w:val="none"/>
                <w:lang w:val="en-US" w:eastAsia="zh-CN"/>
              </w:rPr>
              <w:br w:type="textWrapping"/>
            </w:r>
            <w:r>
              <w:rPr>
                <w:rFonts w:hint="eastAsia" w:ascii="Times New Roman" w:hAnsi="Times New Roman" w:eastAsia="宋体" w:cs="Times New Roman"/>
                <w:color w:val="auto"/>
                <w:highlight w:val="none"/>
                <w:lang w:val="en-US" w:eastAsia="zh-CN"/>
              </w:rPr>
              <w:t>9.换帧频率：50/60Hz；</w:t>
            </w:r>
            <w:r>
              <w:rPr>
                <w:rFonts w:hint="eastAsia" w:ascii="Times New Roman" w:hAnsi="Times New Roman" w:eastAsia="宋体" w:cs="Times New Roman"/>
                <w:color w:val="auto"/>
                <w:highlight w:val="none"/>
                <w:lang w:val="en-US" w:eastAsia="zh-CN"/>
              </w:rPr>
              <w:br w:type="textWrapping"/>
            </w:r>
            <w:r>
              <w:rPr>
                <w:rFonts w:hint="eastAsia" w:ascii="Times New Roman" w:hAnsi="Times New Roman" w:eastAsia="宋体" w:cs="Times New Roman"/>
                <w:color w:val="auto"/>
                <w:highlight w:val="none"/>
                <w:lang w:val="en-US" w:eastAsia="zh-CN"/>
              </w:rPr>
              <w:t>10.▲刷新率：支持740Hz-3840Hz调节，直接通过配套控制软件调节刷新率设置；</w:t>
            </w:r>
            <w:r>
              <w:rPr>
                <w:rFonts w:hint="eastAsia" w:ascii="Times New Roman" w:hAnsi="Times New Roman" w:eastAsia="宋体" w:cs="Times New Roman"/>
                <w:color w:val="auto"/>
                <w:highlight w:val="none"/>
                <w:lang w:val="en-US" w:eastAsia="zh-CN"/>
              </w:rPr>
              <w:br w:type="textWrapping"/>
            </w:r>
            <w:r>
              <w:rPr>
                <w:rFonts w:hint="eastAsia" w:ascii="Times New Roman" w:hAnsi="Times New Roman" w:eastAsia="宋体" w:cs="Times New Roman"/>
                <w:color w:val="auto"/>
                <w:highlight w:val="none"/>
                <w:lang w:val="en-US" w:eastAsia="zh-CN"/>
              </w:rPr>
              <w:t>11.▲白场色坐标：白场色坐标符合SJ/T11141-2017 5.10.5规定范围；</w:t>
            </w:r>
            <w:r>
              <w:rPr>
                <w:rFonts w:hint="eastAsia" w:ascii="Times New Roman" w:hAnsi="Times New Roman" w:eastAsia="宋体" w:cs="Times New Roman"/>
                <w:color w:val="auto"/>
                <w:highlight w:val="none"/>
                <w:lang w:val="en-US" w:eastAsia="zh-CN"/>
              </w:rPr>
              <w:br w:type="textWrapping"/>
            </w:r>
            <w:r>
              <w:rPr>
                <w:rFonts w:hint="eastAsia" w:ascii="Times New Roman" w:hAnsi="Times New Roman" w:eastAsia="宋体" w:cs="Times New Roman"/>
                <w:color w:val="auto"/>
                <w:highlight w:val="none"/>
                <w:lang w:val="en-US" w:eastAsia="zh-CN"/>
              </w:rPr>
              <w:t>12.▲亮度鉴别等级：符合SJ/T 11141-2017标准C级，BJ≥20；</w:t>
            </w:r>
            <w:r>
              <w:rPr>
                <w:rFonts w:hint="eastAsia" w:ascii="Times New Roman" w:hAnsi="Times New Roman" w:eastAsia="宋体" w:cs="Times New Roman"/>
                <w:color w:val="auto"/>
                <w:highlight w:val="none"/>
                <w:lang w:val="en-US" w:eastAsia="zh-CN"/>
              </w:rPr>
              <w:br w:type="textWrapping"/>
            </w:r>
            <w:r>
              <w:rPr>
                <w:rFonts w:hint="eastAsia" w:ascii="Times New Roman" w:hAnsi="Times New Roman" w:eastAsia="宋体" w:cs="Times New Roman"/>
                <w:color w:val="auto"/>
                <w:highlight w:val="none"/>
                <w:lang w:val="en-US" w:eastAsia="zh-CN"/>
              </w:rPr>
              <w:t>13.灰度等级：红，绿，蓝各256级；支持EPWM灰阶控制技术，支持软件实现0-100%不同亮度情况下，灰度10-22bits任意灰度设置：100%亮度22bit灰度；提升低灰视觉效果；</w:t>
            </w:r>
            <w:r>
              <w:rPr>
                <w:rFonts w:hint="eastAsia" w:ascii="Times New Roman" w:hAnsi="Times New Roman" w:eastAsia="宋体" w:cs="Times New Roman"/>
                <w:color w:val="auto"/>
                <w:highlight w:val="none"/>
                <w:lang w:val="en-US" w:eastAsia="zh-CN"/>
              </w:rPr>
              <w:br w:type="textWrapping"/>
            </w:r>
            <w:r>
              <w:rPr>
                <w:rFonts w:hint="eastAsia" w:ascii="Times New Roman" w:hAnsi="Times New Roman" w:eastAsia="宋体" w:cs="Times New Roman"/>
                <w:color w:val="auto"/>
                <w:highlight w:val="none"/>
                <w:lang w:val="en-US" w:eastAsia="zh-CN"/>
              </w:rPr>
              <w:t>14.功耗（W/㎡）：峰值≤420W/㎡，平均≤145W/㎡；</w:t>
            </w:r>
            <w:r>
              <w:rPr>
                <w:rFonts w:hint="eastAsia" w:ascii="Times New Roman" w:hAnsi="Times New Roman" w:eastAsia="宋体" w:cs="Times New Roman"/>
                <w:color w:val="auto"/>
                <w:highlight w:val="none"/>
                <w:lang w:val="en-US" w:eastAsia="zh-CN"/>
              </w:rPr>
              <w:br w:type="textWrapping"/>
            </w:r>
            <w:r>
              <w:rPr>
                <w:rFonts w:hint="eastAsia" w:ascii="Times New Roman" w:hAnsi="Times New Roman" w:eastAsia="宋体" w:cs="Times New Roman"/>
                <w:color w:val="auto"/>
                <w:highlight w:val="none"/>
                <w:lang w:val="en-US" w:eastAsia="zh-CN"/>
              </w:rPr>
              <w:t>15.休眠模式功耗(W/m²）：显示屏黑屏不点亮时，功耗≤50W/m²；</w:t>
            </w:r>
            <w:r>
              <w:rPr>
                <w:rFonts w:hint="eastAsia" w:ascii="Times New Roman" w:hAnsi="Times New Roman" w:eastAsia="宋体" w:cs="Times New Roman"/>
                <w:color w:val="auto"/>
                <w:highlight w:val="none"/>
                <w:lang w:val="en-US" w:eastAsia="zh-CN"/>
              </w:rPr>
              <w:br w:type="textWrapping"/>
            </w:r>
            <w:r>
              <w:rPr>
                <w:rFonts w:hint="eastAsia" w:ascii="Times New Roman" w:hAnsi="Times New Roman" w:eastAsia="宋体" w:cs="Times New Roman"/>
                <w:color w:val="auto"/>
                <w:highlight w:val="none"/>
                <w:lang w:val="en-US" w:eastAsia="zh-CN"/>
              </w:rPr>
              <w:t>16.平均使用寿命：≥120000小时；</w:t>
            </w:r>
            <w:r>
              <w:rPr>
                <w:rFonts w:hint="eastAsia" w:ascii="Times New Roman" w:hAnsi="Times New Roman" w:eastAsia="宋体" w:cs="Times New Roman"/>
                <w:color w:val="auto"/>
                <w:highlight w:val="none"/>
                <w:lang w:val="en-US" w:eastAsia="zh-CN"/>
              </w:rPr>
              <w:br w:type="textWrapping"/>
            </w:r>
            <w:r>
              <w:rPr>
                <w:rFonts w:hint="eastAsia" w:ascii="Times New Roman" w:hAnsi="Times New Roman" w:eastAsia="宋体" w:cs="Times New Roman"/>
                <w:color w:val="auto"/>
                <w:highlight w:val="none"/>
                <w:lang w:val="en-US" w:eastAsia="zh-CN"/>
              </w:rPr>
              <w:t>17.MTBF平均失效间隔时间：≥120000小时；</w:t>
            </w:r>
            <w:r>
              <w:rPr>
                <w:rFonts w:hint="eastAsia" w:ascii="Times New Roman" w:hAnsi="Times New Roman" w:eastAsia="宋体" w:cs="Times New Roman"/>
                <w:color w:val="auto"/>
                <w:highlight w:val="none"/>
                <w:lang w:val="en-US" w:eastAsia="zh-CN"/>
              </w:rPr>
              <w:br w:type="textWrapping"/>
            </w:r>
            <w:r>
              <w:rPr>
                <w:rFonts w:hint="eastAsia" w:ascii="Times New Roman" w:hAnsi="Times New Roman" w:eastAsia="宋体" w:cs="Times New Roman"/>
                <w:color w:val="auto"/>
                <w:highlight w:val="none"/>
                <w:lang w:val="en-US" w:eastAsia="zh-CN"/>
              </w:rPr>
              <w:t>18.基板要求：符合GB4588.3-2002环氧玻璃布层压板，机械性能、电性能、耐高湿性能以及耐焊接性能符合要求，使用温度130℃；</w:t>
            </w:r>
            <w:r>
              <w:rPr>
                <w:rFonts w:hint="eastAsia" w:ascii="Times New Roman" w:hAnsi="Times New Roman" w:eastAsia="宋体" w:cs="Times New Roman"/>
                <w:color w:val="auto"/>
                <w:highlight w:val="none"/>
                <w:lang w:val="en-US" w:eastAsia="zh-CN"/>
              </w:rPr>
              <w:br w:type="textWrapping"/>
            </w:r>
            <w:r>
              <w:rPr>
                <w:rFonts w:hint="eastAsia" w:ascii="Times New Roman" w:hAnsi="Times New Roman" w:eastAsia="宋体" w:cs="Times New Roman"/>
                <w:color w:val="auto"/>
                <w:highlight w:val="none"/>
                <w:lang w:val="en-US" w:eastAsia="zh-CN"/>
              </w:rPr>
              <w:t>19.▲防护等级：≥IP65；</w:t>
            </w:r>
            <w:r>
              <w:rPr>
                <w:rFonts w:hint="eastAsia" w:ascii="Times New Roman" w:hAnsi="Times New Roman" w:eastAsia="宋体" w:cs="Times New Roman"/>
                <w:color w:val="auto"/>
                <w:highlight w:val="none"/>
                <w:lang w:val="en-US" w:eastAsia="zh-CN"/>
              </w:rPr>
              <w:br w:type="textWrapping"/>
            </w:r>
            <w:r>
              <w:rPr>
                <w:rFonts w:hint="eastAsia" w:ascii="Times New Roman" w:hAnsi="Times New Roman" w:eastAsia="宋体" w:cs="Times New Roman"/>
                <w:color w:val="auto"/>
                <w:highlight w:val="none"/>
                <w:lang w:val="en-US" w:eastAsia="zh-CN"/>
              </w:rPr>
              <w:t>20.噪音测试：显示屏工作时应保持低噪状态。屏体球面半径1米处，整屏噪声≤5db；1.5米处，整屏噪声≤4db；</w:t>
            </w:r>
            <w:r>
              <w:rPr>
                <w:rFonts w:hint="eastAsia" w:ascii="Times New Roman" w:hAnsi="Times New Roman" w:eastAsia="宋体" w:cs="Times New Roman"/>
                <w:color w:val="auto"/>
                <w:highlight w:val="none"/>
                <w:lang w:val="en-US" w:eastAsia="zh-CN"/>
              </w:rPr>
              <w:br w:type="textWrapping"/>
            </w:r>
            <w:r>
              <w:rPr>
                <w:rFonts w:hint="eastAsia" w:ascii="Times New Roman" w:hAnsi="Times New Roman" w:eastAsia="宋体" w:cs="Times New Roman"/>
                <w:color w:val="auto"/>
                <w:highlight w:val="none"/>
                <w:lang w:val="en-US" w:eastAsia="zh-CN"/>
              </w:rPr>
              <w:t>21.用户级模组维护：模组支持带电维护，热插拔不超过10秒，更换模组；支待自动校正。模组工作电压＜4.5V。模组底壳采用高强度塑胶大件，防护性能大大提高；模组采用磁吸固定方式，模组磁吸固定点≥8个；</w:t>
            </w:r>
            <w:r>
              <w:rPr>
                <w:rFonts w:hint="eastAsia" w:ascii="Times New Roman" w:hAnsi="Times New Roman" w:eastAsia="宋体" w:cs="Times New Roman"/>
                <w:color w:val="auto"/>
                <w:highlight w:val="none"/>
                <w:lang w:val="en-US" w:eastAsia="zh-CN"/>
              </w:rPr>
              <w:br w:type="textWrapping"/>
            </w:r>
            <w:r>
              <w:rPr>
                <w:rFonts w:hint="eastAsia" w:ascii="Times New Roman" w:hAnsi="Times New Roman" w:eastAsia="宋体" w:cs="Times New Roman"/>
                <w:color w:val="auto"/>
                <w:highlight w:val="none"/>
                <w:lang w:val="en-US" w:eastAsia="zh-CN"/>
              </w:rPr>
              <w:t>22.智能节电：具备自动关机节能功能，支持自动检测屏幕前是否有人，当有人时屏幕正常点亮；当无人时，一段时间后（可设置)屏幕自动调暗或黑屏，智能(黑屏)节电功能开启智能节电功能比没有开启节能80%以上；</w:t>
            </w:r>
            <w:r>
              <w:rPr>
                <w:rFonts w:hint="eastAsia" w:ascii="Times New Roman" w:hAnsi="Times New Roman" w:eastAsia="宋体" w:cs="Times New Roman"/>
                <w:color w:val="auto"/>
                <w:highlight w:val="none"/>
                <w:lang w:val="en-US" w:eastAsia="zh-CN"/>
              </w:rPr>
              <w:br w:type="textWrapping"/>
            </w:r>
            <w:r>
              <w:rPr>
                <w:rFonts w:hint="eastAsia" w:ascii="Times New Roman" w:hAnsi="Times New Roman" w:eastAsia="宋体" w:cs="Times New Roman"/>
                <w:color w:val="auto"/>
                <w:highlight w:val="none"/>
                <w:lang w:val="en-US" w:eastAsia="zh-CN"/>
              </w:rPr>
              <w:t>23.▲低亮高灰：具备低亮高灰功能，亮度调节至500cd/m²灰度等级为16bit；刷新率不低于3200Hz；亮度调节至300cd/m²灰度等级为15bit:刷新率不低于3100Hz；亮度在200cd/m²时，灰度等级在14bit以上，刷新率不低于3000Hz；亮度在100cd/m²时，灰度等级在14bit以上，刷新率不低于2800Hz；</w:t>
            </w:r>
            <w:r>
              <w:rPr>
                <w:rFonts w:hint="eastAsia" w:ascii="Times New Roman" w:hAnsi="Times New Roman" w:eastAsia="宋体" w:cs="Times New Roman"/>
                <w:color w:val="auto"/>
                <w:highlight w:val="none"/>
                <w:lang w:val="en-US" w:eastAsia="zh-CN"/>
              </w:rPr>
              <w:br w:type="textWrapping"/>
            </w:r>
            <w:r>
              <w:rPr>
                <w:rFonts w:hint="eastAsia" w:ascii="Times New Roman" w:hAnsi="Times New Roman" w:eastAsia="宋体" w:cs="Times New Roman"/>
                <w:color w:val="auto"/>
                <w:highlight w:val="none"/>
                <w:lang w:val="en-US" w:eastAsia="zh-CN"/>
              </w:rPr>
              <w:t>24.▲色温误差：色温为6500K时，100%，75%，50%，25%四档电平白场调节色温误差≤200K；</w:t>
            </w:r>
            <w:r>
              <w:rPr>
                <w:rFonts w:hint="eastAsia" w:ascii="Times New Roman" w:hAnsi="Times New Roman" w:eastAsia="宋体" w:cs="Times New Roman"/>
                <w:color w:val="auto"/>
                <w:highlight w:val="none"/>
                <w:lang w:val="en-US" w:eastAsia="zh-CN"/>
              </w:rPr>
              <w:br w:type="textWrapping"/>
            </w:r>
            <w:r>
              <w:rPr>
                <w:rFonts w:hint="eastAsia" w:ascii="Times New Roman" w:hAnsi="Times New Roman" w:eastAsia="宋体" w:cs="Times New Roman"/>
                <w:color w:val="auto"/>
                <w:highlight w:val="none"/>
                <w:lang w:val="en-US" w:eastAsia="zh-CN"/>
              </w:rPr>
              <w:t>25.摩尔纹抑制：支持抑制摩尔纹功能。减轻摩尔纹视觉主观效果80%；</w:t>
            </w:r>
            <w:r>
              <w:rPr>
                <w:rFonts w:hint="eastAsia" w:ascii="Times New Roman" w:hAnsi="Times New Roman" w:eastAsia="宋体" w:cs="Times New Roman"/>
                <w:color w:val="auto"/>
                <w:highlight w:val="none"/>
                <w:lang w:val="en-US" w:eastAsia="zh-CN"/>
              </w:rPr>
              <w:br w:type="textWrapping"/>
            </w:r>
            <w:r>
              <w:rPr>
                <w:rFonts w:hint="eastAsia" w:ascii="Times New Roman" w:hAnsi="Times New Roman" w:eastAsia="宋体" w:cs="Times New Roman"/>
                <w:color w:val="auto"/>
                <w:highlight w:val="none"/>
                <w:lang w:val="en-US" w:eastAsia="zh-CN"/>
              </w:rPr>
              <w:t>26.电源要求：供电开关电源采用宽动态电源，电压具有高适应性，在一定范围内不同等级的电压都能应用。电源采用无风扇设计，带主动PFC功能的高效率电源，功率因数＞0.99,带同步镇流功能，转换效率≥0.92；</w:t>
            </w:r>
            <w:r>
              <w:rPr>
                <w:rFonts w:hint="eastAsia" w:ascii="Times New Roman" w:hAnsi="Times New Roman" w:eastAsia="宋体" w:cs="Times New Roman"/>
                <w:color w:val="auto"/>
                <w:highlight w:val="none"/>
                <w:lang w:val="en-US" w:eastAsia="zh-CN"/>
              </w:rPr>
              <w:br w:type="textWrapping"/>
            </w:r>
            <w:r>
              <w:rPr>
                <w:rFonts w:hint="eastAsia" w:ascii="Times New Roman" w:hAnsi="Times New Roman" w:eastAsia="宋体" w:cs="Times New Roman"/>
                <w:color w:val="auto"/>
                <w:highlight w:val="none"/>
                <w:lang w:val="en-US" w:eastAsia="zh-CN"/>
              </w:rPr>
              <w:t>27.▲抗风安全性能：LED显示屏满足抗风荷载试验各项参数正常使用的安全要求，抗拉力≥15kN；</w:t>
            </w:r>
            <w:r>
              <w:rPr>
                <w:rFonts w:hint="eastAsia" w:ascii="Times New Roman" w:hAnsi="Times New Roman" w:eastAsia="宋体" w:cs="Times New Roman"/>
                <w:color w:val="auto"/>
                <w:highlight w:val="none"/>
                <w:lang w:val="en-US" w:eastAsia="zh-CN"/>
              </w:rPr>
              <w:br w:type="textWrapping"/>
            </w:r>
            <w:r>
              <w:rPr>
                <w:rFonts w:hint="eastAsia" w:ascii="Times New Roman" w:hAnsi="Times New Roman" w:eastAsia="宋体" w:cs="Times New Roman"/>
                <w:color w:val="auto"/>
                <w:highlight w:val="none"/>
                <w:lang w:val="en-US" w:eastAsia="zh-CN"/>
              </w:rPr>
              <w:t>28.图像增强：采用先进的γ校正技术，可通过调整γ曲线提升图像清晰度、对比度、饱和度、色度和流畅度等视觉效果；</w:t>
            </w:r>
            <w:r>
              <w:rPr>
                <w:rFonts w:hint="eastAsia" w:ascii="Times New Roman" w:hAnsi="Times New Roman" w:eastAsia="宋体" w:cs="Times New Roman"/>
                <w:color w:val="auto"/>
                <w:highlight w:val="none"/>
                <w:lang w:val="en-US" w:eastAsia="zh-CN"/>
              </w:rPr>
              <w:br w:type="textWrapping"/>
            </w:r>
            <w:r>
              <w:rPr>
                <w:rFonts w:hint="eastAsia" w:ascii="Times New Roman" w:hAnsi="Times New Roman" w:eastAsia="宋体" w:cs="Times New Roman"/>
                <w:color w:val="auto"/>
                <w:highlight w:val="none"/>
                <w:lang w:val="en-US" w:eastAsia="zh-CN"/>
              </w:rPr>
              <w:t>29.图像处理：具有视频降噪、增强、运动补偿、色彩变换、色坐标变换、钝化、消除鬼影拖尾等图像处理功能；具有亮度、对比度、色度调节、视觉修正等图像调整功能；LED图像无失真现象；LED图像显示画面无重影、毛毛虫及鬼影现象，无几何失真和非线性失真；</w:t>
            </w:r>
            <w:r>
              <w:rPr>
                <w:rFonts w:hint="eastAsia" w:ascii="Times New Roman" w:hAnsi="Times New Roman" w:eastAsia="宋体" w:cs="Times New Roman"/>
                <w:color w:val="auto"/>
                <w:highlight w:val="none"/>
                <w:lang w:val="en-US" w:eastAsia="zh-CN"/>
              </w:rPr>
              <w:br w:type="textWrapping"/>
            </w:r>
            <w:r>
              <w:rPr>
                <w:rFonts w:hint="eastAsia" w:ascii="Times New Roman" w:hAnsi="Times New Roman" w:eastAsia="宋体" w:cs="Times New Roman"/>
                <w:color w:val="auto"/>
                <w:highlight w:val="none"/>
                <w:lang w:val="en-US" w:eastAsia="zh-CN"/>
              </w:rPr>
              <w:t>30.沙尘试验：通过GB/T2423.37-2006 4.2沙尘试验，粒子尺寸＜75μm的滑石粉，尘降量600g/（㎡·d)，自由降尘，试验时间8h，产品未发现尘沉积及侵入；</w:t>
            </w:r>
            <w:r>
              <w:rPr>
                <w:rFonts w:hint="eastAsia" w:ascii="Times New Roman" w:hAnsi="Times New Roman" w:eastAsia="宋体" w:cs="Times New Roman"/>
                <w:color w:val="auto"/>
                <w:highlight w:val="none"/>
                <w:lang w:val="en-US" w:eastAsia="zh-CN"/>
              </w:rPr>
              <w:br w:type="textWrapping"/>
            </w:r>
            <w:r>
              <w:rPr>
                <w:rFonts w:hint="eastAsia" w:ascii="Times New Roman" w:hAnsi="Times New Roman" w:eastAsia="宋体" w:cs="Times New Roman"/>
                <w:color w:val="auto"/>
                <w:highlight w:val="none"/>
                <w:lang w:val="en-US" w:eastAsia="zh-CN"/>
              </w:rPr>
              <w:t>（以上3-30</w:t>
            </w:r>
            <w:r>
              <w:rPr>
                <w:rFonts w:hint="eastAsia" w:ascii="Times New Roman" w:hAnsi="Times New Roman" w:cs="Times New Roman"/>
                <w:color w:val="auto"/>
                <w:highlight w:val="none"/>
                <w:lang w:val="en-US" w:eastAsia="zh-CN"/>
              </w:rPr>
              <w:t>条标</w:t>
            </w:r>
            <w:r>
              <w:rPr>
                <w:rFonts w:hint="eastAsia" w:ascii="Times New Roman" w:hAnsi="Times New Roman" w:eastAsia="宋体" w:cs="Times New Roman"/>
                <w:color w:val="auto"/>
                <w:highlight w:val="none"/>
                <w:lang w:val="en-US" w:eastAsia="zh-CN"/>
              </w:rPr>
              <w:t>▲</w:t>
            </w:r>
            <w:r>
              <w:rPr>
                <w:rFonts w:hint="eastAsia" w:ascii="Times New Roman" w:hAnsi="Times New Roman" w:cs="Times New Roman"/>
                <w:color w:val="auto"/>
                <w:highlight w:val="none"/>
                <w:lang w:val="en-US" w:eastAsia="zh-CN"/>
              </w:rPr>
              <w:t>参数</w:t>
            </w:r>
            <w:r>
              <w:rPr>
                <w:rFonts w:hint="eastAsia" w:ascii="宋体" w:hAnsi="宋体" w:cs="宋体"/>
                <w:b w:val="0"/>
                <w:bCs w:val="0"/>
                <w:color w:val="auto"/>
                <w:kern w:val="0"/>
                <w:sz w:val="22"/>
                <w:szCs w:val="22"/>
                <w:highlight w:val="none"/>
                <w:lang w:val="en-US" w:eastAsia="zh-CN"/>
              </w:rPr>
              <w:t>投标时提供国家认可的第三方检测机构出具的检测报告复印件并加盖供应商公章。）</w:t>
            </w:r>
            <w:bookmarkStart w:id="0" w:name="_GoBack"/>
            <w:bookmarkEnd w:id="0"/>
            <w:r>
              <w:rPr>
                <w:rFonts w:hint="eastAsia" w:ascii="Times New Roman" w:hAnsi="Times New Roman" w:eastAsia="宋体" w:cs="Times New Roman"/>
                <w:color w:val="auto"/>
                <w:highlight w:val="yellow"/>
                <w:lang w:val="en-US" w:eastAsia="zh-CN"/>
              </w:rPr>
              <w:br w:type="textWrapping"/>
            </w:r>
            <w:r>
              <w:rPr>
                <w:rFonts w:hint="eastAsia" w:ascii="Times New Roman" w:hAnsi="Times New Roman" w:eastAsia="宋体" w:cs="Times New Roman"/>
                <w:color w:val="auto"/>
                <w:highlight w:val="none"/>
                <w:lang w:val="en-US" w:eastAsia="zh-CN"/>
              </w:rPr>
              <w:t>31.▲LED显示屏通过CCC中国强制性产品认证（</w:t>
            </w:r>
            <w:r>
              <w:rPr>
                <w:rFonts w:hint="eastAsia" w:ascii="Times New Roman" w:hAnsi="Times New Roman" w:cs="Times New Roman"/>
                <w:color w:val="auto"/>
                <w:highlight w:val="none"/>
                <w:lang w:val="en-US" w:eastAsia="zh-CN"/>
              </w:rPr>
              <w:t>投标时</w:t>
            </w:r>
            <w:r>
              <w:rPr>
                <w:rFonts w:hint="eastAsia" w:ascii="Times New Roman" w:hAnsi="Times New Roman" w:eastAsia="宋体" w:cs="Times New Roman"/>
                <w:color w:val="auto"/>
                <w:highlight w:val="none"/>
                <w:lang w:val="en-US" w:eastAsia="zh-CN"/>
              </w:rPr>
              <w:t>需提供CCC认证证书</w:t>
            </w:r>
            <w:r>
              <w:rPr>
                <w:rFonts w:hint="eastAsia" w:ascii="Times New Roman" w:hAnsi="Times New Roman" w:cs="Times New Roman"/>
                <w:color w:val="auto"/>
                <w:highlight w:val="none"/>
                <w:lang w:val="en-US" w:eastAsia="zh-CN"/>
              </w:rPr>
              <w:t>复印件</w:t>
            </w:r>
            <w:r>
              <w:rPr>
                <w:rFonts w:hint="eastAsia" w:ascii="Times New Roman" w:hAnsi="Times New Roman" w:eastAsia="宋体" w:cs="Times New Roman"/>
                <w:color w:val="auto"/>
                <w:highlight w:val="none"/>
                <w:lang w:val="en-US" w:eastAsia="zh-CN"/>
              </w:rPr>
              <w:t>）；</w:t>
            </w:r>
            <w:r>
              <w:rPr>
                <w:rFonts w:hint="eastAsia" w:ascii="Times New Roman" w:hAnsi="Times New Roman" w:eastAsia="宋体" w:cs="Times New Roman"/>
                <w:color w:val="auto"/>
                <w:highlight w:val="none"/>
                <w:lang w:val="en-US" w:eastAsia="zh-CN"/>
              </w:rPr>
              <w:br w:type="textWrapping"/>
            </w:r>
            <w:r>
              <w:rPr>
                <w:rFonts w:hint="eastAsia" w:ascii="Times New Roman" w:hAnsi="Times New Roman" w:eastAsia="宋体" w:cs="Times New Roman"/>
                <w:color w:val="auto"/>
                <w:highlight w:val="none"/>
                <w:lang w:val="en-US" w:eastAsia="zh-CN"/>
              </w:rPr>
              <w:t>32.LED显示屏制造商具有中国质量认证中心颁发的中国节能产品认证证书，（</w:t>
            </w:r>
            <w:r>
              <w:rPr>
                <w:rFonts w:hint="eastAsia" w:ascii="Times New Roman" w:hAnsi="Times New Roman" w:cs="Times New Roman"/>
                <w:color w:val="auto"/>
                <w:highlight w:val="none"/>
                <w:lang w:val="en-US" w:eastAsia="zh-CN"/>
              </w:rPr>
              <w:t>投标时</w:t>
            </w:r>
            <w:r>
              <w:rPr>
                <w:rFonts w:hint="eastAsia" w:ascii="Times New Roman" w:hAnsi="Times New Roman" w:eastAsia="宋体" w:cs="Times New Roman"/>
                <w:color w:val="auto"/>
                <w:highlight w:val="none"/>
                <w:lang w:val="en-US" w:eastAsia="zh-CN"/>
              </w:rPr>
              <w:t>需提供中国节能产品认证证书</w:t>
            </w:r>
            <w:r>
              <w:rPr>
                <w:rFonts w:hint="eastAsia" w:ascii="Times New Roman" w:hAnsi="Times New Roman" w:cs="Times New Roman"/>
                <w:color w:val="auto"/>
                <w:highlight w:val="none"/>
                <w:lang w:val="en-US" w:eastAsia="zh-CN"/>
              </w:rPr>
              <w:t>复印件</w:t>
            </w:r>
            <w:r>
              <w:rPr>
                <w:rFonts w:hint="eastAsia" w:ascii="Times New Roman" w:hAnsi="Times New Roman" w:eastAsia="宋体" w:cs="Times New Roman"/>
                <w:color w:val="auto"/>
                <w:highlight w:val="none"/>
                <w:lang w:val="en-US" w:eastAsia="zh-CN"/>
              </w:rPr>
              <w:t>）；</w:t>
            </w:r>
          </w:p>
          <w:p w14:paraId="4387F323">
            <w:pPr>
              <w:spacing w:line="400" w:lineRule="exact"/>
              <w:jc w:val="left"/>
              <w:rPr>
                <w:rFonts w:hint="eastAsia"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二、接收卡（11张）</w:t>
            </w:r>
          </w:p>
          <w:p w14:paraId="11859314">
            <w:pPr>
              <w:spacing w:line="400" w:lineRule="exact"/>
              <w:jc w:val="left"/>
              <w:rPr>
                <w:rFonts w:hint="eastAsia"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1、单卡最大带载分辨率 512×512@60Hz，最多支持32组并行数据</w:t>
            </w:r>
            <w:r>
              <w:rPr>
                <w:rFonts w:hint="eastAsia" w:ascii="Times New Roman" w:hAnsi="Times New Roman" w:eastAsia="宋体" w:cs="Times New Roman"/>
                <w:color w:val="auto"/>
                <w:highlight w:val="none"/>
                <w:lang w:val="en-US" w:eastAsia="zh-CN"/>
              </w:rPr>
              <w:br w:type="textWrapping"/>
            </w:r>
            <w:r>
              <w:rPr>
                <w:rFonts w:hint="eastAsia" w:ascii="Times New Roman" w:hAnsi="Times New Roman" w:eastAsia="宋体" w:cs="Times New Roman"/>
                <w:color w:val="auto"/>
                <w:highlight w:val="none"/>
                <w:lang w:val="en-US" w:eastAsia="zh-CN"/>
              </w:rPr>
              <w:t>2、无需转接板，单卡自带HUB75接口，更加稳定</w:t>
            </w:r>
            <w:r>
              <w:rPr>
                <w:rFonts w:hint="eastAsia" w:ascii="Times New Roman" w:hAnsi="Times New Roman" w:eastAsia="宋体" w:cs="Times New Roman"/>
                <w:color w:val="auto"/>
                <w:highlight w:val="none"/>
                <w:lang w:val="en-US" w:eastAsia="zh-CN"/>
              </w:rPr>
              <w:br w:type="textWrapping"/>
            </w:r>
            <w:r>
              <w:rPr>
                <w:rFonts w:hint="eastAsia" w:ascii="Times New Roman" w:hAnsi="Times New Roman" w:eastAsia="宋体" w:cs="Times New Roman"/>
                <w:color w:val="auto"/>
                <w:highlight w:val="none"/>
                <w:lang w:val="en-US" w:eastAsia="zh-CN"/>
              </w:rPr>
              <w:t>3、支持亮度校正，对每个灯点的亮度进行校正，有效消除亮度差异，使整屏的亮度达到高度一致。</w:t>
            </w:r>
            <w:r>
              <w:rPr>
                <w:rFonts w:hint="eastAsia" w:ascii="Times New Roman" w:hAnsi="Times New Roman" w:eastAsia="宋体" w:cs="Times New Roman"/>
                <w:color w:val="auto"/>
                <w:highlight w:val="none"/>
                <w:lang w:val="en-US" w:eastAsia="zh-CN"/>
              </w:rPr>
              <w:br w:type="textWrapping"/>
            </w:r>
            <w:r>
              <w:rPr>
                <w:rFonts w:hint="eastAsia" w:ascii="Times New Roman" w:hAnsi="Times New Roman" w:eastAsia="宋体" w:cs="Times New Roman"/>
                <w:color w:val="auto"/>
                <w:highlight w:val="none"/>
                <w:lang w:val="en-US" w:eastAsia="zh-CN"/>
              </w:rPr>
              <w:t>4、快速亮暗线调节在调试软件上进行快速亮暗线调节，快速解决因箱体及模组拼接造成的显示屏亮暗线，调节过程中即时生效，简单易用</w:t>
            </w:r>
            <w:r>
              <w:rPr>
                <w:rFonts w:hint="eastAsia" w:ascii="Times New Roman" w:hAnsi="Times New Roman" w:eastAsia="宋体" w:cs="Times New Roman"/>
                <w:color w:val="auto"/>
                <w:highlight w:val="none"/>
                <w:lang w:val="en-US" w:eastAsia="zh-CN"/>
              </w:rPr>
              <w:br w:type="textWrapping"/>
            </w:r>
            <w:r>
              <w:rPr>
                <w:rFonts w:hint="eastAsia" w:ascii="Times New Roman" w:hAnsi="Times New Roman" w:eastAsia="宋体" w:cs="Times New Roman"/>
                <w:color w:val="auto"/>
                <w:highlight w:val="none"/>
                <w:lang w:val="en-US" w:eastAsia="zh-CN"/>
              </w:rPr>
              <w:t>5、配合支持3D功能的独立主控，在软件或独立主控的操作面板上开启3D功能，并设置3D参数，使画面显示3D效果</w:t>
            </w:r>
            <w:r>
              <w:rPr>
                <w:rFonts w:hint="eastAsia" w:ascii="Times New Roman" w:hAnsi="Times New Roman" w:eastAsia="宋体" w:cs="Times New Roman"/>
                <w:color w:val="auto"/>
                <w:highlight w:val="none"/>
                <w:lang w:val="en-US" w:eastAsia="zh-CN"/>
              </w:rPr>
              <w:br w:type="textWrapping"/>
            </w:r>
            <w:r>
              <w:rPr>
                <w:rFonts w:hint="eastAsia" w:ascii="Times New Roman" w:hAnsi="Times New Roman" w:eastAsia="宋体" w:cs="Times New Roman"/>
                <w:color w:val="auto"/>
                <w:highlight w:val="none"/>
                <w:lang w:val="en-US" w:eastAsia="zh-CN"/>
              </w:rPr>
              <w:t>6、Mapping功能开启，每个箱体上会显示数字，清楚告诉您当前箱体是哪个网口下的哪张接收卡，直观的看到显示屏连接状况。从此让箱体排查变得轻松简单，快速定位问题箱体，再也无需再爬上爬下，根据走线更改连屏文件即可</w:t>
            </w:r>
            <w:r>
              <w:rPr>
                <w:rFonts w:hint="eastAsia" w:ascii="Times New Roman" w:hAnsi="Times New Roman" w:eastAsia="宋体" w:cs="Times New Roman"/>
                <w:color w:val="auto"/>
                <w:highlight w:val="none"/>
                <w:lang w:val="en-US" w:eastAsia="zh-CN"/>
              </w:rPr>
              <w:br w:type="textWrapping"/>
            </w:r>
            <w:r>
              <w:rPr>
                <w:rFonts w:hint="eastAsia" w:ascii="Times New Roman" w:hAnsi="Times New Roman" w:eastAsia="宋体" w:cs="Times New Roman"/>
                <w:color w:val="auto"/>
                <w:highlight w:val="none"/>
                <w:lang w:val="en-US" w:eastAsia="zh-CN"/>
              </w:rPr>
              <w:t>7、可以监测自身的温度和电压，无需其他外设，在软件上可以查看接收卡的温度和电压。</w:t>
            </w:r>
            <w:r>
              <w:rPr>
                <w:rFonts w:hint="eastAsia" w:ascii="Times New Roman" w:hAnsi="Times New Roman" w:eastAsia="宋体" w:cs="Times New Roman"/>
                <w:color w:val="auto"/>
                <w:highlight w:val="none"/>
                <w:lang w:val="en-US" w:eastAsia="zh-CN"/>
              </w:rPr>
              <w:br w:type="textWrapping"/>
            </w:r>
            <w:r>
              <w:rPr>
                <w:rFonts w:hint="eastAsia" w:ascii="Times New Roman" w:hAnsi="Times New Roman" w:eastAsia="宋体" w:cs="Times New Roman"/>
                <w:color w:val="auto"/>
                <w:highlight w:val="none"/>
                <w:lang w:val="en-US" w:eastAsia="zh-CN"/>
              </w:rPr>
              <w:t>8、检测发送设备与接收卡间或接收卡与接收卡间的网络通讯质量，记录错误包数，协助排除网络通讯隐患</w:t>
            </w:r>
            <w:r>
              <w:rPr>
                <w:rFonts w:hint="eastAsia" w:ascii="Times New Roman" w:hAnsi="Times New Roman" w:eastAsia="宋体" w:cs="Times New Roman"/>
                <w:color w:val="auto"/>
                <w:highlight w:val="none"/>
                <w:lang w:val="en-US" w:eastAsia="zh-CN"/>
              </w:rPr>
              <w:br w:type="textWrapping"/>
            </w:r>
            <w:r>
              <w:rPr>
                <w:rFonts w:hint="eastAsia" w:ascii="Times New Roman" w:hAnsi="Times New Roman" w:eastAsia="宋体" w:cs="Times New Roman"/>
                <w:color w:val="auto"/>
                <w:highlight w:val="none"/>
                <w:lang w:val="en-US" w:eastAsia="zh-CN"/>
              </w:rPr>
              <w:t>9、支持5pin液晶模块，用于显示接收卡的温度、电压、单次运行时间和总运行时间。</w:t>
            </w:r>
            <w:r>
              <w:rPr>
                <w:rFonts w:hint="eastAsia" w:ascii="Times New Roman" w:hAnsi="Times New Roman" w:eastAsia="宋体" w:cs="Times New Roman"/>
                <w:color w:val="auto"/>
                <w:highlight w:val="none"/>
                <w:lang w:val="en-US" w:eastAsia="zh-CN"/>
              </w:rPr>
              <w:br w:type="textWrapping"/>
            </w:r>
            <w:r>
              <w:rPr>
                <w:rFonts w:hint="eastAsia" w:ascii="Times New Roman" w:hAnsi="Times New Roman" w:eastAsia="宋体" w:cs="Times New Roman"/>
                <w:color w:val="auto"/>
                <w:highlight w:val="none"/>
                <w:lang w:val="en-US" w:eastAsia="zh-CN"/>
              </w:rPr>
              <w:t>10、支持回读接收卡的固件程序并保存到本地。</w:t>
            </w:r>
          </w:p>
          <w:p w14:paraId="6EBC4CB5">
            <w:pPr>
              <w:spacing w:line="400" w:lineRule="exact"/>
              <w:jc w:val="left"/>
              <w:rPr>
                <w:rFonts w:hint="eastAsia"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三、开关电源（22台）</w:t>
            </w:r>
          </w:p>
          <w:p w14:paraId="085BB1F6">
            <w:pPr>
              <w:spacing w:line="400" w:lineRule="exact"/>
              <w:jc w:val="left"/>
              <w:rPr>
                <w:rFonts w:hint="eastAsia"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1.宽电压输入：100V-240V；</w:t>
            </w:r>
            <w:r>
              <w:rPr>
                <w:rFonts w:hint="eastAsia" w:ascii="Times New Roman" w:hAnsi="Times New Roman" w:eastAsia="宋体" w:cs="Times New Roman"/>
                <w:color w:val="auto"/>
                <w:highlight w:val="none"/>
                <w:lang w:val="en-US" w:eastAsia="zh-CN"/>
              </w:rPr>
              <w:br w:type="textWrapping"/>
            </w:r>
            <w:r>
              <w:rPr>
                <w:rFonts w:hint="eastAsia" w:ascii="Times New Roman" w:hAnsi="Times New Roman" w:eastAsia="宋体" w:cs="Times New Roman"/>
                <w:color w:val="auto"/>
                <w:highlight w:val="none"/>
                <w:lang w:val="en-US" w:eastAsia="zh-CN"/>
              </w:rPr>
              <w:t>2.恒压输出：5V；</w:t>
            </w:r>
            <w:r>
              <w:rPr>
                <w:rFonts w:hint="eastAsia" w:ascii="Times New Roman" w:hAnsi="Times New Roman" w:eastAsia="宋体" w:cs="Times New Roman"/>
                <w:color w:val="auto"/>
                <w:highlight w:val="none"/>
                <w:lang w:val="en-US" w:eastAsia="zh-CN"/>
              </w:rPr>
              <w:br w:type="textWrapping"/>
            </w:r>
            <w:r>
              <w:rPr>
                <w:rFonts w:hint="eastAsia" w:ascii="Times New Roman" w:hAnsi="Times New Roman" w:eastAsia="宋体" w:cs="Times New Roman"/>
                <w:color w:val="auto"/>
                <w:highlight w:val="none"/>
                <w:lang w:val="en-US" w:eastAsia="zh-CN"/>
              </w:rPr>
              <w:t>3.▲为确保项目整体兼容性和稳定性，开关电源与LED显示屏必须为同一品牌。</w:t>
            </w:r>
          </w:p>
          <w:p w14:paraId="61F800F4">
            <w:pPr>
              <w:spacing w:line="400" w:lineRule="exact"/>
              <w:jc w:val="left"/>
              <w:rPr>
                <w:rFonts w:hint="eastAsia"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四、LED备用模组（3张）</w:t>
            </w:r>
          </w:p>
          <w:p w14:paraId="2CB43A8A">
            <w:pPr>
              <w:spacing w:line="400" w:lineRule="exact"/>
              <w:jc w:val="left"/>
              <w:rPr>
                <w:rFonts w:hint="eastAsia"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同批次备用模组</w:t>
            </w:r>
          </w:p>
          <w:p w14:paraId="7AB849F2">
            <w:pPr>
              <w:spacing w:line="400" w:lineRule="exact"/>
              <w:jc w:val="left"/>
              <w:rPr>
                <w:rFonts w:hint="eastAsia"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五、LED系统播放软件（1套）</w:t>
            </w:r>
          </w:p>
          <w:p w14:paraId="5BEB45A4">
            <w:pPr>
              <w:spacing w:line="400" w:lineRule="exact"/>
              <w:jc w:val="left"/>
              <w:rPr>
                <w:rFonts w:hint="eastAsia"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1.用于管理视频处理器的控制软件，提供良好的操作界面，便于用户在控制平台上进行实时控制。</w:t>
            </w:r>
            <w:r>
              <w:rPr>
                <w:rFonts w:hint="eastAsia" w:ascii="Times New Roman" w:hAnsi="Times New Roman" w:eastAsia="宋体" w:cs="Times New Roman"/>
                <w:color w:val="auto"/>
                <w:highlight w:val="none"/>
                <w:lang w:val="en-US" w:eastAsia="zh-CN"/>
              </w:rPr>
              <w:br w:type="textWrapping"/>
            </w:r>
            <w:r>
              <w:rPr>
                <w:rFonts w:hint="eastAsia" w:ascii="Times New Roman" w:hAnsi="Times New Roman" w:eastAsia="宋体" w:cs="Times New Roman"/>
                <w:color w:val="auto"/>
                <w:highlight w:val="none"/>
                <w:lang w:val="en-US" w:eastAsia="zh-CN"/>
              </w:rPr>
              <w:t>2.操作系统兼容性强支持跨平台使用，兼容Windows 7及以上版本和macOS 12.0及以上版本，且在不同系统上界面保持一致。</w:t>
            </w:r>
            <w:r>
              <w:rPr>
                <w:rFonts w:hint="eastAsia" w:ascii="Times New Roman" w:hAnsi="Times New Roman" w:eastAsia="宋体" w:cs="Times New Roman"/>
                <w:color w:val="auto"/>
                <w:highlight w:val="none"/>
                <w:lang w:val="en-US" w:eastAsia="zh-CN"/>
              </w:rPr>
              <w:br w:type="textWrapping"/>
            </w:r>
            <w:r>
              <w:rPr>
                <w:rFonts w:hint="eastAsia" w:ascii="Times New Roman" w:hAnsi="Times New Roman" w:eastAsia="宋体" w:cs="Times New Roman"/>
                <w:color w:val="auto"/>
                <w:highlight w:val="none"/>
                <w:lang w:val="en-US" w:eastAsia="zh-CN"/>
              </w:rPr>
              <w:t>3.可视化图层控制，支持将多个视频源作为图层进行堆叠管理。每个图层都可以独立调整大小、裁剪、移动或隐藏，用户可以精确控制屏幕上显示的内容和位置。</w:t>
            </w:r>
            <w:r>
              <w:rPr>
                <w:rFonts w:hint="eastAsia" w:ascii="Times New Roman" w:hAnsi="Times New Roman" w:eastAsia="宋体" w:cs="Times New Roman"/>
                <w:color w:val="auto"/>
                <w:highlight w:val="none"/>
                <w:lang w:val="en-US" w:eastAsia="zh-CN"/>
              </w:rPr>
              <w:br w:type="textWrapping"/>
            </w:r>
            <w:r>
              <w:rPr>
                <w:rFonts w:hint="eastAsia" w:ascii="Times New Roman" w:hAnsi="Times New Roman" w:eastAsia="宋体" w:cs="Times New Roman"/>
                <w:color w:val="auto"/>
                <w:highlight w:val="none"/>
                <w:lang w:val="en-US" w:eastAsia="zh-CN"/>
              </w:rPr>
              <w:t>4.预设管理与调用允许用户将不同的画面布局保存为预设场景。在活动进行中，可以通过一键点击预设之间实现快速切换，且支持设置切换特效。</w:t>
            </w:r>
            <w:r>
              <w:rPr>
                <w:rFonts w:hint="eastAsia" w:ascii="Times New Roman" w:hAnsi="Times New Roman" w:eastAsia="宋体" w:cs="Times New Roman"/>
                <w:color w:val="auto"/>
                <w:highlight w:val="none"/>
                <w:lang w:val="en-US" w:eastAsia="zh-CN"/>
              </w:rPr>
              <w:br w:type="textWrapping"/>
            </w:r>
            <w:r>
              <w:rPr>
                <w:rFonts w:hint="eastAsia" w:ascii="Times New Roman" w:hAnsi="Times New Roman" w:eastAsia="宋体" w:cs="Times New Roman"/>
                <w:color w:val="auto"/>
                <w:highlight w:val="none"/>
                <w:lang w:val="en-US" w:eastAsia="zh-CN"/>
              </w:rPr>
              <w:t>5.输入与输出设置：用户可以集中管理信号源的解析度、EDID、色彩调整，以及配置输出画面的拼接布局和输出分辨率。</w:t>
            </w:r>
            <w:r>
              <w:rPr>
                <w:rFonts w:hint="eastAsia" w:ascii="Times New Roman" w:hAnsi="Times New Roman" w:eastAsia="宋体" w:cs="Times New Roman"/>
                <w:color w:val="auto"/>
                <w:highlight w:val="none"/>
                <w:lang w:val="en-US" w:eastAsia="zh-CN"/>
              </w:rPr>
              <w:br w:type="textWrapping"/>
            </w:r>
            <w:r>
              <w:rPr>
                <w:rFonts w:hint="eastAsia" w:ascii="Times New Roman" w:hAnsi="Times New Roman" w:eastAsia="宋体" w:cs="Times New Roman"/>
                <w:color w:val="auto"/>
                <w:highlight w:val="none"/>
                <w:lang w:val="en-US" w:eastAsia="zh-CN"/>
              </w:rPr>
              <w:t>6.支持同时连接和管理多台视频处理器，适用于需要多台设备同步运行的复杂LED显示系统，确保画面同步。</w:t>
            </w:r>
          </w:p>
          <w:p w14:paraId="71BE91FD">
            <w:pPr>
              <w:spacing w:line="400" w:lineRule="exact"/>
              <w:jc w:val="left"/>
              <w:rPr>
                <w:rFonts w:hint="eastAsia"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六、视频控制器（1台）</w:t>
            </w:r>
          </w:p>
          <w:p w14:paraId="2E1AA0B7">
            <w:pPr>
              <w:spacing w:line="400" w:lineRule="exact"/>
              <w:jc w:val="left"/>
              <w:rPr>
                <w:rFonts w:hint="eastAsia"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1.▲支持6路输入接口，包括 1 路 DVI，1 路 HDMI，1 路 VGA，1 路 USB 播放，1 路 CVBS，1 路AUDIO。</w:t>
            </w:r>
          </w:p>
          <w:p w14:paraId="54300713">
            <w:pPr>
              <w:spacing w:line="400" w:lineRule="exact"/>
              <w:jc w:val="left"/>
              <w:rPr>
                <w:rFonts w:hint="eastAsia"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2.支持4 个千兆网口输出，最大带载可达260 万像素，最大宽度3840 像素，最大高度1920像素。</w:t>
            </w:r>
          </w:p>
          <w:p w14:paraId="634B26FC">
            <w:pPr>
              <w:spacing w:line="400" w:lineRule="exact"/>
              <w:jc w:val="left"/>
              <w:rPr>
                <w:rFonts w:hint="eastAsia"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3 .支持 HDR 高动态范围显示，能够极大地增强显示屏的画质，使画面色彩更加真实生动，细节更加清晰。</w:t>
            </w:r>
          </w:p>
          <w:p w14:paraId="39FF9D07">
            <w:pPr>
              <w:spacing w:line="400" w:lineRule="exact"/>
              <w:jc w:val="left"/>
              <w:rPr>
                <w:rFonts w:hint="eastAsia"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4.支持创建 10 个用户场景作为模板保存，方便快速调用。</w:t>
            </w:r>
          </w:p>
          <w:p w14:paraId="72F4DE9B">
            <w:pPr>
              <w:spacing w:line="400" w:lineRule="exact"/>
              <w:jc w:val="left"/>
              <w:rPr>
                <w:rFonts w:hint="eastAsia"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5.无需电脑，支持一键将优先级最低的窗口全屏自动缩放。</w:t>
            </w:r>
          </w:p>
          <w:p w14:paraId="7205AB91">
            <w:pPr>
              <w:spacing w:line="400" w:lineRule="exact"/>
              <w:jc w:val="left"/>
              <w:rPr>
                <w:rFonts w:hint="eastAsia"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6 .支持监视，可以设置为预监编辑画面或预监显示屏画面。</w:t>
            </w:r>
          </w:p>
          <w:p w14:paraId="3A92A2C5">
            <w:pPr>
              <w:spacing w:line="400" w:lineRule="exact"/>
              <w:jc w:val="left"/>
              <w:rPr>
                <w:rFonts w:hint="eastAsia"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7 .支持逐点亮度校正，可以对每个灯点的亮度和色度进行校正，有效消除色差，使整屏的亮度和色度达到高度均匀一致，提高显示屏的画质。</w:t>
            </w:r>
          </w:p>
          <w:p w14:paraId="5E3A5908">
            <w:pPr>
              <w:spacing w:line="400" w:lineRule="exact"/>
              <w:jc w:val="left"/>
              <w:rPr>
                <w:rFonts w:hint="eastAsia"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 xml:space="preserve"> 8 .液晶面板可实时显示型号、IP地址，窗口及信号源的分辨率以及状态信息，输出网口的状态，屏幕大小及帧频信息，设备同步模式展示，USB 连线或网线状态，屏体亮度。</w:t>
            </w:r>
          </w:p>
          <w:p w14:paraId="049C9A09">
            <w:pPr>
              <w:spacing w:line="400" w:lineRule="exact"/>
              <w:jc w:val="left"/>
              <w:rPr>
                <w:rFonts w:hint="eastAsia"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9.支持全屏缩放、点对点显示和自定义缩放三种缩放模式。以画面左上角的参考点，设置输入截取</w:t>
            </w:r>
          </w:p>
          <w:p w14:paraId="160D16C4">
            <w:pPr>
              <w:spacing w:line="400" w:lineRule="exact"/>
              <w:jc w:val="left"/>
              <w:rPr>
                <w:rFonts w:hint="eastAsia"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10 .发送卡和视频处理器二合一 ，连线更加少 ，稳定性兼容性大大提升。</w:t>
            </w:r>
          </w:p>
          <w:p w14:paraId="324386AF">
            <w:pPr>
              <w:spacing w:line="400" w:lineRule="exact"/>
              <w:jc w:val="left"/>
              <w:rPr>
                <w:rFonts w:hint="eastAsia"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11 .▲符合 GB 4943.1-2022 音视频、信息技术和通信技术设备安全标准对设备进行跌落试验的要求，跌落高度 750mm±10mm，试验三次，试验后外观、功能应正常。</w:t>
            </w:r>
          </w:p>
          <w:p w14:paraId="532687C1">
            <w:pPr>
              <w:spacing w:line="400" w:lineRule="exact"/>
              <w:jc w:val="left"/>
              <w:rPr>
                <w:rFonts w:hint="eastAsia"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12.▲通过耐压试验，电源输入端对外壳施加1500V，测试1 分钟，试验后无击穿、飞弧或 超漏现象。</w:t>
            </w:r>
          </w:p>
          <w:p w14:paraId="7011705E">
            <w:pPr>
              <w:spacing w:line="400" w:lineRule="exact"/>
              <w:jc w:val="left"/>
              <w:rPr>
                <w:rFonts w:hint="eastAsia"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13.</w:t>
            </w:r>
            <w:r>
              <w:rPr>
                <w:rFonts w:hint="eastAsia" w:ascii="Times New Roman" w:hAnsi="Times New Roman" w:cs="Times New Roman"/>
                <w:color w:val="auto"/>
                <w:highlight w:val="none"/>
                <w:lang w:val="en-US" w:eastAsia="zh-CN"/>
              </w:rPr>
              <w:t>标</w:t>
            </w:r>
            <w:r>
              <w:rPr>
                <w:rFonts w:hint="eastAsia" w:ascii="Times New Roman" w:hAnsi="Times New Roman" w:eastAsia="宋体" w:cs="Times New Roman"/>
                <w:color w:val="auto"/>
                <w:highlight w:val="none"/>
                <w:lang w:val="en-US" w:eastAsia="zh-CN"/>
              </w:rPr>
              <w:t>▲</w:t>
            </w:r>
            <w:r>
              <w:rPr>
                <w:rFonts w:hint="eastAsia" w:ascii="Times New Roman" w:hAnsi="Times New Roman" w:cs="Times New Roman"/>
                <w:color w:val="auto"/>
                <w:highlight w:val="none"/>
                <w:lang w:val="en-US" w:eastAsia="zh-CN"/>
              </w:rPr>
              <w:t>参数</w:t>
            </w:r>
            <w:r>
              <w:rPr>
                <w:rFonts w:hint="eastAsia" w:ascii="宋体" w:hAnsi="宋体" w:cs="宋体"/>
                <w:b w:val="0"/>
                <w:bCs w:val="0"/>
                <w:color w:val="auto"/>
                <w:kern w:val="0"/>
                <w:sz w:val="22"/>
                <w:szCs w:val="22"/>
                <w:highlight w:val="none"/>
                <w:lang w:val="en-US" w:eastAsia="zh-CN"/>
              </w:rPr>
              <w:t>投标时提供国家认可的第三方检测机构出具的检测报告复印件并加盖供应商公章</w:t>
            </w:r>
            <w:r>
              <w:rPr>
                <w:rFonts w:hint="eastAsia" w:ascii="Times New Roman" w:hAnsi="Times New Roman" w:eastAsia="宋体" w:cs="Times New Roman"/>
                <w:color w:val="auto"/>
                <w:highlight w:val="none"/>
                <w:lang w:val="en-US" w:eastAsia="zh-CN"/>
              </w:rPr>
              <w:t>，为确保项目整体兼容性和稳定性，视频处理器与LED显示屏必须为同一品牌，并提供CCC认证证书。</w:t>
            </w:r>
          </w:p>
          <w:p w14:paraId="5C113A60">
            <w:pPr>
              <w:spacing w:line="400" w:lineRule="exact"/>
              <w:jc w:val="left"/>
              <w:rPr>
                <w:rFonts w:hint="eastAsia"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七、配电箱（1台）</w:t>
            </w:r>
          </w:p>
          <w:p w14:paraId="40C4934F">
            <w:pPr>
              <w:pStyle w:val="6"/>
              <w:rPr>
                <w:rFonts w:hint="default"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1.配电功率≥10KW；</w:t>
            </w:r>
            <w:r>
              <w:rPr>
                <w:rFonts w:hint="eastAsia" w:ascii="Times New Roman" w:hAnsi="Times New Roman" w:eastAsia="宋体" w:cs="Times New Roman"/>
                <w:color w:val="auto"/>
                <w:highlight w:val="none"/>
                <w:lang w:val="en-US" w:eastAsia="zh-CN"/>
              </w:rPr>
              <w:br w:type="textWrapping"/>
            </w:r>
            <w:r>
              <w:rPr>
                <w:rFonts w:hint="eastAsia" w:ascii="Times New Roman" w:hAnsi="Times New Roman" w:eastAsia="宋体" w:cs="Times New Roman"/>
                <w:color w:val="auto"/>
                <w:highlight w:val="none"/>
                <w:lang w:val="en-US" w:eastAsia="zh-CN"/>
              </w:rPr>
              <w:t>2.▲配电箱壳体外表面喷涂无眩目反光的覆盖层，表面无起泡、裂紋或流痕等缺陷;面板能在不小于90度的角度内灵活启闭；母线无毛刺、锤痕，接触面平整，主辅电路接线正确，导线截面、颜色、标志及相序符合要求:标志、符号及铭牌应正确、清晰、齐全且易于辨认，安装的位置正确;室内电柜防护外壳防护等级IP30;户外电柜防护外壳防护等級IP65；机械碰撞等级IK10;灰色钣金箱体，外壳板材厚度2mm;布线合理规格、操作性能和功能安全可靠；</w:t>
            </w:r>
            <w:r>
              <w:rPr>
                <w:rFonts w:hint="eastAsia" w:ascii="Times New Roman" w:hAnsi="Times New Roman" w:eastAsia="宋体" w:cs="Times New Roman"/>
                <w:color w:val="auto"/>
                <w:highlight w:val="none"/>
                <w:lang w:val="en-US" w:eastAsia="zh-CN"/>
              </w:rPr>
              <w:br w:type="textWrapping"/>
            </w:r>
            <w:r>
              <w:rPr>
                <w:rFonts w:hint="eastAsia" w:ascii="Times New Roman" w:hAnsi="Times New Roman" w:eastAsia="宋体" w:cs="Times New Roman"/>
                <w:color w:val="auto"/>
                <w:highlight w:val="none"/>
                <w:lang w:val="en-US" w:eastAsia="zh-CN"/>
              </w:rPr>
              <w:t>3.空气开关、断路器、刀闸、接线端子、保护设备(避雷器、热继电器、时间继电器、熔断器等)、测量设备(电压表、电流表、频率表、功率表等)所有硬件设备符合相关国家标准；</w:t>
            </w:r>
            <w:r>
              <w:rPr>
                <w:rFonts w:hint="eastAsia" w:ascii="Times New Roman" w:hAnsi="Times New Roman" w:eastAsia="宋体" w:cs="Times New Roman"/>
                <w:color w:val="auto"/>
                <w:highlight w:val="none"/>
                <w:lang w:val="en-US" w:eastAsia="zh-CN"/>
              </w:rPr>
              <w:br w:type="textWrapping"/>
            </w:r>
            <w:r>
              <w:rPr>
                <w:rFonts w:hint="eastAsia" w:ascii="Times New Roman" w:hAnsi="Times New Roman" w:eastAsia="宋体" w:cs="Times New Roman"/>
                <w:color w:val="auto"/>
                <w:highlight w:val="none"/>
                <w:lang w:val="en-US" w:eastAsia="zh-CN"/>
              </w:rPr>
              <w:t>4.额定工作电压AC380V+5%(三相五线)；</w:t>
            </w:r>
            <w:r>
              <w:rPr>
                <w:rFonts w:hint="eastAsia" w:ascii="Times New Roman" w:hAnsi="Times New Roman" w:eastAsia="宋体" w:cs="Times New Roman"/>
                <w:color w:val="auto"/>
                <w:highlight w:val="none"/>
                <w:lang w:val="en-US" w:eastAsia="zh-CN"/>
              </w:rPr>
              <w:br w:type="textWrapping"/>
            </w:r>
            <w:r>
              <w:rPr>
                <w:rFonts w:hint="eastAsia" w:ascii="Times New Roman" w:hAnsi="Times New Roman" w:eastAsia="宋体" w:cs="Times New Roman"/>
                <w:color w:val="auto"/>
                <w:highlight w:val="none"/>
                <w:lang w:val="en-US" w:eastAsia="zh-CN"/>
              </w:rPr>
              <w:t>5.额定频率50Hz；</w:t>
            </w:r>
            <w:r>
              <w:rPr>
                <w:rFonts w:hint="eastAsia" w:ascii="Times New Roman" w:hAnsi="Times New Roman" w:eastAsia="宋体" w:cs="Times New Roman"/>
                <w:color w:val="auto"/>
                <w:highlight w:val="none"/>
                <w:lang w:val="en-US" w:eastAsia="zh-CN"/>
              </w:rPr>
              <w:br w:type="textWrapping"/>
            </w:r>
            <w:r>
              <w:rPr>
                <w:rFonts w:hint="eastAsia" w:ascii="Times New Roman" w:hAnsi="Times New Roman" w:eastAsia="宋体" w:cs="Times New Roman"/>
                <w:color w:val="auto"/>
                <w:highlight w:val="none"/>
                <w:lang w:val="en-US" w:eastAsia="zh-CN"/>
              </w:rPr>
              <w:t>6.绝缘电阻测量：A+B+C+N-地≧5МΩ、A+B+C-N≧5МΩ、A-B≧5МΩ、B-C≧5МΩ、C-A≧5МΩ；</w:t>
            </w:r>
            <w:r>
              <w:rPr>
                <w:rFonts w:hint="eastAsia" w:ascii="Times New Roman" w:hAnsi="Times New Roman" w:eastAsia="宋体" w:cs="Times New Roman"/>
                <w:color w:val="auto"/>
                <w:highlight w:val="none"/>
                <w:lang w:val="en-US" w:eastAsia="zh-CN"/>
              </w:rPr>
              <w:br w:type="textWrapping"/>
            </w:r>
            <w:r>
              <w:rPr>
                <w:rFonts w:hint="eastAsia" w:ascii="Times New Roman" w:hAnsi="Times New Roman" w:eastAsia="宋体" w:cs="Times New Roman"/>
                <w:color w:val="auto"/>
                <w:highlight w:val="none"/>
                <w:lang w:val="en-US" w:eastAsia="zh-CN"/>
              </w:rPr>
              <w:t>7.保护措施和保护电路连续性检查：骨架对地≤0.1Ω、仪表门对地≤0.1Ω、电路安装板对地≤0.1Ω、功能单元对地≤0.1Ω</w:t>
            </w:r>
            <w:r>
              <w:rPr>
                <w:rFonts w:hint="eastAsia" w:ascii="Times New Roman" w:hAnsi="Times New Roman" w:eastAsia="宋体" w:cs="Times New Roman"/>
                <w:color w:val="auto"/>
                <w:highlight w:val="none"/>
                <w:lang w:val="en-US" w:eastAsia="zh-CN"/>
              </w:rPr>
              <w:br w:type="textWrapping"/>
            </w:r>
            <w:r>
              <w:rPr>
                <w:rFonts w:hint="eastAsia" w:ascii="Times New Roman" w:hAnsi="Times New Roman" w:eastAsia="宋体" w:cs="Times New Roman"/>
                <w:color w:val="auto"/>
                <w:highlight w:val="none"/>
                <w:lang w:val="en-US" w:eastAsia="zh-CN"/>
              </w:rPr>
              <w:t>8.额定绝缘电压：660V；</w:t>
            </w:r>
            <w:r>
              <w:rPr>
                <w:rFonts w:hint="eastAsia" w:ascii="Times New Roman" w:hAnsi="Times New Roman" w:eastAsia="宋体" w:cs="Times New Roman"/>
                <w:color w:val="auto"/>
                <w:highlight w:val="none"/>
                <w:lang w:val="en-US" w:eastAsia="zh-CN"/>
              </w:rPr>
              <w:br w:type="textWrapping"/>
            </w:r>
            <w:r>
              <w:rPr>
                <w:rFonts w:hint="eastAsia" w:ascii="Times New Roman" w:hAnsi="Times New Roman" w:eastAsia="宋体" w:cs="Times New Roman"/>
                <w:color w:val="auto"/>
                <w:highlight w:val="none"/>
                <w:lang w:val="en-US" w:eastAsia="zh-CN"/>
              </w:rPr>
              <w:t>9.爬电距离相与相之间≥12.5mm；</w:t>
            </w:r>
            <w:r>
              <w:rPr>
                <w:rFonts w:hint="eastAsia" w:ascii="Times New Roman" w:hAnsi="Times New Roman" w:eastAsia="宋体" w:cs="Times New Roman"/>
                <w:color w:val="auto"/>
                <w:highlight w:val="none"/>
                <w:lang w:val="en-US" w:eastAsia="zh-CN"/>
              </w:rPr>
              <w:br w:type="textWrapping"/>
            </w:r>
            <w:r>
              <w:rPr>
                <w:rFonts w:hint="eastAsia" w:ascii="Times New Roman" w:hAnsi="Times New Roman" w:eastAsia="宋体" w:cs="Times New Roman"/>
                <w:color w:val="auto"/>
                <w:highlight w:val="none"/>
                <w:lang w:val="en-US" w:eastAsia="zh-CN"/>
              </w:rPr>
              <w:t>10.▲电气间隙相与相之间：≥5.5mm</w:t>
            </w:r>
            <w:r>
              <w:rPr>
                <w:rFonts w:hint="eastAsia" w:ascii="Times New Roman" w:hAnsi="Times New Roman" w:eastAsia="宋体" w:cs="Times New Roman"/>
                <w:color w:val="auto"/>
                <w:highlight w:val="none"/>
                <w:lang w:val="en-US" w:eastAsia="zh-CN"/>
              </w:rPr>
              <w:br w:type="textWrapping"/>
            </w:r>
            <w:r>
              <w:rPr>
                <w:rFonts w:hint="eastAsia" w:ascii="Times New Roman" w:hAnsi="Times New Roman" w:eastAsia="宋体" w:cs="Times New Roman"/>
                <w:color w:val="auto"/>
                <w:highlight w:val="none"/>
                <w:lang w:val="en-US" w:eastAsia="zh-CN"/>
              </w:rPr>
              <w:t>11.带电部件与裸露导电部件之间：≥5.5mm</w:t>
            </w:r>
            <w:r>
              <w:rPr>
                <w:rFonts w:hint="eastAsia" w:ascii="Times New Roman" w:hAnsi="Times New Roman" w:eastAsia="宋体" w:cs="Times New Roman"/>
                <w:color w:val="auto"/>
                <w:highlight w:val="none"/>
                <w:lang w:val="en-US" w:eastAsia="zh-CN"/>
              </w:rPr>
              <w:br w:type="textWrapping"/>
            </w:r>
            <w:r>
              <w:rPr>
                <w:rFonts w:hint="eastAsia" w:ascii="Times New Roman" w:hAnsi="Times New Roman" w:eastAsia="宋体" w:cs="Times New Roman"/>
                <w:color w:val="auto"/>
                <w:highlight w:val="none"/>
                <w:lang w:val="en-US" w:eastAsia="zh-CN"/>
              </w:rPr>
              <w:t>12.试验电压：1.89KV</w:t>
            </w:r>
            <w:r>
              <w:rPr>
                <w:rFonts w:hint="eastAsia" w:ascii="Times New Roman" w:hAnsi="Times New Roman" w:eastAsia="宋体" w:cs="Times New Roman"/>
                <w:color w:val="auto"/>
                <w:highlight w:val="none"/>
                <w:lang w:val="en-US" w:eastAsia="zh-CN"/>
              </w:rPr>
              <w:br w:type="textWrapping"/>
            </w:r>
            <w:r>
              <w:rPr>
                <w:rFonts w:hint="eastAsia" w:ascii="Times New Roman" w:hAnsi="Times New Roman" w:eastAsia="宋体" w:cs="Times New Roman"/>
                <w:color w:val="auto"/>
                <w:highlight w:val="none"/>
                <w:lang w:val="en-US" w:eastAsia="zh-CN"/>
              </w:rPr>
              <w:t>13.▲支持温感、烟感接入，当超过预设阈值时，启动应急机制，自动切断电源保护配电柜及接入设备，实现PLC功能；</w:t>
            </w:r>
            <w:r>
              <w:rPr>
                <w:rFonts w:hint="eastAsia" w:ascii="Times New Roman" w:hAnsi="Times New Roman" w:eastAsia="宋体" w:cs="Times New Roman"/>
                <w:color w:val="auto"/>
                <w:highlight w:val="none"/>
                <w:lang w:val="en-US" w:eastAsia="zh-CN"/>
              </w:rPr>
              <w:br w:type="textWrapping"/>
            </w:r>
            <w:r>
              <w:rPr>
                <w:rFonts w:hint="eastAsia" w:ascii="Times New Roman" w:hAnsi="Times New Roman" w:eastAsia="宋体" w:cs="Times New Roman"/>
                <w:color w:val="auto"/>
                <w:highlight w:val="none"/>
                <w:lang w:val="en-US" w:eastAsia="zh-CN"/>
              </w:rPr>
              <w:t>14.支持GSM、GPRS、3G、4G、5G等RTU物联网终端远程控制，实现手机、PAD等移动智能云端控制；</w:t>
            </w:r>
            <w:r>
              <w:rPr>
                <w:rFonts w:hint="eastAsia" w:ascii="Times New Roman" w:hAnsi="Times New Roman" w:eastAsia="宋体" w:cs="Times New Roman"/>
                <w:color w:val="auto"/>
                <w:highlight w:val="none"/>
                <w:lang w:val="en-US" w:eastAsia="zh-CN"/>
              </w:rPr>
              <w:br w:type="textWrapping"/>
            </w:r>
            <w:r>
              <w:rPr>
                <w:rFonts w:hint="eastAsia" w:ascii="Times New Roman" w:hAnsi="Times New Roman" w:eastAsia="宋体" w:cs="Times New Roman"/>
                <w:color w:val="auto"/>
                <w:highlight w:val="none"/>
                <w:lang w:val="en-US" w:eastAsia="zh-CN"/>
              </w:rPr>
              <w:t>15.选定“启用定时计划”后,经过用户预先设定，即可以对显示屏进行定时自动开关控制，无需人工值守；</w:t>
            </w:r>
            <w:r>
              <w:rPr>
                <w:rFonts w:hint="eastAsia" w:ascii="Times New Roman" w:hAnsi="Times New Roman" w:eastAsia="宋体" w:cs="Times New Roman"/>
                <w:color w:val="auto"/>
                <w:highlight w:val="none"/>
                <w:lang w:val="en-US" w:eastAsia="zh-CN"/>
              </w:rPr>
              <w:br w:type="textWrapping"/>
            </w:r>
            <w:r>
              <w:rPr>
                <w:rFonts w:hint="eastAsia" w:ascii="Times New Roman" w:hAnsi="Times New Roman" w:eastAsia="宋体" w:cs="Times New Roman"/>
                <w:color w:val="auto"/>
                <w:highlight w:val="none"/>
                <w:lang w:val="en-US" w:eastAsia="zh-CN"/>
              </w:rPr>
              <w:t>16.具有过流、短路等保护功能;符合成套设备的防护等级要求;符合短路耐受强度验证要求;符合绝缘材料耐受内部电效应引起的非正常发热和着火验证要求；</w:t>
            </w:r>
            <w:r>
              <w:rPr>
                <w:rFonts w:hint="eastAsia" w:ascii="Times New Roman" w:hAnsi="Times New Roman" w:eastAsia="宋体" w:cs="Times New Roman"/>
                <w:color w:val="auto"/>
                <w:highlight w:val="none"/>
                <w:lang w:val="en-US" w:eastAsia="zh-CN"/>
              </w:rPr>
              <w:br w:type="textWrapping"/>
            </w:r>
            <w:r>
              <w:rPr>
                <w:rFonts w:hint="eastAsia" w:ascii="Times New Roman" w:hAnsi="Times New Roman" w:eastAsia="宋体" w:cs="Times New Roman"/>
                <w:color w:val="auto"/>
                <w:highlight w:val="none"/>
                <w:lang w:val="en-US" w:eastAsia="zh-CN"/>
              </w:rPr>
              <w:t>17.支持分布式自动逐级上电功能；</w:t>
            </w:r>
            <w:r>
              <w:rPr>
                <w:rFonts w:hint="eastAsia" w:ascii="Times New Roman" w:hAnsi="Times New Roman" w:eastAsia="宋体" w:cs="Times New Roman"/>
                <w:color w:val="auto"/>
                <w:highlight w:val="none"/>
                <w:lang w:val="en-US" w:eastAsia="zh-CN"/>
              </w:rPr>
              <w:br w:type="textWrapping"/>
            </w:r>
            <w:r>
              <w:rPr>
                <w:rFonts w:hint="eastAsia" w:ascii="Times New Roman" w:hAnsi="Times New Roman" w:eastAsia="宋体" w:cs="Times New Roman"/>
                <w:color w:val="auto"/>
                <w:highlight w:val="none"/>
                <w:lang w:val="en-US" w:eastAsia="zh-CN"/>
              </w:rPr>
              <w:t>18.▲以上2-17项带▲项</w:t>
            </w:r>
            <w:r>
              <w:rPr>
                <w:rFonts w:hint="eastAsia" w:ascii="宋体" w:hAnsi="宋体" w:cs="宋体"/>
                <w:b w:val="0"/>
                <w:bCs w:val="0"/>
                <w:color w:val="auto"/>
                <w:kern w:val="0"/>
                <w:sz w:val="22"/>
                <w:szCs w:val="22"/>
                <w:highlight w:val="none"/>
                <w:lang w:val="en-US" w:eastAsia="zh-CN"/>
              </w:rPr>
              <w:t>投标时提供国家认可的第三方检测机构出具的检测报告复印件并加盖供应商公章。</w:t>
            </w:r>
          </w:p>
          <w:p w14:paraId="2F568CAF">
            <w:pPr>
              <w:spacing w:line="400" w:lineRule="exact"/>
              <w:jc w:val="left"/>
              <w:rPr>
                <w:rFonts w:hint="eastAsia"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八、显示控制终端（1台）</w:t>
            </w:r>
          </w:p>
          <w:p w14:paraId="6E68EEBE">
            <w:pPr>
              <w:spacing w:line="400" w:lineRule="exact"/>
              <w:jc w:val="left"/>
              <w:rPr>
                <w:rFonts w:hint="eastAsia"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▲1、主板：≥Intel 700系列芯片组，接口≥6个USB接口，其中≥3个USB 3.2接口，且为方便教学以及办公使用需前置≥2个USB 3.2接口及1个USB3.2 Type-C，≥1个HDMI，≥1个DP接口</w:t>
            </w:r>
            <w:r>
              <w:rPr>
                <w:rFonts w:hint="eastAsia" w:ascii="Times New Roman" w:hAnsi="Times New Roman" w:eastAsia="宋体" w:cs="Times New Roman"/>
                <w:color w:val="auto"/>
                <w:highlight w:val="none"/>
                <w:lang w:val="en-US" w:eastAsia="zh-CN"/>
              </w:rPr>
              <w:br w:type="textWrapping"/>
            </w:r>
            <w:r>
              <w:rPr>
                <w:rFonts w:hint="eastAsia" w:ascii="Times New Roman" w:hAnsi="Times New Roman" w:eastAsia="宋体" w:cs="Times New Roman"/>
                <w:color w:val="auto"/>
                <w:highlight w:val="none"/>
                <w:lang w:val="en-US" w:eastAsia="zh-CN"/>
              </w:rPr>
              <w:t xml:space="preserve">2、CPU：Intel酷睿十三代I5-13400或以上， ≥10核处理器 主频2.5GHZ </w:t>
            </w:r>
            <w:r>
              <w:rPr>
                <w:rFonts w:hint="eastAsia" w:ascii="Times New Roman" w:hAnsi="Times New Roman" w:eastAsia="宋体" w:cs="Times New Roman"/>
                <w:color w:val="auto"/>
                <w:highlight w:val="none"/>
                <w:lang w:val="en-US" w:eastAsia="zh-CN"/>
              </w:rPr>
              <w:br w:type="textWrapping"/>
            </w:r>
            <w:r>
              <w:rPr>
                <w:rFonts w:hint="eastAsia" w:ascii="Times New Roman" w:hAnsi="Times New Roman" w:eastAsia="宋体" w:cs="Times New Roman"/>
                <w:color w:val="auto"/>
                <w:highlight w:val="none"/>
                <w:lang w:val="en-US" w:eastAsia="zh-CN"/>
              </w:rPr>
              <w:t>▲3、内存： 16G DDR5  5600内存,双内存插槽设计，支持设备后续升级</w:t>
            </w:r>
            <w:r>
              <w:rPr>
                <w:rFonts w:hint="eastAsia" w:ascii="Times New Roman" w:hAnsi="Times New Roman" w:eastAsia="宋体" w:cs="Times New Roman"/>
                <w:color w:val="auto"/>
                <w:highlight w:val="none"/>
                <w:lang w:val="en-US" w:eastAsia="zh-CN"/>
              </w:rPr>
              <w:br w:type="textWrapping"/>
            </w:r>
            <w:r>
              <w:rPr>
                <w:rFonts w:hint="eastAsia" w:ascii="Times New Roman" w:hAnsi="Times New Roman" w:eastAsia="宋体" w:cs="Times New Roman"/>
                <w:color w:val="auto"/>
                <w:highlight w:val="none"/>
                <w:lang w:val="en-US" w:eastAsia="zh-CN"/>
              </w:rPr>
              <w:t>4、硬盘：搭载512G M.2 PCIE SSD+1TB机械硬盘</w:t>
            </w:r>
            <w:r>
              <w:rPr>
                <w:rFonts w:hint="eastAsia" w:ascii="Times New Roman" w:hAnsi="Times New Roman" w:eastAsia="宋体" w:cs="Times New Roman"/>
                <w:color w:val="auto"/>
                <w:highlight w:val="none"/>
                <w:lang w:val="en-US" w:eastAsia="zh-CN"/>
              </w:rPr>
              <w:br w:type="textWrapping"/>
            </w:r>
            <w:r>
              <w:rPr>
                <w:rFonts w:hint="eastAsia" w:ascii="Times New Roman" w:hAnsi="Times New Roman" w:eastAsia="宋体" w:cs="Times New Roman"/>
                <w:color w:val="auto"/>
                <w:highlight w:val="none"/>
                <w:lang w:val="en-US" w:eastAsia="zh-CN"/>
              </w:rPr>
              <w:t>▲5、显卡：Nvidia Quadro P1000-4G 专业显卡或以上性能</w:t>
            </w:r>
            <w:r>
              <w:rPr>
                <w:rFonts w:hint="eastAsia" w:ascii="Times New Roman" w:hAnsi="Times New Roman" w:eastAsia="宋体" w:cs="Times New Roman"/>
                <w:color w:val="auto"/>
                <w:highlight w:val="none"/>
                <w:lang w:val="en-US" w:eastAsia="zh-CN"/>
              </w:rPr>
              <w:br w:type="textWrapping"/>
            </w:r>
            <w:r>
              <w:rPr>
                <w:rFonts w:hint="eastAsia" w:ascii="Times New Roman" w:hAnsi="Times New Roman" w:eastAsia="宋体" w:cs="Times New Roman"/>
                <w:color w:val="auto"/>
                <w:highlight w:val="none"/>
                <w:lang w:val="en-US" w:eastAsia="zh-CN"/>
              </w:rPr>
              <w:t>▲6、网卡：集成10/100/1000M以太网卡,标配原厂无线网卡</w:t>
            </w:r>
            <w:r>
              <w:rPr>
                <w:rFonts w:hint="eastAsia" w:ascii="Times New Roman" w:hAnsi="Times New Roman" w:eastAsia="宋体" w:cs="Times New Roman"/>
                <w:color w:val="auto"/>
                <w:highlight w:val="none"/>
                <w:lang w:val="en-US" w:eastAsia="zh-CN"/>
              </w:rPr>
              <w:br w:type="textWrapping"/>
            </w:r>
            <w:r>
              <w:rPr>
                <w:rFonts w:hint="eastAsia" w:ascii="Times New Roman" w:hAnsi="Times New Roman" w:eastAsia="宋体" w:cs="Times New Roman"/>
                <w:color w:val="auto"/>
                <w:highlight w:val="none"/>
                <w:lang w:val="en-US" w:eastAsia="zh-CN"/>
              </w:rPr>
              <w:t>7、键盘、鼠标：防水抗菌键盘、抗菌鼠标。</w:t>
            </w:r>
            <w:r>
              <w:rPr>
                <w:rFonts w:hint="eastAsia" w:ascii="Times New Roman" w:hAnsi="Times New Roman" w:eastAsia="宋体" w:cs="Times New Roman"/>
                <w:color w:val="auto"/>
                <w:highlight w:val="none"/>
                <w:lang w:val="en-US" w:eastAsia="zh-CN"/>
              </w:rPr>
              <w:br w:type="textWrapping"/>
            </w:r>
            <w:r>
              <w:rPr>
                <w:rFonts w:hint="eastAsia" w:ascii="Times New Roman" w:hAnsi="Times New Roman" w:eastAsia="宋体" w:cs="Times New Roman"/>
                <w:color w:val="auto"/>
                <w:highlight w:val="none"/>
                <w:lang w:val="en-US" w:eastAsia="zh-CN"/>
              </w:rPr>
              <w:t>8、电源：≥180W节能电源，能效可达85%</w:t>
            </w:r>
            <w:r>
              <w:rPr>
                <w:rFonts w:hint="eastAsia" w:ascii="Times New Roman" w:hAnsi="Times New Roman" w:eastAsia="宋体" w:cs="Times New Roman"/>
                <w:color w:val="auto"/>
                <w:highlight w:val="none"/>
                <w:lang w:val="en-US" w:eastAsia="zh-CN"/>
              </w:rPr>
              <w:br w:type="textWrapping"/>
            </w:r>
            <w:r>
              <w:rPr>
                <w:rFonts w:hint="eastAsia" w:ascii="Times New Roman" w:hAnsi="Times New Roman" w:eastAsia="宋体" w:cs="Times New Roman"/>
                <w:color w:val="auto"/>
                <w:highlight w:val="none"/>
                <w:lang w:val="en-US" w:eastAsia="zh-CN"/>
              </w:rPr>
              <w:t>▲9、机箱：为满足客户灵活的使用场景，要求机箱必须为可立可卧式，机箱大小为≤8.2L，纤细机箱设计，提高办公舒适性，顶置电源开关键，方便使用。</w:t>
            </w:r>
            <w:r>
              <w:rPr>
                <w:rFonts w:hint="eastAsia" w:ascii="Times New Roman" w:hAnsi="Times New Roman" w:eastAsia="宋体" w:cs="Times New Roman"/>
                <w:color w:val="auto"/>
                <w:highlight w:val="none"/>
                <w:lang w:val="en-US" w:eastAsia="zh-CN"/>
              </w:rPr>
              <w:br w:type="textWrapping"/>
            </w:r>
            <w:r>
              <w:rPr>
                <w:rFonts w:hint="eastAsia" w:ascii="Times New Roman" w:hAnsi="Times New Roman" w:eastAsia="宋体" w:cs="Times New Roman"/>
                <w:color w:val="auto"/>
                <w:highlight w:val="none"/>
                <w:lang w:val="en-US" w:eastAsia="zh-CN"/>
              </w:rPr>
              <w:t>10、显示器 ：配备23.8寸显示器，分辨率为1920×1080，视频双接口，具有低蓝光护眼功能，。</w:t>
            </w:r>
            <w:r>
              <w:rPr>
                <w:rFonts w:hint="eastAsia" w:ascii="Times New Roman" w:hAnsi="Times New Roman" w:eastAsia="宋体" w:cs="Times New Roman"/>
                <w:color w:val="auto"/>
                <w:highlight w:val="none"/>
                <w:lang w:val="en-US" w:eastAsia="zh-CN"/>
              </w:rPr>
              <w:br w:type="textWrapping"/>
            </w:r>
            <w:r>
              <w:rPr>
                <w:rFonts w:hint="eastAsia" w:ascii="Times New Roman" w:hAnsi="Times New Roman" w:eastAsia="宋体" w:cs="Times New Roman"/>
                <w:color w:val="auto"/>
                <w:highlight w:val="none"/>
                <w:lang w:val="en-US" w:eastAsia="zh-CN"/>
              </w:rPr>
              <w:t>九、系统集成（1项）</w:t>
            </w:r>
          </w:p>
          <w:p w14:paraId="3009806A">
            <w:pPr>
              <w:pStyle w:val="5"/>
              <w:keepNext w:val="0"/>
              <w:keepLines w:val="0"/>
              <w:pageBreakBefore w:val="0"/>
              <w:kinsoku/>
              <w:wordWrap/>
              <w:overflowPunct/>
              <w:topLinePunct w:val="0"/>
              <w:autoSpaceDE/>
              <w:autoSpaceDN/>
              <w:bidi w:val="0"/>
              <w:adjustRightInd/>
              <w:snapToGrid/>
              <w:spacing w:line="440" w:lineRule="exact"/>
              <w:ind w:left="0" w:leftChars="0" w:firstLine="0" w:firstLineChars="0"/>
              <w:rPr>
                <w:rFonts w:hint="default"/>
                <w:b w:val="0"/>
                <w:bCs w:val="0"/>
                <w:sz w:val="22"/>
                <w:szCs w:val="22"/>
                <w:highlight w:val="none"/>
                <w:lang w:val="en-US" w:eastAsia="zh-CN"/>
              </w:rPr>
            </w:pPr>
            <w:r>
              <w:rPr>
                <w:rFonts w:hint="eastAsia" w:ascii="Times New Roman" w:hAnsi="Times New Roman" w:eastAsia="宋体" w:cs="Times New Roman"/>
                <w:color w:val="auto"/>
                <w:highlight w:val="none"/>
                <w:lang w:val="en-US" w:eastAsia="zh-CN"/>
              </w:rPr>
              <w:t>（一）显示屏结构施工</w:t>
            </w:r>
            <w:r>
              <w:rPr>
                <w:rFonts w:hint="eastAsia" w:ascii="Times New Roman" w:hAnsi="Times New Roman" w:eastAsia="宋体" w:cs="Times New Roman"/>
                <w:color w:val="FF0000"/>
                <w:highlight w:val="none"/>
                <w:lang w:val="en-US" w:eastAsia="zh-CN"/>
              </w:rPr>
              <w:br w:type="textWrapping"/>
            </w:r>
            <w:r>
              <w:rPr>
                <w:rFonts w:hint="eastAsia" w:ascii="Times New Roman" w:hAnsi="Times New Roman" w:cs="Times New Roman"/>
                <w:color w:val="auto"/>
                <w:highlight w:val="none"/>
                <w:lang w:val="en-US" w:eastAsia="zh-CN"/>
              </w:rPr>
              <w:t>1</w:t>
            </w:r>
            <w:r>
              <w:rPr>
                <w:rFonts w:hint="eastAsia" w:ascii="Times New Roman" w:hAnsi="Times New Roman" w:eastAsia="宋体" w:cs="Times New Roman"/>
                <w:color w:val="auto"/>
                <w:highlight w:val="none"/>
                <w:lang w:val="en-US" w:eastAsia="zh-CN"/>
              </w:rPr>
              <w:t>.室内挂墙安装方式，采用钢材料结构框架，四周不锈钢材料包边。</w:t>
            </w:r>
            <w:r>
              <w:rPr>
                <w:rFonts w:hint="eastAsia" w:ascii="Times New Roman" w:hAnsi="Times New Roman" w:eastAsia="宋体" w:cs="Times New Roman"/>
                <w:color w:val="auto"/>
                <w:highlight w:val="none"/>
                <w:lang w:val="en-US" w:eastAsia="zh-CN"/>
              </w:rPr>
              <w:br w:type="textWrapping"/>
            </w:r>
            <w:r>
              <w:rPr>
                <w:rFonts w:hint="eastAsia" w:ascii="Times New Roman" w:hAnsi="Times New Roman" w:cs="Times New Roman"/>
                <w:color w:val="auto"/>
                <w:highlight w:val="none"/>
                <w:lang w:val="en-US" w:eastAsia="zh-CN"/>
              </w:rPr>
              <w:t>2</w:t>
            </w:r>
            <w:r>
              <w:rPr>
                <w:rFonts w:hint="eastAsia" w:ascii="Times New Roman" w:hAnsi="Times New Roman" w:eastAsia="宋体" w:cs="Times New Roman"/>
                <w:color w:val="auto"/>
                <w:highlight w:val="none"/>
                <w:lang w:val="en-US" w:eastAsia="zh-CN"/>
              </w:rPr>
              <w:t>.镀锌钢管，型号包括：40*80*2.0、40*40*2.0、20*40*2.0、30*40*2.0、40*40*3.0、20*40*3.0、30*40*3.0、40*40*5.0、20*40*5.0、30*40*5.0符合中国ROHS GB/T26572-2011电子电气产品中限用物质的限量要求。</w:t>
            </w:r>
            <w:r>
              <w:rPr>
                <w:rFonts w:hint="eastAsia" w:ascii="Times New Roman" w:hAnsi="Times New Roman" w:eastAsia="宋体" w:cs="Times New Roman"/>
                <w:color w:val="auto"/>
                <w:highlight w:val="none"/>
                <w:lang w:val="en-US" w:eastAsia="zh-CN"/>
              </w:rPr>
              <w:br w:type="textWrapping"/>
            </w:r>
            <w:r>
              <w:rPr>
                <w:rFonts w:hint="eastAsia" w:ascii="Times New Roman" w:hAnsi="Times New Roman" w:cs="Times New Roman"/>
                <w:color w:val="auto"/>
                <w:highlight w:val="none"/>
                <w:lang w:val="en-US" w:eastAsia="zh-CN"/>
              </w:rPr>
              <w:t>3</w:t>
            </w:r>
            <w:r>
              <w:rPr>
                <w:rFonts w:hint="eastAsia" w:ascii="Times New Roman" w:hAnsi="Times New Roman" w:eastAsia="宋体" w:cs="Times New Roman"/>
                <w:color w:val="auto"/>
                <w:highlight w:val="none"/>
                <w:lang w:val="en-US" w:eastAsia="zh-CN"/>
              </w:rPr>
              <w:t>.▲结构检测结果：铅（Pb）含量不超5mg/kg，镉（Cd）含量不超5mg/kg，汞（Hg）含量不超5mg/kg，六价铬（Cr VI）非金属含量不超10mg/kg、金属呈阴性，多溴联苯、多溴二苯醚单类均不超5mg/kg，均未超限；</w:t>
            </w:r>
            <w:r>
              <w:rPr>
                <w:rFonts w:hint="eastAsia" w:ascii="宋体" w:hAnsi="宋体" w:cs="宋体"/>
                <w:b w:val="0"/>
                <w:bCs w:val="0"/>
                <w:color w:val="auto"/>
                <w:kern w:val="0"/>
                <w:sz w:val="22"/>
                <w:szCs w:val="22"/>
                <w:highlight w:val="none"/>
                <w:lang w:val="en-US" w:eastAsia="zh-CN"/>
              </w:rPr>
              <w:t>投标时提供国家认可的第三方检测机构出具的检测报告复印件并加盖供应商公章。</w:t>
            </w:r>
            <w:r>
              <w:rPr>
                <w:rFonts w:hint="eastAsia" w:ascii="Times New Roman" w:hAnsi="Times New Roman" w:eastAsia="宋体" w:cs="Times New Roman"/>
                <w:color w:val="auto"/>
                <w:highlight w:val="yellow"/>
                <w:lang w:val="en-US" w:eastAsia="zh-CN"/>
              </w:rPr>
              <w:br w:type="textWrapping"/>
            </w:r>
            <w:r>
              <w:rPr>
                <w:rFonts w:hint="eastAsia" w:ascii="Times New Roman" w:hAnsi="Times New Roman" w:cs="Times New Roman"/>
                <w:color w:val="auto"/>
                <w:highlight w:val="none"/>
                <w:lang w:val="en-US" w:eastAsia="zh-CN"/>
              </w:rPr>
              <w:t>4</w:t>
            </w:r>
            <w:r>
              <w:rPr>
                <w:rFonts w:hint="eastAsia" w:ascii="Times New Roman" w:hAnsi="Times New Roman" w:eastAsia="宋体" w:cs="Times New Roman"/>
                <w:color w:val="auto"/>
                <w:highlight w:val="none"/>
                <w:lang w:val="en-US" w:eastAsia="zh-CN"/>
              </w:rPr>
              <w:t>.▲中性盐雾测试，满足GB/T 2423.17-2008测试标准，测试后样品外观无明显腐蚀；</w:t>
            </w:r>
            <w:r>
              <w:rPr>
                <w:rFonts w:hint="eastAsia" w:ascii="宋体" w:hAnsi="宋体" w:cs="宋体"/>
                <w:b w:val="0"/>
                <w:bCs w:val="0"/>
                <w:color w:val="auto"/>
                <w:kern w:val="0"/>
                <w:sz w:val="22"/>
                <w:szCs w:val="22"/>
                <w:highlight w:val="none"/>
                <w:lang w:val="en-US" w:eastAsia="zh-CN"/>
              </w:rPr>
              <w:t>投标时提供国家认可的第三方检测机构出具的检测报告复印件并加盖供应商公章。</w:t>
            </w:r>
            <w:r>
              <w:rPr>
                <w:rFonts w:hint="eastAsia" w:ascii="Times New Roman" w:hAnsi="Times New Roman" w:eastAsia="宋体" w:cs="Times New Roman"/>
                <w:color w:val="auto"/>
                <w:highlight w:val="none"/>
                <w:lang w:val="en-US" w:eastAsia="zh-CN"/>
              </w:rPr>
              <w:br w:type="textWrapping"/>
            </w:r>
            <w:r>
              <w:rPr>
                <w:rFonts w:hint="eastAsia" w:ascii="Times New Roman" w:hAnsi="Times New Roman" w:eastAsia="宋体" w:cs="Times New Roman"/>
                <w:color w:val="auto"/>
                <w:highlight w:val="none"/>
                <w:lang w:val="en-US" w:eastAsia="zh-CN"/>
              </w:rPr>
              <w:t>(二)、集成安装</w:t>
            </w:r>
            <w:r>
              <w:rPr>
                <w:rFonts w:hint="eastAsia" w:ascii="Times New Roman" w:hAnsi="Times New Roman" w:eastAsia="宋体" w:cs="Times New Roman"/>
                <w:color w:val="auto"/>
                <w:highlight w:val="none"/>
                <w:lang w:val="en-US" w:eastAsia="zh-CN"/>
              </w:rPr>
              <w:br w:type="textWrapping"/>
            </w:r>
            <w:r>
              <w:rPr>
                <w:rFonts w:hint="eastAsia" w:ascii="Times New Roman" w:hAnsi="Times New Roman" w:eastAsia="宋体" w:cs="Times New Roman"/>
                <w:color w:val="auto"/>
                <w:highlight w:val="none"/>
                <w:lang w:val="en-US" w:eastAsia="zh-CN"/>
              </w:rPr>
              <w:t>1、由于显示控制端离屏体有一段距离，安装需保证两端连接布线美观。</w:t>
            </w:r>
            <w:r>
              <w:rPr>
                <w:rFonts w:hint="eastAsia" w:ascii="Times New Roman" w:hAnsi="Times New Roman" w:eastAsia="宋体" w:cs="Times New Roman"/>
                <w:color w:val="auto"/>
                <w:highlight w:val="none"/>
                <w:lang w:val="en-US" w:eastAsia="zh-CN"/>
              </w:rPr>
              <w:br w:type="textWrapping"/>
            </w:r>
            <w:r>
              <w:rPr>
                <w:rFonts w:hint="eastAsia" w:ascii="Times New Roman" w:hAnsi="Times New Roman" w:eastAsia="宋体" w:cs="Times New Roman"/>
                <w:color w:val="auto"/>
                <w:highlight w:val="none"/>
                <w:lang w:val="en-US" w:eastAsia="zh-CN"/>
              </w:rPr>
              <w:t>2、安装所需的所有线材、辅材等包干。</w:t>
            </w:r>
          </w:p>
        </w:tc>
        <w:tc>
          <w:tcPr>
            <w:tcW w:w="656" w:type="dxa"/>
            <w:vAlign w:val="center"/>
          </w:tcPr>
          <w:p w14:paraId="5E486287">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宋体" w:hAnsi="宋体" w:eastAsia="宋体" w:cs="宋体"/>
                <w:color w:val="auto"/>
                <w:kern w:val="2"/>
                <w:sz w:val="22"/>
                <w:szCs w:val="22"/>
                <w:highlight w:val="none"/>
                <w:vertAlign w:val="baseline"/>
                <w:lang w:val="en-US" w:eastAsia="zh-CN" w:bidi="ar-SA"/>
              </w:rPr>
            </w:pPr>
            <w:r>
              <w:rPr>
                <w:rFonts w:hint="eastAsia" w:ascii="宋体" w:hAnsi="宋体" w:cs="宋体"/>
                <w:i w:val="0"/>
                <w:iCs w:val="0"/>
                <w:color w:val="000000"/>
                <w:kern w:val="0"/>
                <w:sz w:val="22"/>
                <w:szCs w:val="22"/>
                <w:highlight w:val="none"/>
                <w:u w:val="none"/>
                <w:lang w:val="en-US" w:eastAsia="zh-CN" w:bidi="ar"/>
              </w:rPr>
              <w:t>套</w:t>
            </w:r>
          </w:p>
        </w:tc>
        <w:tc>
          <w:tcPr>
            <w:tcW w:w="656" w:type="dxa"/>
            <w:vAlign w:val="center"/>
          </w:tcPr>
          <w:p w14:paraId="4456A230">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宋体" w:hAnsi="宋体" w:eastAsia="宋体" w:cs="宋体"/>
                <w:color w:val="auto"/>
                <w:kern w:val="2"/>
                <w:sz w:val="22"/>
                <w:szCs w:val="22"/>
                <w:highlight w:val="none"/>
                <w:vertAlign w:val="baseline"/>
                <w:lang w:val="en-US" w:eastAsia="zh-CN" w:bidi="ar-SA"/>
              </w:rPr>
            </w:pPr>
            <w:r>
              <w:rPr>
                <w:rFonts w:hint="eastAsia" w:ascii="宋体" w:hAnsi="宋体" w:cs="宋体"/>
                <w:i w:val="0"/>
                <w:iCs w:val="0"/>
                <w:color w:val="000000"/>
                <w:kern w:val="0"/>
                <w:sz w:val="22"/>
                <w:szCs w:val="22"/>
                <w:highlight w:val="none"/>
                <w:u w:val="none"/>
                <w:lang w:val="en-US" w:eastAsia="zh-CN" w:bidi="ar"/>
              </w:rPr>
              <w:t>1</w:t>
            </w:r>
            <w:r>
              <w:rPr>
                <w:rFonts w:hint="eastAsia" w:ascii="宋体" w:hAnsi="宋体" w:eastAsia="宋体" w:cs="宋体"/>
                <w:i w:val="0"/>
                <w:iCs w:val="0"/>
                <w:color w:val="000000"/>
                <w:kern w:val="0"/>
                <w:sz w:val="22"/>
                <w:szCs w:val="22"/>
                <w:highlight w:val="none"/>
                <w:u w:val="none"/>
                <w:lang w:val="en-US" w:eastAsia="zh-CN" w:bidi="ar"/>
              </w:rPr>
              <w:t xml:space="preserve"> </w:t>
            </w:r>
          </w:p>
        </w:tc>
        <w:tc>
          <w:tcPr>
            <w:tcW w:w="1037" w:type="dxa"/>
            <w:shd w:val="clear" w:color="auto" w:fill="auto"/>
            <w:vAlign w:val="center"/>
          </w:tcPr>
          <w:p w14:paraId="74167A36">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heme="minorEastAsia" w:hAnsiTheme="minorEastAsia" w:eastAsiaTheme="minorEastAsia" w:cstheme="minorEastAsia"/>
                <w:b w:val="0"/>
                <w:bCs w:val="0"/>
                <w:i w:val="0"/>
                <w:iCs w:val="0"/>
                <w:color w:val="000000"/>
                <w:kern w:val="2"/>
                <w:sz w:val="22"/>
                <w:szCs w:val="22"/>
                <w:highlight w:val="none"/>
                <w:u w:val="none"/>
                <w:lang w:val="en-US" w:eastAsia="zh-CN" w:bidi="ar-SA"/>
              </w:rPr>
            </w:pPr>
            <w:r>
              <w:rPr>
                <w:rFonts w:hint="eastAsia" w:ascii="宋体" w:hAnsi="宋体" w:cs="宋体"/>
                <w:i w:val="0"/>
                <w:iCs w:val="0"/>
                <w:color w:val="000000"/>
                <w:kern w:val="0"/>
                <w:sz w:val="22"/>
                <w:szCs w:val="22"/>
                <w:highlight w:val="none"/>
                <w:u w:val="none"/>
                <w:lang w:val="en-US" w:eastAsia="zh-CN" w:bidi="ar"/>
              </w:rPr>
              <w:t>83000</w:t>
            </w:r>
          </w:p>
        </w:tc>
        <w:tc>
          <w:tcPr>
            <w:tcW w:w="1155" w:type="dxa"/>
            <w:shd w:val="clear" w:color="auto" w:fill="auto"/>
            <w:vAlign w:val="center"/>
          </w:tcPr>
          <w:p w14:paraId="37E15E30">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heme="minorEastAsia" w:hAnsiTheme="minorEastAsia" w:eastAsiaTheme="minorEastAsia" w:cstheme="minorEastAsia"/>
                <w:b w:val="0"/>
                <w:bCs w:val="0"/>
                <w:i w:val="0"/>
                <w:iCs w:val="0"/>
                <w:color w:val="000000"/>
                <w:kern w:val="2"/>
                <w:sz w:val="22"/>
                <w:szCs w:val="22"/>
                <w:highlight w:val="none"/>
                <w:u w:val="none"/>
                <w:lang w:val="en-US" w:eastAsia="zh-CN" w:bidi="ar-SA"/>
              </w:rPr>
            </w:pPr>
            <w:r>
              <w:rPr>
                <w:rFonts w:hint="eastAsia" w:ascii="宋体" w:hAnsi="宋体" w:cs="宋体"/>
                <w:i w:val="0"/>
                <w:iCs w:val="0"/>
                <w:color w:val="000000"/>
                <w:kern w:val="0"/>
                <w:sz w:val="22"/>
                <w:szCs w:val="22"/>
                <w:highlight w:val="none"/>
                <w:u w:val="none"/>
                <w:lang w:val="en-US" w:eastAsia="zh-CN" w:bidi="ar"/>
              </w:rPr>
              <w:t>83000</w:t>
            </w:r>
          </w:p>
        </w:tc>
      </w:tr>
      <w:tr w14:paraId="3CD9A2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rPr>
        <w:tc>
          <w:tcPr>
            <w:tcW w:w="14453" w:type="dxa"/>
            <w:gridSpan w:val="7"/>
            <w:vAlign w:val="center"/>
          </w:tcPr>
          <w:p w14:paraId="4F873D1F">
            <w:pPr>
              <w:keepNext w:val="0"/>
              <w:keepLines w:val="0"/>
              <w:pageBreakBefore w:val="0"/>
              <w:widowControl/>
              <w:numPr>
                <w:ilvl w:val="0"/>
                <w:numId w:val="0"/>
              </w:numPr>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kern w:val="2"/>
                <w:sz w:val="22"/>
                <w:szCs w:val="22"/>
                <w:highlight w:val="none"/>
                <w:vertAlign w:val="baseline"/>
                <w:lang w:val="en-US" w:eastAsia="zh-CN" w:bidi="ar-SA"/>
              </w:rPr>
            </w:pPr>
            <w:r>
              <w:rPr>
                <w:rFonts w:hint="eastAsia" w:ascii="宋体" w:hAnsi="宋体" w:eastAsia="宋体" w:cs="宋体"/>
                <w:b/>
                <w:bCs/>
                <w:color w:val="auto"/>
                <w:kern w:val="0"/>
                <w:sz w:val="22"/>
                <w:szCs w:val="22"/>
                <w:highlight w:val="none"/>
                <w:lang w:val="en-US" w:eastAsia="zh-CN"/>
              </w:rPr>
              <w:t>合计</w:t>
            </w:r>
          </w:p>
        </w:tc>
        <w:tc>
          <w:tcPr>
            <w:tcW w:w="1155" w:type="dxa"/>
            <w:shd w:val="clear" w:color="auto" w:fill="auto"/>
            <w:vAlign w:val="center"/>
          </w:tcPr>
          <w:p w14:paraId="1BBA2033">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heme="minorEastAsia" w:hAnsiTheme="minorEastAsia" w:eastAsiaTheme="minorEastAsia" w:cstheme="minorEastAsia"/>
                <w:b w:val="0"/>
                <w:bCs w:val="0"/>
                <w:i w:val="0"/>
                <w:iCs w:val="0"/>
                <w:color w:val="000000"/>
                <w:kern w:val="2"/>
                <w:sz w:val="22"/>
                <w:szCs w:val="22"/>
                <w:highlight w:val="none"/>
                <w:u w:val="none"/>
                <w:lang w:val="en-US" w:eastAsia="zh-CN" w:bidi="ar-SA"/>
              </w:rPr>
            </w:pPr>
            <w:r>
              <w:rPr>
                <w:rFonts w:hint="eastAsia" w:asciiTheme="minorEastAsia" w:hAnsiTheme="minorEastAsia" w:eastAsiaTheme="minorEastAsia" w:cstheme="minorEastAsia"/>
                <w:b w:val="0"/>
                <w:bCs w:val="0"/>
                <w:i w:val="0"/>
                <w:iCs w:val="0"/>
                <w:color w:val="000000"/>
                <w:kern w:val="2"/>
                <w:sz w:val="22"/>
                <w:szCs w:val="22"/>
                <w:highlight w:val="none"/>
                <w:u w:val="none"/>
                <w:lang w:val="en-US" w:eastAsia="zh-CN" w:bidi="ar-SA"/>
              </w:rPr>
              <w:t>83000</w:t>
            </w:r>
          </w:p>
        </w:tc>
      </w:tr>
    </w:tbl>
    <w:p w14:paraId="07E7AC77">
      <w:pPr>
        <w:keepNext w:val="0"/>
        <w:keepLines w:val="0"/>
        <w:pageBreakBefore w:val="0"/>
        <w:widowControl/>
        <w:kinsoku/>
        <w:wordWrap/>
        <w:overflowPunct/>
        <w:topLinePunct w:val="0"/>
        <w:autoSpaceDE/>
        <w:autoSpaceDN/>
        <w:bidi w:val="0"/>
        <w:spacing w:line="288" w:lineRule="auto"/>
        <w:jc w:val="left"/>
        <w:textAlignment w:val="auto"/>
        <w:rPr>
          <w:rFonts w:hint="eastAsia" w:ascii="宋体" w:hAnsi="宋体" w:eastAsia="宋体" w:cs="宋体"/>
          <w:color w:val="auto"/>
          <w:sz w:val="21"/>
          <w:szCs w:val="21"/>
          <w:highlight w:val="none"/>
          <w:lang w:val="en-US" w:eastAsia="zh-CN"/>
        </w:rPr>
      </w:pPr>
    </w:p>
    <w:p w14:paraId="25297CD6">
      <w:pPr>
        <w:pStyle w:val="5"/>
        <w:ind w:left="0" w:leftChars="0" w:firstLine="0" w:firstLineChars="0"/>
        <w:rPr>
          <w:rFonts w:hint="eastAsia" w:ascii="宋体" w:hAnsi="宋体" w:eastAsia="宋体" w:cs="宋体"/>
          <w:color w:val="auto"/>
          <w:sz w:val="21"/>
          <w:szCs w:val="21"/>
          <w:highlight w:val="none"/>
          <w:lang w:val="en-US" w:eastAsia="zh-CN"/>
        </w:rPr>
      </w:pPr>
    </w:p>
    <w:p w14:paraId="1FB8901C">
      <w:pPr>
        <w:keepNext w:val="0"/>
        <w:keepLines w:val="0"/>
        <w:pageBreakBefore w:val="0"/>
        <w:widowControl/>
        <w:kinsoku/>
        <w:wordWrap/>
        <w:overflowPunct/>
        <w:topLinePunct w:val="0"/>
        <w:autoSpaceDE/>
        <w:autoSpaceDN/>
        <w:bidi w:val="0"/>
        <w:spacing w:line="288" w:lineRule="auto"/>
        <w:jc w:val="left"/>
        <w:textAlignment w:val="auto"/>
        <w:rPr>
          <w:rFonts w:hint="eastAsia" w:ascii="宋体" w:hAnsi="宋体" w:eastAsia="宋体" w:cs="宋体"/>
          <w:color w:val="auto"/>
          <w:sz w:val="21"/>
          <w:szCs w:val="21"/>
          <w:highlight w:val="none"/>
          <w:lang w:val="en-US" w:eastAsia="zh-CN"/>
        </w:rPr>
      </w:pPr>
    </w:p>
    <w:p w14:paraId="485F4ADD">
      <w:pPr>
        <w:keepNext w:val="0"/>
        <w:keepLines w:val="0"/>
        <w:pageBreakBefore w:val="0"/>
        <w:widowControl/>
        <w:kinsoku/>
        <w:wordWrap/>
        <w:overflowPunct/>
        <w:topLinePunct w:val="0"/>
        <w:autoSpaceDE/>
        <w:autoSpaceDN/>
        <w:bidi w:val="0"/>
        <w:spacing w:line="288" w:lineRule="auto"/>
        <w:jc w:val="left"/>
        <w:textAlignment w:val="auto"/>
        <w:rPr>
          <w:rFonts w:hint="eastAsia" w:ascii="宋体" w:hAnsi="宋体" w:eastAsia="宋体" w:cs="宋体"/>
          <w:color w:val="auto"/>
          <w:sz w:val="21"/>
          <w:szCs w:val="21"/>
          <w:highlight w:val="none"/>
          <w:lang w:val="en-US" w:eastAsia="zh-CN"/>
        </w:rPr>
      </w:pPr>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0"/>
        <w:gridCol w:w="14624"/>
      </w:tblGrid>
      <w:tr w14:paraId="154809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14" w:type="dxa"/>
            <w:gridSpan w:val="2"/>
          </w:tcPr>
          <w:p w14:paraId="6724E585">
            <w:pPr>
              <w:rPr>
                <w:rFonts w:hint="eastAsia" w:ascii="宋体" w:hAnsi="宋体" w:eastAsia="宋体" w:cs="宋体"/>
                <w:color w:val="auto"/>
                <w:highlight w:val="none"/>
                <w:vertAlign w:val="baseline"/>
              </w:rPr>
            </w:pPr>
            <w:r>
              <w:rPr>
                <w:rFonts w:hint="eastAsia" w:ascii="宋体" w:hAnsi="宋体" w:eastAsia="宋体" w:cs="Calibri"/>
                <w:b/>
                <w:bCs/>
                <w:color w:val="auto"/>
                <w:kern w:val="0"/>
                <w:sz w:val="20"/>
                <w:szCs w:val="20"/>
                <w:highlight w:val="none"/>
                <w:lang w:val="en-US" w:eastAsia="zh-CN"/>
              </w:rPr>
              <w:t>▲</w:t>
            </w:r>
            <w:r>
              <w:rPr>
                <w:rFonts w:hint="eastAsia" w:ascii="宋体" w:hAnsi="宋体" w:eastAsia="宋体" w:cs="宋体"/>
                <w:b/>
                <w:bCs/>
                <w:color w:val="auto"/>
                <w:kern w:val="0"/>
                <w:szCs w:val="21"/>
                <w:highlight w:val="none"/>
              </w:rPr>
              <w:t>二、商务服务要求表</w:t>
            </w:r>
          </w:p>
        </w:tc>
      </w:tr>
      <w:tr w14:paraId="668CBA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0" w:type="dxa"/>
            <w:shd w:val="clear" w:color="auto" w:fill="auto"/>
            <w:vAlign w:val="center"/>
          </w:tcPr>
          <w:p w14:paraId="7B70F0AD">
            <w:pPr>
              <w:widowControl/>
              <w:snapToGrid w:val="0"/>
              <w:spacing w:line="400" w:lineRule="exact"/>
              <w:jc w:val="center"/>
              <w:textAlignment w:val="center"/>
              <w:rPr>
                <w:rFonts w:hint="eastAsia" w:ascii="宋体" w:hAnsi="宋体" w:eastAsia="宋体" w:cs="宋体"/>
                <w:color w:val="auto"/>
                <w:kern w:val="2"/>
                <w:sz w:val="21"/>
                <w:szCs w:val="21"/>
                <w:highlight w:val="none"/>
                <w:lang w:val="en-US" w:eastAsia="zh-CN" w:bidi="ar-SA"/>
              </w:rPr>
            </w:pPr>
            <w:r>
              <w:rPr>
                <w:rStyle w:val="18"/>
                <w:rFonts w:hint="eastAsia" w:ascii="宋体" w:hAnsi="宋体" w:eastAsia="宋体" w:cs="宋体"/>
                <w:color w:val="auto"/>
                <w:sz w:val="21"/>
                <w:szCs w:val="21"/>
                <w:highlight w:val="none"/>
              </w:rPr>
              <w:t>交货时间及地点</w:t>
            </w:r>
          </w:p>
        </w:tc>
        <w:tc>
          <w:tcPr>
            <w:tcW w:w="14624" w:type="dxa"/>
            <w:shd w:val="clear" w:color="auto" w:fill="auto"/>
            <w:vAlign w:val="center"/>
          </w:tcPr>
          <w:p w14:paraId="55E9414F">
            <w:pPr>
              <w:widowControl/>
              <w:numPr>
                <w:ilvl w:val="0"/>
                <w:numId w:val="0"/>
              </w:numPr>
              <w:snapToGrid w:val="0"/>
              <w:spacing w:line="400" w:lineRule="exact"/>
              <w:jc w:val="left"/>
              <w:textAlignment w:val="center"/>
              <w:rPr>
                <w:rFonts w:hint="eastAsia"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1、合同签订日期：中标通知书发出后</w:t>
            </w:r>
            <w:r>
              <w:rPr>
                <w:rFonts w:hint="eastAsia" w:asciiTheme="minorEastAsia" w:hAnsiTheme="minorEastAsia" w:cstheme="minorEastAsia"/>
                <w:kern w:val="0"/>
                <w:szCs w:val="21"/>
                <w:highlight w:val="none"/>
                <w:lang w:val="en-US" w:eastAsia="zh-CN"/>
              </w:rPr>
              <w:t>7</w:t>
            </w:r>
            <w:r>
              <w:rPr>
                <w:rFonts w:hint="eastAsia" w:asciiTheme="minorEastAsia" w:hAnsiTheme="minorEastAsia" w:cstheme="minorEastAsia"/>
                <w:kern w:val="0"/>
                <w:szCs w:val="21"/>
                <w:highlight w:val="none"/>
              </w:rPr>
              <w:t xml:space="preserve">日内。 </w:t>
            </w:r>
          </w:p>
          <w:p w14:paraId="59F8EBB0">
            <w:pPr>
              <w:widowControl/>
              <w:numPr>
                <w:ilvl w:val="0"/>
                <w:numId w:val="0"/>
              </w:numPr>
              <w:snapToGrid w:val="0"/>
              <w:spacing w:line="400" w:lineRule="exact"/>
              <w:jc w:val="left"/>
              <w:textAlignment w:val="center"/>
              <w:rPr>
                <w:rFonts w:hint="eastAsia" w:asciiTheme="minorEastAsia" w:hAnsiTheme="minorEastAsia" w:cstheme="minorEastAsia"/>
                <w:color w:val="auto"/>
                <w:kern w:val="0"/>
                <w:szCs w:val="21"/>
                <w:highlight w:val="none"/>
              </w:rPr>
            </w:pPr>
            <w:r>
              <w:rPr>
                <w:rFonts w:hint="eastAsia" w:asciiTheme="minorEastAsia" w:hAnsiTheme="minorEastAsia" w:cstheme="minorEastAsia"/>
                <w:kern w:val="0"/>
                <w:szCs w:val="21"/>
                <w:highlight w:val="none"/>
              </w:rPr>
              <w:t>2、交货（实施）时间：</w:t>
            </w:r>
            <w:r>
              <w:rPr>
                <w:rFonts w:hint="eastAsia" w:asciiTheme="minorEastAsia" w:hAnsiTheme="minorEastAsia" w:cstheme="minorEastAsia"/>
                <w:color w:val="auto"/>
                <w:kern w:val="0"/>
                <w:szCs w:val="21"/>
                <w:highlight w:val="none"/>
              </w:rPr>
              <w:t>合同签订之日起</w:t>
            </w:r>
            <w:r>
              <w:rPr>
                <w:rFonts w:hint="eastAsia" w:asciiTheme="minorEastAsia" w:hAnsiTheme="minorEastAsia" w:cstheme="minorEastAsia"/>
                <w:color w:val="auto"/>
                <w:kern w:val="0"/>
                <w:szCs w:val="21"/>
                <w:highlight w:val="none"/>
                <w:lang w:val="en-US" w:eastAsia="zh-CN"/>
              </w:rPr>
              <w:t>10</w:t>
            </w:r>
            <w:r>
              <w:rPr>
                <w:rFonts w:hint="eastAsia" w:asciiTheme="minorEastAsia" w:hAnsiTheme="minorEastAsia" w:cstheme="minorEastAsia"/>
                <w:color w:val="auto"/>
                <w:kern w:val="0"/>
                <w:szCs w:val="21"/>
                <w:highlight w:val="none"/>
              </w:rPr>
              <w:t>个日历日内</w:t>
            </w:r>
            <w:r>
              <w:rPr>
                <w:rFonts w:hint="eastAsia" w:asciiTheme="minorEastAsia" w:hAnsiTheme="minorEastAsia" w:cstheme="minorEastAsia"/>
                <w:color w:val="auto"/>
                <w:kern w:val="0"/>
                <w:szCs w:val="21"/>
                <w:highlight w:val="none"/>
                <w:lang w:val="en-US" w:eastAsia="zh-CN"/>
              </w:rPr>
              <w:t>完成采购，具体调试安装时间由采购方另行通知</w:t>
            </w:r>
            <w:r>
              <w:rPr>
                <w:rFonts w:hint="eastAsia" w:asciiTheme="minorEastAsia" w:hAnsiTheme="minorEastAsia" w:cstheme="minorEastAsia"/>
                <w:color w:val="auto"/>
                <w:kern w:val="0"/>
                <w:szCs w:val="21"/>
                <w:highlight w:val="none"/>
              </w:rPr>
              <w:t>。</w:t>
            </w:r>
          </w:p>
          <w:p w14:paraId="3BE34CE9">
            <w:pPr>
              <w:widowControl/>
              <w:snapToGrid w:val="0"/>
              <w:spacing w:line="400" w:lineRule="exact"/>
              <w:jc w:val="left"/>
              <w:textAlignment w:val="center"/>
              <w:rPr>
                <w:rFonts w:hint="eastAsia" w:ascii="宋体" w:hAnsi="宋体" w:eastAsia="宋体" w:cs="宋体"/>
                <w:color w:val="auto"/>
                <w:kern w:val="2"/>
                <w:sz w:val="21"/>
                <w:szCs w:val="21"/>
                <w:highlight w:val="none"/>
                <w:lang w:val="en-US" w:eastAsia="zh-CN" w:bidi="ar-SA"/>
              </w:rPr>
            </w:pPr>
            <w:r>
              <w:rPr>
                <w:rStyle w:val="18"/>
                <w:rFonts w:hint="eastAsia" w:asciiTheme="minorEastAsia" w:hAnsiTheme="minorEastAsia" w:eastAsiaTheme="minorEastAsia" w:cstheme="minorEastAsia"/>
                <w:color w:val="auto"/>
                <w:sz w:val="21"/>
                <w:szCs w:val="21"/>
                <w:highlight w:val="none"/>
                <w:lang w:val="en-US" w:eastAsia="zh-CN"/>
              </w:rPr>
              <w:t>3</w:t>
            </w:r>
            <w:r>
              <w:rPr>
                <w:rStyle w:val="18"/>
                <w:rFonts w:hint="eastAsia" w:asciiTheme="minorEastAsia" w:hAnsiTheme="minorEastAsia" w:eastAsiaTheme="minorEastAsia" w:cstheme="minorEastAsia"/>
                <w:color w:val="auto"/>
                <w:sz w:val="21"/>
                <w:szCs w:val="21"/>
                <w:highlight w:val="none"/>
                <w:lang w:eastAsia="zh-CN"/>
              </w:rPr>
              <w:t>、</w:t>
            </w:r>
            <w:r>
              <w:rPr>
                <w:rStyle w:val="18"/>
                <w:rFonts w:hint="default" w:asciiTheme="minorEastAsia" w:hAnsiTheme="minorEastAsia" w:eastAsiaTheme="minorEastAsia" w:cstheme="minorEastAsia"/>
                <w:color w:val="auto"/>
                <w:sz w:val="21"/>
                <w:szCs w:val="21"/>
                <w:highlight w:val="none"/>
              </w:rPr>
              <w:t>交货地点：</w:t>
            </w:r>
            <w:r>
              <w:rPr>
                <w:rFonts w:hint="eastAsia" w:asciiTheme="minorEastAsia" w:hAnsiTheme="minorEastAsia" w:cstheme="minorEastAsia"/>
                <w:szCs w:val="21"/>
                <w:highlight w:val="none"/>
              </w:rPr>
              <w:t>广西南宁市采购人指定地点（广西水利电力职业技术学院）</w:t>
            </w:r>
            <w:r>
              <w:rPr>
                <w:rStyle w:val="18"/>
                <w:rFonts w:hint="default" w:asciiTheme="minorEastAsia" w:hAnsiTheme="minorEastAsia" w:eastAsiaTheme="minorEastAsia" w:cstheme="minorEastAsia"/>
                <w:color w:val="auto"/>
                <w:sz w:val="21"/>
                <w:szCs w:val="21"/>
                <w:highlight w:val="none"/>
              </w:rPr>
              <w:t>。</w:t>
            </w:r>
          </w:p>
        </w:tc>
      </w:tr>
      <w:tr w14:paraId="5B2C79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0" w:type="dxa"/>
            <w:shd w:val="clear" w:color="auto" w:fill="auto"/>
            <w:vAlign w:val="center"/>
          </w:tcPr>
          <w:p w14:paraId="3ABD7DCC">
            <w:pPr>
              <w:widowControl/>
              <w:snapToGrid w:val="0"/>
              <w:spacing w:line="400" w:lineRule="exact"/>
              <w:jc w:val="center"/>
              <w:textAlignment w:val="center"/>
              <w:rPr>
                <w:rFonts w:hint="eastAsia" w:ascii="宋体" w:hAnsi="宋体" w:eastAsia="宋体" w:cs="宋体"/>
                <w:color w:val="auto"/>
                <w:kern w:val="2"/>
                <w:sz w:val="21"/>
                <w:szCs w:val="21"/>
                <w:highlight w:val="none"/>
                <w:lang w:val="en-US" w:eastAsia="zh-CN" w:bidi="ar-SA"/>
              </w:rPr>
            </w:pPr>
            <w:r>
              <w:rPr>
                <w:rStyle w:val="18"/>
                <w:rFonts w:hint="eastAsia" w:ascii="宋体" w:hAnsi="宋体" w:eastAsia="宋体" w:cs="宋体"/>
                <w:color w:val="auto"/>
                <w:sz w:val="21"/>
                <w:szCs w:val="21"/>
                <w:highlight w:val="none"/>
              </w:rPr>
              <w:t>质保期</w:t>
            </w:r>
          </w:p>
        </w:tc>
        <w:tc>
          <w:tcPr>
            <w:tcW w:w="14624" w:type="dxa"/>
            <w:shd w:val="clear" w:color="auto" w:fill="auto"/>
            <w:vAlign w:val="center"/>
          </w:tcPr>
          <w:p w14:paraId="23EDCCBE">
            <w:pPr>
              <w:widowControl/>
              <w:numPr>
                <w:ilvl w:val="0"/>
                <w:numId w:val="0"/>
              </w:numPr>
              <w:jc w:val="left"/>
              <w:textAlignment w:val="center"/>
              <w:rPr>
                <w:rFonts w:hint="eastAsia" w:ascii="宋体" w:hAnsi="宋体" w:eastAsia="宋体" w:cs="宋体"/>
                <w:color w:val="auto"/>
                <w:kern w:val="2"/>
                <w:sz w:val="21"/>
                <w:szCs w:val="21"/>
                <w:highlight w:val="none"/>
                <w:lang w:val="en-US" w:eastAsia="zh-CN" w:bidi="ar-SA"/>
              </w:rPr>
            </w:pPr>
            <w:r>
              <w:rPr>
                <w:rStyle w:val="18"/>
                <w:rFonts w:hint="default" w:asciiTheme="minorEastAsia" w:hAnsiTheme="minorEastAsia" w:eastAsiaTheme="minorEastAsia" w:cstheme="minorEastAsia"/>
                <w:color w:val="auto"/>
                <w:sz w:val="21"/>
                <w:szCs w:val="21"/>
                <w:highlight w:val="none"/>
              </w:rPr>
              <w:t>按国家有关规定或厂家承诺实行“三包”，</w:t>
            </w:r>
            <w:r>
              <w:rPr>
                <w:rFonts w:hint="eastAsia" w:asciiTheme="minorEastAsia" w:hAnsiTheme="minorEastAsia" w:cstheme="minorEastAsia"/>
                <w:kern w:val="0"/>
                <w:szCs w:val="21"/>
                <w:highlight w:val="none"/>
              </w:rPr>
              <w:t>质保期从验收合格之日起整机不少于</w:t>
            </w:r>
            <w:r>
              <w:rPr>
                <w:rFonts w:hint="eastAsia" w:asciiTheme="minorEastAsia" w:hAnsiTheme="minorEastAsia" w:cstheme="minorEastAsia"/>
                <w:kern w:val="0"/>
                <w:szCs w:val="21"/>
                <w:highlight w:val="none"/>
                <w:u w:val="single"/>
                <w:lang w:val="en-US" w:eastAsia="zh-CN"/>
              </w:rPr>
              <w:t>3</w:t>
            </w:r>
            <w:r>
              <w:rPr>
                <w:rFonts w:hint="eastAsia" w:asciiTheme="minorEastAsia" w:hAnsiTheme="minorEastAsia" w:cstheme="minorEastAsia"/>
                <w:kern w:val="0"/>
                <w:szCs w:val="21"/>
                <w:highlight w:val="none"/>
              </w:rPr>
              <w:t>年（技术参数中有特别指明质保期的按参数要求，厂家质保期高于采购要求的按厂家质保）</w:t>
            </w:r>
            <w:r>
              <w:rPr>
                <w:rStyle w:val="18"/>
                <w:rFonts w:hint="default" w:asciiTheme="minorEastAsia" w:hAnsiTheme="minorEastAsia" w:eastAsiaTheme="minorEastAsia" w:cstheme="minorEastAsia"/>
                <w:color w:val="auto"/>
                <w:sz w:val="21"/>
                <w:szCs w:val="21"/>
                <w:highlight w:val="none"/>
              </w:rPr>
              <w:t>，质保期内全免费上门维修、免费更换零部件，质保期过后提供终身技术支持和维护。</w:t>
            </w:r>
          </w:p>
        </w:tc>
      </w:tr>
      <w:tr w14:paraId="4E1FBD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0" w:type="dxa"/>
            <w:shd w:val="clear" w:color="auto" w:fill="auto"/>
            <w:vAlign w:val="center"/>
          </w:tcPr>
          <w:p w14:paraId="4891CE8A">
            <w:pPr>
              <w:widowControl/>
              <w:snapToGrid w:val="0"/>
              <w:spacing w:line="400" w:lineRule="exact"/>
              <w:jc w:val="center"/>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0"/>
                <w:szCs w:val="21"/>
                <w:highlight w:val="none"/>
              </w:rPr>
              <w:t>产品质量与售后服务要求</w:t>
            </w:r>
          </w:p>
        </w:tc>
        <w:tc>
          <w:tcPr>
            <w:tcW w:w="14624" w:type="dxa"/>
            <w:shd w:val="clear" w:color="auto" w:fill="auto"/>
            <w:vAlign w:val="center"/>
          </w:tcPr>
          <w:p w14:paraId="4011C85E">
            <w:pPr>
              <w:widowControl/>
              <w:snapToGrid w:val="0"/>
              <w:spacing w:line="400" w:lineRule="exact"/>
              <w:jc w:val="left"/>
              <w:textAlignment w:val="center"/>
              <w:rPr>
                <w:rFonts w:hint="default" w:ascii="宋体" w:hAnsi="宋体" w:eastAsia="宋体" w:cs="宋体"/>
                <w:sz w:val="21"/>
                <w:szCs w:val="21"/>
                <w:highlight w:val="none"/>
                <w:lang w:val="en-US" w:eastAsia="zh-CN"/>
              </w:rPr>
            </w:pPr>
            <w:r>
              <w:rPr>
                <w:rFonts w:hint="eastAsia" w:asciiTheme="minorEastAsia" w:hAnsiTheme="minorEastAsia" w:eastAsiaTheme="minorEastAsia" w:cstheme="minorEastAsia"/>
                <w:color w:val="auto"/>
                <w:kern w:val="2"/>
                <w:sz w:val="21"/>
                <w:szCs w:val="21"/>
                <w:highlight w:val="none"/>
                <w:lang w:val="en-US" w:eastAsia="zh-CN" w:bidi="ar-SA"/>
              </w:rPr>
              <w:t>1、</w:t>
            </w:r>
            <w:r>
              <w:rPr>
                <w:rFonts w:hint="eastAsia" w:ascii="宋体" w:hAnsi="宋体" w:eastAsia="宋体" w:cs="宋体"/>
                <w:color w:val="auto"/>
                <w:kern w:val="2"/>
                <w:sz w:val="21"/>
                <w:szCs w:val="21"/>
                <w:highlight w:val="none"/>
                <w:lang w:val="en-US" w:eastAsia="zh-CN" w:bidi="ar-SA"/>
              </w:rPr>
              <w:t>所投产品必须能实质性响应采购要求（所投产品应完全满足或优于采购参数要求），供货时能按照采购需求的要求提供厂家的</w:t>
            </w:r>
            <w:r>
              <w:rPr>
                <w:rFonts w:hint="eastAsia" w:ascii="宋体" w:hAnsi="宋体" w:cs="宋体"/>
                <w:sz w:val="21"/>
                <w:szCs w:val="21"/>
                <w:highlight w:val="none"/>
              </w:rPr>
              <w:t>生产厂家针对此项目的原厂授权函原件，供货证明原件，售后服务承诺函原件</w:t>
            </w:r>
            <w:r>
              <w:rPr>
                <w:rFonts w:hint="eastAsia" w:ascii="宋体" w:hAnsi="宋体" w:eastAsia="宋体" w:cs="宋体"/>
                <w:i w:val="0"/>
                <w:iCs w:val="0"/>
                <w:color w:val="000000"/>
                <w:kern w:val="0"/>
                <w:sz w:val="22"/>
                <w:szCs w:val="22"/>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t>且均须加盖生产厂家公章</w:t>
            </w:r>
            <w:r>
              <w:rPr>
                <w:rFonts w:hint="eastAsia" w:ascii="宋体" w:hAnsi="宋体" w:eastAsia="宋体" w:cs="宋体"/>
                <w:color w:val="auto"/>
                <w:kern w:val="2"/>
                <w:sz w:val="21"/>
                <w:szCs w:val="21"/>
                <w:highlight w:val="none"/>
                <w:lang w:val="en-US" w:eastAsia="zh-CN" w:bidi="ar-SA"/>
              </w:rPr>
              <w:t>，避免假冒伪劣产品</w:t>
            </w:r>
            <w:r>
              <w:rPr>
                <w:rFonts w:hint="eastAsia" w:ascii="宋体" w:hAnsi="宋体" w:cs="宋体"/>
                <w:color w:val="auto"/>
                <w:kern w:val="2"/>
                <w:sz w:val="21"/>
                <w:szCs w:val="21"/>
                <w:highlight w:val="none"/>
                <w:lang w:val="en-US" w:eastAsia="zh-CN" w:bidi="ar-SA"/>
              </w:rPr>
              <w:t>；</w:t>
            </w:r>
            <w:r>
              <w:rPr>
                <w:rFonts w:hint="eastAsia" w:ascii="宋体" w:hAnsi="宋体" w:eastAsia="宋体" w:cs="宋体"/>
                <w:color w:val="auto"/>
                <w:kern w:val="2"/>
                <w:sz w:val="21"/>
                <w:szCs w:val="21"/>
                <w:highlight w:val="none"/>
                <w:lang w:val="en-US" w:eastAsia="zh-CN" w:bidi="ar-SA"/>
              </w:rPr>
              <w:t>对不能满足参数要求虚假响应，采购人可作废标处理，并依法向供应商追究违约责任</w:t>
            </w:r>
            <w:r>
              <w:rPr>
                <w:rFonts w:hint="eastAsia" w:ascii="宋体" w:hAnsi="宋体" w:cs="宋体"/>
                <w:sz w:val="21"/>
                <w:szCs w:val="21"/>
                <w:highlight w:val="none"/>
                <w:lang w:val="en-US" w:eastAsia="zh-CN"/>
              </w:rPr>
              <w:t>。</w:t>
            </w:r>
          </w:p>
          <w:p w14:paraId="47281F61">
            <w:pPr>
              <w:widowControl/>
              <w:snapToGrid w:val="0"/>
              <w:spacing w:line="400" w:lineRule="exact"/>
              <w:jc w:val="left"/>
              <w:textAlignment w:val="center"/>
              <w:rPr>
                <w:rFonts w:hint="default"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2、故障响应时间：成交供应商收到采购人的故障维修通知后30分钟内电话服务应答，2小时内到达现场进行维修，4小时内排除故障，如24小时内无法修复的，质保期内成交供应商应无条件更换新设备或提供代用设备，或采取使设备可正常运转的措施。</w:t>
            </w:r>
          </w:p>
        </w:tc>
      </w:tr>
      <w:tr w14:paraId="118BC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0" w:type="dxa"/>
            <w:shd w:val="clear" w:color="auto" w:fill="auto"/>
            <w:vAlign w:val="center"/>
          </w:tcPr>
          <w:p w14:paraId="2DBED3ED">
            <w:pPr>
              <w:spacing w:line="400" w:lineRule="exact"/>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Cs w:val="21"/>
                <w:highlight w:val="none"/>
              </w:rPr>
              <w:t>实施和安装要求</w:t>
            </w:r>
          </w:p>
        </w:tc>
        <w:tc>
          <w:tcPr>
            <w:tcW w:w="14624" w:type="dxa"/>
            <w:shd w:val="clear" w:color="auto" w:fill="auto"/>
            <w:vAlign w:val="center"/>
          </w:tcPr>
          <w:p w14:paraId="4DFD51E1">
            <w:pPr>
              <w:spacing w:line="40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本项目为交钥匙工程，成交后，供应商需应严格按竞标产品的安装规范要求进行安装调试，保证设备正常运行，质量合格。</w:t>
            </w:r>
          </w:p>
          <w:p w14:paraId="3897F2EA">
            <w:pPr>
              <w:spacing w:line="40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（1）根据采购要求的工期提供项目实施方案及进度安排计划表；</w:t>
            </w:r>
          </w:p>
          <w:p w14:paraId="248AD737">
            <w:pPr>
              <w:spacing w:line="400" w:lineRule="exact"/>
              <w:jc w:val="left"/>
              <w:rPr>
                <w:rFonts w:hint="eastAsia" w:ascii="宋体" w:hAnsi="宋体" w:eastAsia="宋体" w:cs="宋体"/>
                <w:color w:val="auto"/>
                <w:szCs w:val="21"/>
                <w:highlight w:val="none"/>
              </w:rPr>
            </w:pPr>
            <w:r>
              <w:rPr>
                <w:rFonts w:hint="eastAsia" w:ascii="宋体" w:hAnsi="宋体" w:eastAsia="宋体" w:cs="宋体"/>
                <w:bCs/>
                <w:color w:val="auto"/>
                <w:szCs w:val="21"/>
                <w:highlight w:val="none"/>
              </w:rPr>
              <w:t>（2）</w:t>
            </w:r>
            <w:r>
              <w:rPr>
                <w:rFonts w:hint="eastAsia" w:ascii="宋体" w:hAnsi="宋体" w:eastAsia="宋体" w:cs="宋体"/>
                <w:color w:val="auto"/>
                <w:szCs w:val="21"/>
                <w:highlight w:val="none"/>
              </w:rPr>
              <w:t>供应商必须服从采购单位现场负责人的指挥，按指定地点进行设备安装、调试，确保设备安装符合国家现行技术规范标准；</w:t>
            </w:r>
          </w:p>
          <w:p w14:paraId="726392B3">
            <w:pPr>
              <w:spacing w:line="40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（3）安装过程中的所有安全保障由供应商自行负责；</w:t>
            </w:r>
          </w:p>
          <w:p w14:paraId="1A4230A6">
            <w:pPr>
              <w:spacing w:line="400" w:lineRule="exact"/>
              <w:rPr>
                <w:rFonts w:hint="eastAsia" w:ascii="宋体" w:hAnsi="宋体" w:eastAsia="宋体" w:cs="宋体"/>
                <w:color w:val="auto"/>
                <w:kern w:val="0"/>
                <w:sz w:val="21"/>
                <w:szCs w:val="21"/>
                <w:highlight w:val="none"/>
                <w:lang w:val="zh-CN" w:eastAsia="zh-CN" w:bidi="ar-SA"/>
              </w:rPr>
            </w:pPr>
            <w:r>
              <w:rPr>
                <w:rFonts w:hint="eastAsia" w:ascii="宋体" w:hAnsi="宋体" w:eastAsia="宋体" w:cs="宋体"/>
                <w:color w:val="auto"/>
                <w:kern w:val="0"/>
                <w:szCs w:val="21"/>
                <w:highlight w:val="none"/>
                <w:lang w:val="zh-CN"/>
              </w:rPr>
              <w:t>（</w:t>
            </w:r>
            <w:r>
              <w:rPr>
                <w:rFonts w:hint="eastAsia" w:ascii="宋体" w:hAnsi="宋体" w:eastAsia="宋体" w:cs="宋体"/>
                <w:color w:val="auto"/>
                <w:kern w:val="0"/>
                <w:szCs w:val="21"/>
                <w:highlight w:val="none"/>
              </w:rPr>
              <w:t>4</w:t>
            </w:r>
            <w:r>
              <w:rPr>
                <w:rFonts w:hint="eastAsia" w:ascii="宋体" w:hAnsi="宋体" w:eastAsia="宋体" w:cs="宋体"/>
                <w:color w:val="auto"/>
                <w:kern w:val="0"/>
                <w:szCs w:val="21"/>
                <w:highlight w:val="none"/>
                <w:lang w:val="zh-CN"/>
              </w:rPr>
              <w:t>）项目实施过程中产生的垃圾废料由供应商负责清理至校外。</w:t>
            </w:r>
          </w:p>
        </w:tc>
      </w:tr>
      <w:tr w14:paraId="55B1A2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0" w:type="dxa"/>
            <w:shd w:val="clear" w:color="auto" w:fill="auto"/>
            <w:vAlign w:val="center"/>
          </w:tcPr>
          <w:p w14:paraId="6C362CE8">
            <w:pPr>
              <w:widowControl/>
              <w:snapToGrid w:val="0"/>
              <w:spacing w:line="400" w:lineRule="exact"/>
              <w:jc w:val="center"/>
              <w:textAlignment w:val="center"/>
              <w:rPr>
                <w:rFonts w:hint="eastAsia" w:ascii="宋体" w:hAnsi="宋体" w:eastAsia="宋体" w:cs="宋体"/>
                <w:color w:val="auto"/>
                <w:kern w:val="2"/>
                <w:sz w:val="21"/>
                <w:szCs w:val="21"/>
                <w:highlight w:val="none"/>
                <w:lang w:val="en-US" w:eastAsia="zh-CN" w:bidi="ar-SA"/>
              </w:rPr>
            </w:pPr>
            <w:r>
              <w:rPr>
                <w:rStyle w:val="18"/>
                <w:rFonts w:hint="eastAsia" w:ascii="宋体" w:hAnsi="宋体" w:eastAsia="宋体" w:cs="宋体"/>
                <w:color w:val="auto"/>
                <w:sz w:val="21"/>
                <w:szCs w:val="21"/>
                <w:highlight w:val="none"/>
              </w:rPr>
              <w:t>付款方式</w:t>
            </w:r>
          </w:p>
        </w:tc>
        <w:tc>
          <w:tcPr>
            <w:tcW w:w="14624" w:type="dxa"/>
            <w:shd w:val="clear" w:color="auto" w:fill="auto"/>
            <w:vAlign w:val="center"/>
          </w:tcPr>
          <w:p w14:paraId="52FA89C8">
            <w:pPr>
              <w:widowControl/>
              <w:snapToGrid w:val="0"/>
              <w:spacing w:line="400" w:lineRule="exact"/>
              <w:jc w:val="left"/>
              <w:textAlignment w:val="center"/>
              <w:rPr>
                <w:rFonts w:hint="eastAsia" w:ascii="宋体" w:hAnsi="宋体" w:eastAsia="宋体" w:cs="宋体"/>
                <w:color w:val="auto"/>
                <w:sz w:val="21"/>
                <w:szCs w:val="21"/>
                <w:highlight w:val="none"/>
                <w:lang w:val="en-US" w:eastAsia="zh-CN"/>
              </w:rPr>
            </w:pPr>
            <w:r>
              <w:rPr>
                <w:szCs w:val="21"/>
                <w:highlight w:val="none"/>
              </w:rPr>
              <w:t> </w:t>
            </w:r>
            <w:r>
              <w:rPr>
                <w:rFonts w:hint="eastAsia" w:ascii="宋体" w:hAnsi="宋体"/>
                <w:color w:val="auto"/>
                <w:kern w:val="0"/>
                <w:szCs w:val="21"/>
                <w:highlight w:val="none"/>
              </w:rPr>
              <w:t>项目安装调试</w:t>
            </w:r>
            <w:r>
              <w:rPr>
                <w:rFonts w:hint="eastAsia" w:ascii="宋体" w:hAnsi="宋体"/>
                <w:color w:val="auto"/>
                <w:kern w:val="0"/>
                <w:szCs w:val="21"/>
                <w:highlight w:val="none"/>
                <w:lang w:val="en-US" w:eastAsia="zh-CN"/>
              </w:rPr>
              <w:t>且</w:t>
            </w:r>
            <w:r>
              <w:rPr>
                <w:rFonts w:hint="eastAsia" w:ascii="宋体" w:hAnsi="宋体"/>
                <w:color w:val="auto"/>
                <w:kern w:val="0"/>
                <w:szCs w:val="21"/>
                <w:highlight w:val="none"/>
              </w:rPr>
              <w:t>经采购人最终验收合格后，中标人开具增值税专用发票给采购人，采购人在收到发票后10个工作日内支付</w:t>
            </w:r>
            <w:r>
              <w:rPr>
                <w:rFonts w:hint="eastAsia" w:ascii="宋体" w:hAnsi="宋体"/>
                <w:color w:val="auto"/>
                <w:kern w:val="0"/>
                <w:szCs w:val="21"/>
                <w:highlight w:val="none"/>
                <w:lang w:val="en-US" w:eastAsia="zh-CN"/>
              </w:rPr>
              <w:t>10</w:t>
            </w:r>
            <w:r>
              <w:rPr>
                <w:rFonts w:hint="eastAsia" w:ascii="宋体" w:hAnsi="宋体"/>
                <w:color w:val="auto"/>
                <w:kern w:val="0"/>
                <w:szCs w:val="21"/>
                <w:highlight w:val="none"/>
              </w:rPr>
              <w:t>0%合同货款。</w:t>
            </w:r>
          </w:p>
        </w:tc>
      </w:tr>
      <w:tr w14:paraId="1114EE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0" w:type="dxa"/>
            <w:shd w:val="clear" w:color="auto" w:fill="auto"/>
            <w:vAlign w:val="center"/>
          </w:tcPr>
          <w:p w14:paraId="325E5B12">
            <w:pPr>
              <w:widowControl/>
              <w:snapToGrid w:val="0"/>
              <w:spacing w:line="400" w:lineRule="exact"/>
              <w:jc w:val="center"/>
              <w:textAlignment w:val="center"/>
              <w:rPr>
                <w:rFonts w:hint="eastAsia" w:ascii="宋体" w:hAnsi="宋体" w:eastAsia="宋体" w:cs="宋体"/>
                <w:color w:val="auto"/>
                <w:kern w:val="2"/>
                <w:sz w:val="21"/>
                <w:szCs w:val="21"/>
                <w:highlight w:val="none"/>
                <w:lang w:val="en-US" w:eastAsia="zh-CN" w:bidi="ar-SA"/>
              </w:rPr>
            </w:pPr>
            <w:r>
              <w:rPr>
                <w:rStyle w:val="18"/>
                <w:rFonts w:hint="eastAsia" w:ascii="宋体" w:hAnsi="宋体" w:eastAsia="宋体" w:cs="宋体"/>
                <w:color w:val="auto"/>
                <w:sz w:val="21"/>
                <w:szCs w:val="21"/>
                <w:highlight w:val="none"/>
              </w:rPr>
              <w:t>验收要求</w:t>
            </w:r>
          </w:p>
        </w:tc>
        <w:tc>
          <w:tcPr>
            <w:tcW w:w="14624" w:type="dxa"/>
            <w:shd w:val="clear" w:color="auto" w:fill="auto"/>
            <w:vAlign w:val="center"/>
          </w:tcPr>
          <w:p w14:paraId="1EE60033">
            <w:pPr>
              <w:widowControl/>
              <w:snapToGrid w:val="0"/>
              <w:spacing w:line="400" w:lineRule="exact"/>
              <w:ind w:firstLine="420" w:firstLineChars="200"/>
              <w:jc w:val="left"/>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 xml:space="preserve">1、验收标准：按合同要求及国家标准进行验收。验收时，采购人将严格按照合同要求及国家标准进行验收，对照采购文件的功能目标及技术指标全面核对检验，对所有要求出具的证明文件的原件进行核查（如有）。如交付产品不能满足采购要求和合同约定质量标准的视为验收不合格，按相关规定做退货处理及违约处理，成交供应商承担所有责任和费用，采购人保留进一步追究责任的权利。 </w:t>
            </w:r>
          </w:p>
          <w:p w14:paraId="1EC41D59">
            <w:pPr>
              <w:widowControl/>
              <w:snapToGrid w:val="0"/>
              <w:spacing w:line="400" w:lineRule="exact"/>
              <w:ind w:firstLine="420" w:firstLineChars="200"/>
              <w:jc w:val="left"/>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供应商完成设备安装与调试后，需对拟交付的合同成果及其组件进行自检并提出书面验收申请，经采购人同意后共同组织验收，签写相应验收意见并签名确认。如对验收存在异议的，可聘请第三方按合同约定组织验收，所有费用由成交供应商负责。</w:t>
            </w:r>
          </w:p>
          <w:p w14:paraId="344AE140">
            <w:pPr>
              <w:widowControl/>
              <w:snapToGrid w:val="0"/>
              <w:spacing w:line="400" w:lineRule="exact"/>
              <w:ind w:firstLine="420" w:firstLineChars="200"/>
              <w:jc w:val="left"/>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3、货物（设备）验收合格，项目约定产品或服务方可正式交接，双方对相关货物清单、随机附件及验收结论意见书等书面材料进行清点签字后，作为项目的最终验收。</w:t>
            </w:r>
          </w:p>
          <w:p w14:paraId="70F06C5C">
            <w:pPr>
              <w:widowControl/>
              <w:snapToGrid w:val="0"/>
              <w:spacing w:line="400" w:lineRule="exact"/>
              <w:ind w:firstLine="420" w:firstLineChars="200"/>
              <w:jc w:val="left"/>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4、验收费用：验收所产生的劳务费、检验费及相关发生的全部费用均由成交人承担。</w:t>
            </w:r>
          </w:p>
        </w:tc>
      </w:tr>
      <w:tr w14:paraId="3AC5C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0" w:type="dxa"/>
            <w:shd w:val="clear" w:color="auto" w:fill="auto"/>
            <w:vAlign w:val="center"/>
          </w:tcPr>
          <w:p w14:paraId="2982A134">
            <w:pPr>
              <w:widowControl/>
              <w:snapToGrid w:val="0"/>
              <w:spacing w:line="400" w:lineRule="exact"/>
              <w:jc w:val="center"/>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0"/>
                <w:szCs w:val="21"/>
                <w:highlight w:val="none"/>
              </w:rPr>
              <w:t>其他要求</w:t>
            </w:r>
          </w:p>
        </w:tc>
        <w:tc>
          <w:tcPr>
            <w:tcW w:w="14624" w:type="dxa"/>
            <w:shd w:val="clear" w:color="auto" w:fill="auto"/>
            <w:vAlign w:val="center"/>
          </w:tcPr>
          <w:p w14:paraId="4E6B1206">
            <w:pPr>
              <w:numPr>
                <w:ilvl w:val="0"/>
                <w:numId w:val="0"/>
              </w:numPr>
              <w:autoSpaceDE w:val="0"/>
              <w:autoSpaceDN w:val="0"/>
              <w:adjustRightInd w:val="0"/>
              <w:spacing w:line="400" w:lineRule="exact"/>
              <w:ind w:firstLine="420" w:firstLineChars="200"/>
              <w:rPr>
                <w:rFonts w:hint="eastAsia" w:ascii="宋体" w:hAnsi="宋体" w:eastAsia="宋体" w:cs="宋体"/>
                <w:color w:val="auto"/>
                <w:szCs w:val="21"/>
                <w:highlight w:val="none"/>
                <w:lang w:val="en-US" w:eastAsia="zh-CN"/>
              </w:rPr>
            </w:pPr>
            <w:r>
              <w:rPr>
                <w:rFonts w:hint="eastAsia" w:ascii="宋体" w:hAnsi="宋体" w:eastAsia="宋体" w:cs="宋体"/>
                <w:color w:val="auto"/>
                <w:kern w:val="2"/>
                <w:sz w:val="21"/>
                <w:szCs w:val="21"/>
                <w:lang w:val="en-US" w:eastAsia="zh-CN" w:bidi="ar-SA"/>
              </w:rPr>
              <w:t>1、</w:t>
            </w:r>
            <w:r>
              <w:rPr>
                <w:rFonts w:hint="eastAsia" w:ascii="宋体" w:hAnsi="宋体" w:eastAsia="宋体" w:cs="宋体"/>
                <w:color w:val="auto"/>
                <w:szCs w:val="21"/>
                <w:highlight w:val="none"/>
                <w:lang w:val="en-US" w:eastAsia="zh-CN"/>
              </w:rPr>
              <w:t>供应商必须实质性响应本项目标注“▲”的技术参数要求，不允许负偏离，对技术参数要求中非标注“▲”的技术参数负偏离项数不超过</w:t>
            </w:r>
            <w:r>
              <w:rPr>
                <w:rFonts w:hint="eastAsia" w:ascii="宋体" w:hAnsi="宋体" w:cs="宋体"/>
                <w:color w:val="auto"/>
                <w:szCs w:val="21"/>
                <w:highlight w:val="none"/>
                <w:lang w:val="en-US" w:eastAsia="zh-CN"/>
              </w:rPr>
              <w:t>3</w:t>
            </w:r>
            <w:r>
              <w:rPr>
                <w:rFonts w:hint="eastAsia" w:ascii="宋体" w:hAnsi="宋体" w:eastAsia="宋体" w:cs="宋体"/>
                <w:color w:val="auto"/>
                <w:szCs w:val="21"/>
                <w:highlight w:val="none"/>
                <w:lang w:val="en-US" w:eastAsia="zh-CN"/>
              </w:rPr>
              <w:t>项，否则视为无效响应。投标时，供应商所投产品须满足或优于技术参数配置要求【需提供《商务、技术响应、偏离情况说明表》（格式自拟）、《竞标报价表》和投标产品的《技术参数配置清单》（格式见附件）及检测报告复印件等相关佐证材料，以上材料加盖供应商公章】， 否则视为无效响应。</w:t>
            </w:r>
          </w:p>
          <w:p w14:paraId="0D81F7CC">
            <w:pPr>
              <w:autoSpaceDE w:val="0"/>
              <w:autoSpaceDN w:val="0"/>
              <w:adjustRightInd w:val="0"/>
              <w:spacing w:line="400" w:lineRule="exact"/>
              <w:ind w:firstLine="420" w:firstLineChars="200"/>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2</w:t>
            </w:r>
            <w:r>
              <w:rPr>
                <w:rFonts w:hint="eastAsia" w:ascii="宋体" w:hAnsi="宋体" w:eastAsia="宋体" w:cs="宋体"/>
                <w:color w:val="auto"/>
                <w:szCs w:val="21"/>
                <w:highlight w:val="none"/>
                <w:lang w:val="en-US" w:eastAsia="zh-CN"/>
              </w:rPr>
              <w:t>、根据《财政部 发展改革委 生态环境部 市场监管总局关于调整优化节能产品、环境标志产品政府采购执行机制的通知》（财库〔2019〕9 号）和《关于印发节能产品政府采购品目清单的通知》（财库〔2019〕19 号）的规定，本项目采购的产品如属于节能产品政府采购品目清单内标注“</w:t>
            </w:r>
            <w:r>
              <w:rPr>
                <w:rFonts w:hint="eastAsia" w:ascii="宋体" w:hAnsi="宋体" w:cs="宋体"/>
                <w:b w:val="0"/>
                <w:bCs w:val="0"/>
                <w:color w:val="auto"/>
                <w:kern w:val="0"/>
                <w:sz w:val="20"/>
                <w:szCs w:val="20"/>
                <w:highlight w:val="none"/>
                <w:lang w:val="en-US" w:eastAsia="zh-CN"/>
              </w:rPr>
              <w:t>★</w:t>
            </w:r>
            <w:r>
              <w:rPr>
                <w:rFonts w:hint="eastAsia" w:ascii="宋体" w:hAnsi="宋体" w:eastAsia="宋体" w:cs="宋体"/>
                <w:color w:val="auto"/>
                <w:szCs w:val="21"/>
                <w:highlight w:val="none"/>
                <w:lang w:val="en-US" w:eastAsia="zh-CN"/>
              </w:rPr>
              <w:t>”的产品的，供应商的竞标货物必须使用政府强制采购的节能产品，竞标时须提供国家确定的认证机构出具的、处于有效期之内的有效的节能产品认证证书复印件并加盖供应商公章，否则响应文件作无效竞标处理。</w:t>
            </w:r>
          </w:p>
          <w:p w14:paraId="234862E8">
            <w:pPr>
              <w:autoSpaceDE w:val="0"/>
              <w:autoSpaceDN w:val="0"/>
              <w:adjustRightInd w:val="0"/>
              <w:spacing w:line="400" w:lineRule="exact"/>
              <w:ind w:firstLine="420" w:firstLineChars="200"/>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3</w:t>
            </w:r>
            <w:r>
              <w:rPr>
                <w:rFonts w:hint="eastAsia" w:ascii="宋体" w:hAnsi="宋体" w:eastAsia="宋体" w:cs="宋体"/>
                <w:color w:val="auto"/>
                <w:szCs w:val="21"/>
                <w:highlight w:val="none"/>
                <w:lang w:val="en-US" w:eastAsia="zh-CN"/>
              </w:rPr>
              <w:t>、供应商在参与竞标报价前需仔细阅读项目采购的技术及商务要求，评估自身履约能力，谢绝恶意低价、不按要求报价、中标后无故放弃、不按合同履行等违约行为。对出现此类行为的成交供应商，将根据在线竞价违约处理规则，依法依规提请政采云平台进行处罚，并保留依法追究违约责任的权利，供应商的违约行为列入不良记录记入政府采购诚信档案。采购单位有权将在线询价单中的商务要求列入合同条款，否则有权拒签合同。</w:t>
            </w:r>
          </w:p>
          <w:p w14:paraId="72C7B0A5">
            <w:pPr>
              <w:autoSpaceDE w:val="0"/>
              <w:autoSpaceDN w:val="0"/>
              <w:adjustRightInd w:val="0"/>
              <w:spacing w:line="400" w:lineRule="exact"/>
              <w:ind w:firstLine="420" w:firstLineChars="200"/>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4</w:t>
            </w:r>
            <w:r>
              <w:rPr>
                <w:rFonts w:hint="eastAsia" w:ascii="宋体" w:hAnsi="宋体" w:eastAsia="宋体" w:cs="宋体"/>
                <w:color w:val="auto"/>
                <w:szCs w:val="21"/>
                <w:highlight w:val="none"/>
                <w:lang w:val="en-US" w:eastAsia="zh-CN"/>
              </w:rPr>
              <w:t>、中标公示期内若有其他供应商质疑情况下，中标单位必须提供与标书技术要求及功能符合的样品一套至采购人处进行整体性能与标书文件核对，协助质疑答复。如出现所提供样品不符招标要求或无法提供样品，均视为虚假应标处理并根据招标法及标书要求追究法律责任。</w:t>
            </w:r>
          </w:p>
        </w:tc>
      </w:tr>
    </w:tbl>
    <w:p w14:paraId="7FFFC522">
      <w:pPr>
        <w:keepNext w:val="0"/>
        <w:keepLines w:val="0"/>
        <w:pageBreakBefore w:val="0"/>
        <w:widowControl/>
        <w:kinsoku/>
        <w:wordWrap/>
        <w:overflowPunct/>
        <w:topLinePunct w:val="0"/>
        <w:autoSpaceDE/>
        <w:autoSpaceDN/>
        <w:bidi w:val="0"/>
        <w:spacing w:line="288" w:lineRule="auto"/>
        <w:jc w:val="left"/>
        <w:textAlignment w:val="auto"/>
        <w:rPr>
          <w:rFonts w:hint="eastAsia" w:ascii="宋体" w:hAnsi="宋体" w:eastAsia="宋体" w:cs="宋体"/>
          <w:color w:val="auto"/>
          <w:sz w:val="21"/>
          <w:szCs w:val="21"/>
          <w:highlight w:val="none"/>
          <w:lang w:val="en-US" w:eastAsia="zh-CN"/>
        </w:rPr>
      </w:pPr>
    </w:p>
    <w:p w14:paraId="27CB6BF7">
      <w:pPr>
        <w:keepNext w:val="0"/>
        <w:keepLines w:val="0"/>
        <w:pageBreakBefore w:val="0"/>
        <w:widowControl/>
        <w:kinsoku/>
        <w:wordWrap/>
        <w:overflowPunct/>
        <w:topLinePunct w:val="0"/>
        <w:autoSpaceDE/>
        <w:autoSpaceDN/>
        <w:bidi w:val="0"/>
        <w:spacing w:line="288" w:lineRule="auto"/>
        <w:jc w:val="left"/>
        <w:textAlignment w:val="auto"/>
        <w:rPr>
          <w:rFonts w:hint="eastAsia" w:ascii="宋体" w:hAnsi="宋体" w:eastAsia="宋体" w:cs="宋体"/>
          <w:color w:val="auto"/>
          <w:sz w:val="21"/>
          <w:szCs w:val="21"/>
          <w:highlight w:val="none"/>
          <w:lang w:val="en-US" w:eastAsia="zh-CN"/>
        </w:rPr>
      </w:pPr>
    </w:p>
    <w:p w14:paraId="31D42C18">
      <w:pPr>
        <w:keepNext w:val="0"/>
        <w:keepLines w:val="0"/>
        <w:pageBreakBefore w:val="0"/>
        <w:widowControl/>
        <w:kinsoku/>
        <w:wordWrap/>
        <w:overflowPunct/>
        <w:topLinePunct w:val="0"/>
        <w:autoSpaceDE/>
        <w:autoSpaceDN/>
        <w:bidi w:val="0"/>
        <w:spacing w:line="288" w:lineRule="auto"/>
        <w:jc w:val="left"/>
        <w:textAlignment w:val="auto"/>
        <w:rPr>
          <w:rFonts w:hint="eastAsia" w:ascii="宋体" w:hAnsi="宋体" w:eastAsia="宋体" w:cs="宋体"/>
          <w:color w:val="auto"/>
          <w:sz w:val="21"/>
          <w:szCs w:val="21"/>
          <w:highlight w:val="none"/>
          <w:lang w:val="en-US" w:eastAsia="zh-CN"/>
        </w:rPr>
      </w:pPr>
    </w:p>
    <w:p w14:paraId="70C6E86A">
      <w:pPr>
        <w:rPr>
          <w:rFonts w:hint="eastAsia"/>
          <w:color w:val="auto"/>
          <w:highlight w:val="none"/>
        </w:rPr>
      </w:pPr>
      <w:r>
        <w:rPr>
          <w:rFonts w:hint="eastAsia"/>
          <w:color w:val="auto"/>
          <w:highlight w:val="none"/>
        </w:rPr>
        <w:br w:type="page"/>
      </w:r>
    </w:p>
    <w:p w14:paraId="3E626ABD">
      <w:pPr>
        <w:rPr>
          <w:color w:val="auto"/>
          <w:highlight w:val="none"/>
        </w:rPr>
      </w:pPr>
      <w:r>
        <w:rPr>
          <w:rFonts w:hint="eastAsia"/>
          <w:color w:val="auto"/>
          <w:highlight w:val="none"/>
        </w:rPr>
        <w:t>附件</w:t>
      </w:r>
    </w:p>
    <w:p w14:paraId="29AB43BA">
      <w:pPr>
        <w:tabs>
          <w:tab w:val="left" w:pos="3479"/>
        </w:tabs>
        <w:spacing w:line="520" w:lineRule="exact"/>
        <w:jc w:val="center"/>
        <w:rPr>
          <w:rFonts w:hint="eastAsia" w:asciiTheme="minorEastAsia" w:hAnsiTheme="minorEastAsia" w:cstheme="minorEastAsia"/>
          <w:b/>
          <w:color w:val="auto"/>
          <w:sz w:val="44"/>
          <w:szCs w:val="44"/>
          <w:highlight w:val="none"/>
        </w:rPr>
      </w:pPr>
    </w:p>
    <w:p w14:paraId="60A5A090">
      <w:pPr>
        <w:tabs>
          <w:tab w:val="left" w:pos="3479"/>
        </w:tabs>
        <w:spacing w:line="520" w:lineRule="exact"/>
        <w:jc w:val="center"/>
        <w:rPr>
          <w:rFonts w:hint="eastAsia" w:asciiTheme="minorEastAsia" w:hAnsiTheme="minorEastAsia" w:cstheme="minorEastAsia"/>
          <w:b/>
          <w:color w:val="auto"/>
          <w:sz w:val="32"/>
          <w:szCs w:val="32"/>
          <w:highlight w:val="none"/>
        </w:rPr>
      </w:pPr>
      <w:r>
        <w:rPr>
          <w:rFonts w:hint="eastAsia" w:asciiTheme="minorEastAsia" w:hAnsiTheme="minorEastAsia" w:cstheme="minorEastAsia"/>
          <w:b/>
          <w:color w:val="auto"/>
          <w:sz w:val="44"/>
          <w:szCs w:val="44"/>
          <w:highlight w:val="none"/>
        </w:rPr>
        <w:t>竞  标  报  价  表</w:t>
      </w:r>
    </w:p>
    <w:p w14:paraId="4D0D8E3A">
      <w:pPr>
        <w:spacing w:line="520" w:lineRule="exact"/>
        <w:jc w:val="center"/>
        <w:rPr>
          <w:rFonts w:hint="eastAsia" w:ascii="方正小标宋简体" w:hAnsi="方正小标宋简体" w:eastAsia="方正小标宋简体" w:cs="方正小标宋简体"/>
          <w:bCs/>
          <w:color w:val="auto"/>
          <w:sz w:val="32"/>
          <w:szCs w:val="32"/>
          <w:highlight w:val="none"/>
        </w:rPr>
      </w:pPr>
    </w:p>
    <w:p w14:paraId="1C161FB7">
      <w:pPr>
        <w:snapToGrid w:val="0"/>
        <w:spacing w:line="360" w:lineRule="auto"/>
        <w:rPr>
          <w:rFonts w:hint="eastAsia" w:ascii="宋体" w:hAnsi="宋体" w:cs="仿宋_GB2312"/>
          <w:color w:val="auto"/>
          <w:sz w:val="24"/>
          <w:highlight w:val="none"/>
        </w:rPr>
      </w:pPr>
      <w:r>
        <w:rPr>
          <w:rFonts w:hint="eastAsia" w:ascii="宋体" w:hAnsi="宋体" w:cs="仿宋_GB2312"/>
          <w:color w:val="auto"/>
          <w:sz w:val="24"/>
          <w:highlight w:val="none"/>
        </w:rPr>
        <w:t>项目名称：                                                                                    单位：元</w:t>
      </w:r>
    </w:p>
    <w:tbl>
      <w:tblPr>
        <w:tblStyle w:val="10"/>
        <w:tblW w:w="14514"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38"/>
        <w:gridCol w:w="4343"/>
        <w:gridCol w:w="2865"/>
        <w:gridCol w:w="1050"/>
        <w:gridCol w:w="1590"/>
        <w:gridCol w:w="1445"/>
        <w:gridCol w:w="2383"/>
      </w:tblGrid>
      <w:tr w14:paraId="529E612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23" w:hRule="atLeast"/>
        </w:trPr>
        <w:tc>
          <w:tcPr>
            <w:tcW w:w="838" w:type="dxa"/>
            <w:tcBorders>
              <w:top w:val="single" w:color="auto" w:sz="4" w:space="0"/>
              <w:left w:val="single" w:color="auto" w:sz="4" w:space="0"/>
              <w:bottom w:val="single" w:color="auto" w:sz="4" w:space="0"/>
              <w:right w:val="single" w:color="auto" w:sz="4" w:space="0"/>
            </w:tcBorders>
            <w:vAlign w:val="center"/>
          </w:tcPr>
          <w:p w14:paraId="17CB5E63">
            <w:pPr>
              <w:spacing w:line="360" w:lineRule="exact"/>
              <w:jc w:val="center"/>
              <w:rPr>
                <w:rFonts w:hint="eastAsia" w:ascii="宋体" w:hAnsi="宋体" w:cs="仿宋_GB2312"/>
                <w:b/>
                <w:bCs/>
                <w:color w:val="auto"/>
                <w:szCs w:val="21"/>
                <w:highlight w:val="none"/>
              </w:rPr>
            </w:pPr>
            <w:r>
              <w:rPr>
                <w:rFonts w:hint="eastAsia" w:ascii="宋体" w:hAnsi="宋体" w:cs="仿宋_GB2312"/>
                <w:b/>
                <w:bCs/>
                <w:color w:val="auto"/>
                <w:szCs w:val="21"/>
                <w:highlight w:val="none"/>
              </w:rPr>
              <w:t>项号</w:t>
            </w:r>
          </w:p>
        </w:tc>
        <w:tc>
          <w:tcPr>
            <w:tcW w:w="4343" w:type="dxa"/>
            <w:tcBorders>
              <w:top w:val="single" w:color="auto" w:sz="4" w:space="0"/>
              <w:left w:val="single" w:color="auto" w:sz="4" w:space="0"/>
              <w:bottom w:val="single" w:color="auto" w:sz="4" w:space="0"/>
              <w:right w:val="single" w:color="auto" w:sz="4" w:space="0"/>
            </w:tcBorders>
            <w:vAlign w:val="center"/>
          </w:tcPr>
          <w:p w14:paraId="6FF0CA90">
            <w:pPr>
              <w:spacing w:line="360" w:lineRule="exact"/>
              <w:jc w:val="center"/>
              <w:rPr>
                <w:rFonts w:hint="eastAsia" w:ascii="宋体" w:hAnsi="宋体" w:cs="仿宋_GB2312"/>
                <w:b/>
                <w:bCs/>
                <w:color w:val="auto"/>
                <w:szCs w:val="21"/>
                <w:highlight w:val="none"/>
              </w:rPr>
            </w:pPr>
            <w:r>
              <w:rPr>
                <w:rFonts w:hint="eastAsia" w:ascii="宋体" w:hAnsi="宋体" w:cs="仿宋_GB2312"/>
                <w:b/>
                <w:bCs/>
                <w:color w:val="auto"/>
                <w:szCs w:val="21"/>
                <w:highlight w:val="none"/>
              </w:rPr>
              <w:t>货物名称</w:t>
            </w:r>
          </w:p>
        </w:tc>
        <w:tc>
          <w:tcPr>
            <w:tcW w:w="2865" w:type="dxa"/>
            <w:tcBorders>
              <w:top w:val="single" w:color="auto" w:sz="4" w:space="0"/>
              <w:left w:val="single" w:color="auto" w:sz="4" w:space="0"/>
              <w:bottom w:val="single" w:color="auto" w:sz="4" w:space="0"/>
              <w:right w:val="single" w:color="auto" w:sz="4" w:space="0"/>
            </w:tcBorders>
            <w:vAlign w:val="center"/>
          </w:tcPr>
          <w:p w14:paraId="0397E4E9">
            <w:pPr>
              <w:spacing w:line="360" w:lineRule="exact"/>
              <w:jc w:val="center"/>
              <w:rPr>
                <w:rFonts w:hint="eastAsia" w:ascii="宋体" w:hAnsi="宋体" w:cs="仿宋_GB2312"/>
                <w:b/>
                <w:bCs/>
                <w:color w:val="auto"/>
                <w:szCs w:val="21"/>
                <w:highlight w:val="none"/>
              </w:rPr>
            </w:pPr>
            <w:r>
              <w:rPr>
                <w:rFonts w:hint="eastAsia" w:ascii="宋体" w:hAnsi="宋体" w:cs="仿宋_GB2312"/>
                <w:b/>
                <w:bCs/>
                <w:color w:val="auto"/>
                <w:szCs w:val="21"/>
                <w:highlight w:val="none"/>
              </w:rPr>
              <w:t>品牌</w:t>
            </w:r>
          </w:p>
        </w:tc>
        <w:tc>
          <w:tcPr>
            <w:tcW w:w="1050" w:type="dxa"/>
            <w:tcBorders>
              <w:top w:val="single" w:color="auto" w:sz="4" w:space="0"/>
              <w:left w:val="single" w:color="auto" w:sz="4" w:space="0"/>
              <w:bottom w:val="single" w:color="auto" w:sz="4" w:space="0"/>
              <w:right w:val="single" w:color="auto" w:sz="4" w:space="0"/>
            </w:tcBorders>
            <w:vAlign w:val="center"/>
          </w:tcPr>
          <w:p w14:paraId="75357603">
            <w:pPr>
              <w:spacing w:line="360" w:lineRule="exact"/>
              <w:jc w:val="center"/>
              <w:rPr>
                <w:rFonts w:hint="eastAsia" w:ascii="宋体" w:hAnsi="宋体" w:cs="仿宋_GB2312"/>
                <w:b/>
                <w:bCs/>
                <w:color w:val="auto"/>
                <w:szCs w:val="21"/>
                <w:highlight w:val="none"/>
              </w:rPr>
            </w:pPr>
            <w:r>
              <w:rPr>
                <w:rFonts w:hint="eastAsia" w:ascii="宋体" w:hAnsi="宋体" w:cs="仿宋_GB2312"/>
                <w:b/>
                <w:bCs/>
                <w:color w:val="auto"/>
                <w:szCs w:val="21"/>
                <w:highlight w:val="none"/>
              </w:rPr>
              <w:t>单位</w:t>
            </w:r>
          </w:p>
        </w:tc>
        <w:tc>
          <w:tcPr>
            <w:tcW w:w="1590" w:type="dxa"/>
            <w:tcBorders>
              <w:top w:val="single" w:color="auto" w:sz="4" w:space="0"/>
              <w:left w:val="single" w:color="auto" w:sz="4" w:space="0"/>
              <w:bottom w:val="single" w:color="auto" w:sz="4" w:space="0"/>
              <w:right w:val="single" w:color="auto" w:sz="4" w:space="0"/>
            </w:tcBorders>
            <w:vAlign w:val="center"/>
          </w:tcPr>
          <w:p w14:paraId="1EFD5A36">
            <w:pPr>
              <w:spacing w:line="360" w:lineRule="exact"/>
              <w:jc w:val="center"/>
              <w:rPr>
                <w:rFonts w:hint="eastAsia" w:ascii="宋体" w:hAnsi="宋体" w:cs="仿宋_GB2312"/>
                <w:b/>
                <w:bCs/>
                <w:color w:val="auto"/>
                <w:szCs w:val="21"/>
                <w:highlight w:val="none"/>
              </w:rPr>
            </w:pPr>
            <w:r>
              <w:rPr>
                <w:rFonts w:hint="eastAsia" w:ascii="宋体" w:hAnsi="宋体" w:cs="仿宋_GB2312"/>
                <w:b/>
                <w:bCs/>
                <w:color w:val="auto"/>
                <w:szCs w:val="21"/>
                <w:highlight w:val="none"/>
              </w:rPr>
              <w:t>数量</w:t>
            </w:r>
          </w:p>
          <w:p w14:paraId="787A8CAD">
            <w:pPr>
              <w:spacing w:line="360" w:lineRule="exact"/>
              <w:jc w:val="center"/>
              <w:rPr>
                <w:rFonts w:hint="eastAsia" w:ascii="宋体" w:hAnsi="宋体" w:cs="仿宋_GB2312"/>
                <w:b/>
                <w:bCs/>
                <w:color w:val="auto"/>
                <w:szCs w:val="21"/>
                <w:highlight w:val="none"/>
              </w:rPr>
            </w:pPr>
            <w:r>
              <w:rPr>
                <w:rFonts w:hint="eastAsia" w:ascii="宋体" w:hAnsi="宋体" w:cs="仿宋_GB2312"/>
                <w:b/>
                <w:bCs/>
                <w:color w:val="auto"/>
                <w:szCs w:val="21"/>
                <w:highlight w:val="none"/>
              </w:rPr>
              <w:t>①</w:t>
            </w:r>
          </w:p>
        </w:tc>
        <w:tc>
          <w:tcPr>
            <w:tcW w:w="1445" w:type="dxa"/>
            <w:tcBorders>
              <w:top w:val="single" w:color="auto" w:sz="4" w:space="0"/>
              <w:left w:val="single" w:color="auto" w:sz="4" w:space="0"/>
              <w:bottom w:val="single" w:color="auto" w:sz="4" w:space="0"/>
              <w:right w:val="single" w:color="auto" w:sz="4" w:space="0"/>
            </w:tcBorders>
            <w:vAlign w:val="center"/>
          </w:tcPr>
          <w:p w14:paraId="1073B87E">
            <w:pPr>
              <w:spacing w:line="360" w:lineRule="exact"/>
              <w:jc w:val="center"/>
              <w:rPr>
                <w:rFonts w:hint="eastAsia" w:ascii="宋体" w:hAnsi="宋体" w:cs="仿宋_GB2312"/>
                <w:b/>
                <w:bCs/>
                <w:color w:val="auto"/>
                <w:szCs w:val="21"/>
                <w:highlight w:val="none"/>
              </w:rPr>
            </w:pPr>
            <w:r>
              <w:rPr>
                <w:rFonts w:hint="eastAsia" w:ascii="宋体" w:hAnsi="宋体" w:cs="仿宋_GB2312"/>
                <w:b/>
                <w:bCs/>
                <w:color w:val="auto"/>
                <w:szCs w:val="21"/>
                <w:highlight w:val="none"/>
              </w:rPr>
              <w:t>单价</w:t>
            </w:r>
          </w:p>
          <w:p w14:paraId="42798620">
            <w:pPr>
              <w:spacing w:line="360" w:lineRule="exact"/>
              <w:jc w:val="center"/>
              <w:rPr>
                <w:rFonts w:hint="eastAsia" w:ascii="宋体" w:hAnsi="宋体" w:cs="仿宋_GB2312"/>
                <w:b/>
                <w:bCs/>
                <w:color w:val="auto"/>
                <w:szCs w:val="21"/>
                <w:highlight w:val="none"/>
              </w:rPr>
            </w:pPr>
            <w:r>
              <w:rPr>
                <w:rFonts w:hint="eastAsia" w:ascii="宋体" w:hAnsi="宋体" w:cs="仿宋_GB2312"/>
                <w:b/>
                <w:bCs/>
                <w:color w:val="auto"/>
                <w:szCs w:val="21"/>
                <w:highlight w:val="none"/>
              </w:rPr>
              <w:t>②</w:t>
            </w:r>
          </w:p>
        </w:tc>
        <w:tc>
          <w:tcPr>
            <w:tcW w:w="2383" w:type="dxa"/>
            <w:tcBorders>
              <w:top w:val="single" w:color="auto" w:sz="4" w:space="0"/>
              <w:left w:val="single" w:color="auto" w:sz="4" w:space="0"/>
              <w:bottom w:val="single" w:color="auto" w:sz="4" w:space="0"/>
              <w:right w:val="single" w:color="auto" w:sz="4" w:space="0"/>
            </w:tcBorders>
            <w:vAlign w:val="center"/>
          </w:tcPr>
          <w:p w14:paraId="4B1B56FC">
            <w:pPr>
              <w:spacing w:line="360" w:lineRule="exact"/>
              <w:jc w:val="center"/>
              <w:rPr>
                <w:rFonts w:hint="eastAsia" w:ascii="宋体" w:hAnsi="宋体" w:cs="仿宋_GB2312"/>
                <w:b/>
                <w:bCs/>
                <w:color w:val="auto"/>
                <w:szCs w:val="21"/>
                <w:highlight w:val="none"/>
              </w:rPr>
            </w:pPr>
            <w:r>
              <w:rPr>
                <w:rFonts w:hint="eastAsia" w:ascii="宋体" w:hAnsi="宋体" w:cs="仿宋_GB2312"/>
                <w:b/>
                <w:bCs/>
                <w:color w:val="auto"/>
                <w:szCs w:val="21"/>
                <w:highlight w:val="none"/>
              </w:rPr>
              <w:t>竞标报价</w:t>
            </w:r>
          </w:p>
          <w:p w14:paraId="72E4E7D2">
            <w:pPr>
              <w:spacing w:line="360" w:lineRule="exact"/>
              <w:jc w:val="center"/>
              <w:rPr>
                <w:rFonts w:hint="eastAsia" w:ascii="宋体" w:hAnsi="宋体" w:cs="仿宋_GB2312"/>
                <w:b/>
                <w:bCs/>
                <w:color w:val="auto"/>
                <w:szCs w:val="21"/>
                <w:highlight w:val="none"/>
              </w:rPr>
            </w:pPr>
            <w:r>
              <w:rPr>
                <w:rFonts w:hint="eastAsia" w:ascii="宋体" w:hAnsi="宋体" w:cs="仿宋_GB2312"/>
                <w:b/>
                <w:bCs/>
                <w:color w:val="auto"/>
                <w:szCs w:val="21"/>
                <w:highlight w:val="none"/>
              </w:rPr>
              <w:t>③=①×②</w:t>
            </w:r>
          </w:p>
        </w:tc>
      </w:tr>
      <w:tr w14:paraId="73C8AA4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73" w:hRule="atLeast"/>
        </w:trPr>
        <w:tc>
          <w:tcPr>
            <w:tcW w:w="838" w:type="dxa"/>
            <w:tcBorders>
              <w:top w:val="single" w:color="auto" w:sz="4" w:space="0"/>
              <w:left w:val="single" w:color="auto" w:sz="4" w:space="0"/>
              <w:bottom w:val="single" w:color="auto" w:sz="4" w:space="0"/>
              <w:right w:val="single" w:color="auto" w:sz="4" w:space="0"/>
            </w:tcBorders>
            <w:vAlign w:val="center"/>
          </w:tcPr>
          <w:p w14:paraId="21028E75">
            <w:pPr>
              <w:spacing w:line="360" w:lineRule="auto"/>
              <w:jc w:val="center"/>
              <w:rPr>
                <w:rFonts w:hint="eastAsia" w:ascii="宋体" w:hAnsi="宋体" w:cs="仿宋_GB2312"/>
                <w:color w:val="auto"/>
                <w:szCs w:val="21"/>
                <w:highlight w:val="none"/>
              </w:rPr>
            </w:pPr>
            <w:r>
              <w:rPr>
                <w:rFonts w:hint="eastAsia" w:ascii="宋体" w:hAnsi="宋体" w:cs="仿宋_GB2312"/>
                <w:color w:val="auto"/>
                <w:szCs w:val="21"/>
                <w:highlight w:val="none"/>
              </w:rPr>
              <w:t>1</w:t>
            </w:r>
          </w:p>
        </w:tc>
        <w:tc>
          <w:tcPr>
            <w:tcW w:w="4343" w:type="dxa"/>
            <w:tcBorders>
              <w:top w:val="single" w:color="auto" w:sz="4" w:space="0"/>
              <w:left w:val="single" w:color="auto" w:sz="4" w:space="0"/>
              <w:bottom w:val="single" w:color="auto" w:sz="4" w:space="0"/>
              <w:right w:val="single" w:color="auto" w:sz="4" w:space="0"/>
            </w:tcBorders>
            <w:vAlign w:val="center"/>
          </w:tcPr>
          <w:p w14:paraId="7A1FDE31">
            <w:pPr>
              <w:spacing w:line="360" w:lineRule="auto"/>
              <w:jc w:val="center"/>
              <w:rPr>
                <w:rFonts w:hint="eastAsia" w:ascii="宋体" w:hAnsi="宋体" w:cs="仿宋_GB2312"/>
                <w:color w:val="auto"/>
                <w:szCs w:val="21"/>
                <w:highlight w:val="none"/>
              </w:rPr>
            </w:pPr>
          </w:p>
        </w:tc>
        <w:tc>
          <w:tcPr>
            <w:tcW w:w="2865" w:type="dxa"/>
            <w:tcBorders>
              <w:top w:val="single" w:color="auto" w:sz="4" w:space="0"/>
              <w:left w:val="single" w:color="auto" w:sz="4" w:space="0"/>
              <w:bottom w:val="single" w:color="auto" w:sz="4" w:space="0"/>
              <w:right w:val="single" w:color="auto" w:sz="4" w:space="0"/>
            </w:tcBorders>
            <w:vAlign w:val="center"/>
          </w:tcPr>
          <w:p w14:paraId="339BE6C7">
            <w:pPr>
              <w:spacing w:line="360" w:lineRule="auto"/>
              <w:jc w:val="center"/>
              <w:rPr>
                <w:rFonts w:hint="eastAsia" w:ascii="宋体" w:hAnsi="宋体" w:cs="仿宋_GB2312"/>
                <w:color w:val="auto"/>
                <w:szCs w:val="21"/>
                <w:highlight w:val="none"/>
              </w:rPr>
            </w:pPr>
          </w:p>
        </w:tc>
        <w:tc>
          <w:tcPr>
            <w:tcW w:w="1050" w:type="dxa"/>
            <w:tcBorders>
              <w:top w:val="single" w:color="auto" w:sz="4" w:space="0"/>
              <w:left w:val="single" w:color="auto" w:sz="4" w:space="0"/>
              <w:bottom w:val="single" w:color="auto" w:sz="4" w:space="0"/>
              <w:right w:val="single" w:color="auto" w:sz="4" w:space="0"/>
            </w:tcBorders>
            <w:vAlign w:val="center"/>
          </w:tcPr>
          <w:p w14:paraId="7EF12633">
            <w:pPr>
              <w:spacing w:line="360" w:lineRule="exact"/>
              <w:jc w:val="center"/>
              <w:rPr>
                <w:rFonts w:hint="eastAsia" w:ascii="宋体" w:hAnsi="宋体" w:eastAsia="宋体" w:cs="仿宋_GB2312"/>
                <w:b/>
                <w:bCs/>
                <w:color w:val="auto"/>
                <w:szCs w:val="21"/>
                <w:highlight w:val="none"/>
                <w:lang w:val="en-US" w:eastAsia="zh-CN"/>
              </w:rPr>
            </w:pPr>
            <w:r>
              <w:rPr>
                <w:rFonts w:hint="eastAsia" w:ascii="宋体" w:hAnsi="宋体" w:cs="仿宋_GB2312"/>
                <w:b/>
                <w:bCs/>
                <w:color w:val="auto"/>
                <w:szCs w:val="21"/>
                <w:highlight w:val="none"/>
                <w:lang w:val="en-US" w:eastAsia="zh-CN"/>
              </w:rPr>
              <w:t>套</w:t>
            </w:r>
          </w:p>
        </w:tc>
        <w:tc>
          <w:tcPr>
            <w:tcW w:w="1590" w:type="dxa"/>
            <w:tcBorders>
              <w:top w:val="single" w:color="auto" w:sz="4" w:space="0"/>
              <w:left w:val="single" w:color="auto" w:sz="4" w:space="0"/>
              <w:bottom w:val="single" w:color="auto" w:sz="4" w:space="0"/>
              <w:right w:val="single" w:color="auto" w:sz="4" w:space="0"/>
            </w:tcBorders>
            <w:vAlign w:val="center"/>
          </w:tcPr>
          <w:p w14:paraId="04535E6E">
            <w:pPr>
              <w:spacing w:line="360" w:lineRule="exact"/>
              <w:jc w:val="center"/>
              <w:rPr>
                <w:rFonts w:hint="eastAsia" w:ascii="宋体" w:hAnsi="宋体" w:eastAsia="宋体" w:cs="仿宋_GB2312"/>
                <w:b/>
                <w:bCs/>
                <w:color w:val="auto"/>
                <w:szCs w:val="21"/>
                <w:highlight w:val="none"/>
                <w:lang w:val="en-US" w:eastAsia="zh-CN"/>
              </w:rPr>
            </w:pPr>
          </w:p>
        </w:tc>
        <w:tc>
          <w:tcPr>
            <w:tcW w:w="1445" w:type="dxa"/>
            <w:tcBorders>
              <w:top w:val="single" w:color="auto" w:sz="4" w:space="0"/>
              <w:left w:val="single" w:color="auto" w:sz="4" w:space="0"/>
              <w:bottom w:val="single" w:color="auto" w:sz="4" w:space="0"/>
              <w:right w:val="single" w:color="auto" w:sz="4" w:space="0"/>
            </w:tcBorders>
            <w:vAlign w:val="center"/>
          </w:tcPr>
          <w:p w14:paraId="0D5A44A8">
            <w:pPr>
              <w:spacing w:line="360" w:lineRule="auto"/>
              <w:jc w:val="center"/>
              <w:rPr>
                <w:rFonts w:hint="eastAsia" w:ascii="宋体" w:hAnsi="宋体" w:cs="仿宋_GB2312"/>
                <w:color w:val="auto"/>
                <w:szCs w:val="21"/>
                <w:highlight w:val="none"/>
              </w:rPr>
            </w:pPr>
          </w:p>
        </w:tc>
        <w:tc>
          <w:tcPr>
            <w:tcW w:w="2383" w:type="dxa"/>
            <w:tcBorders>
              <w:top w:val="single" w:color="auto" w:sz="4" w:space="0"/>
              <w:left w:val="single" w:color="auto" w:sz="4" w:space="0"/>
              <w:bottom w:val="single" w:color="auto" w:sz="4" w:space="0"/>
              <w:right w:val="single" w:color="auto" w:sz="4" w:space="0"/>
            </w:tcBorders>
            <w:vAlign w:val="center"/>
          </w:tcPr>
          <w:p w14:paraId="5B089854">
            <w:pPr>
              <w:spacing w:line="360" w:lineRule="auto"/>
              <w:jc w:val="center"/>
              <w:rPr>
                <w:rFonts w:hint="eastAsia" w:ascii="宋体" w:hAnsi="宋体" w:cs="仿宋_GB2312"/>
                <w:color w:val="auto"/>
                <w:szCs w:val="21"/>
                <w:highlight w:val="none"/>
              </w:rPr>
            </w:pPr>
          </w:p>
        </w:tc>
      </w:tr>
      <w:tr w14:paraId="2D73B38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73" w:hRule="atLeast"/>
        </w:trPr>
        <w:tc>
          <w:tcPr>
            <w:tcW w:w="838" w:type="dxa"/>
            <w:tcBorders>
              <w:top w:val="single" w:color="auto" w:sz="4" w:space="0"/>
              <w:left w:val="single" w:color="auto" w:sz="4" w:space="0"/>
              <w:bottom w:val="single" w:color="auto" w:sz="4" w:space="0"/>
              <w:right w:val="single" w:color="auto" w:sz="4" w:space="0"/>
            </w:tcBorders>
            <w:vAlign w:val="center"/>
          </w:tcPr>
          <w:p w14:paraId="06055889">
            <w:pPr>
              <w:spacing w:line="360" w:lineRule="auto"/>
              <w:jc w:val="center"/>
              <w:rPr>
                <w:rFonts w:hint="eastAsia" w:ascii="宋体" w:hAnsi="宋体" w:cs="仿宋_GB2312"/>
                <w:color w:val="auto"/>
                <w:szCs w:val="21"/>
                <w:highlight w:val="none"/>
              </w:rPr>
            </w:pPr>
            <w:r>
              <w:rPr>
                <w:rFonts w:hint="eastAsia" w:ascii="宋体" w:hAnsi="宋体" w:cs="仿宋_GB2312"/>
                <w:color w:val="auto"/>
                <w:szCs w:val="21"/>
                <w:highlight w:val="none"/>
              </w:rPr>
              <w:t>…</w:t>
            </w:r>
          </w:p>
        </w:tc>
        <w:tc>
          <w:tcPr>
            <w:tcW w:w="4343" w:type="dxa"/>
            <w:tcBorders>
              <w:top w:val="single" w:color="auto" w:sz="4" w:space="0"/>
              <w:left w:val="single" w:color="auto" w:sz="4" w:space="0"/>
              <w:bottom w:val="single" w:color="auto" w:sz="4" w:space="0"/>
              <w:right w:val="single" w:color="auto" w:sz="4" w:space="0"/>
            </w:tcBorders>
            <w:vAlign w:val="center"/>
          </w:tcPr>
          <w:p w14:paraId="16223067">
            <w:pPr>
              <w:spacing w:line="360" w:lineRule="auto"/>
              <w:jc w:val="center"/>
              <w:rPr>
                <w:rFonts w:hint="eastAsia" w:ascii="宋体" w:hAnsi="宋体" w:cs="仿宋_GB2312"/>
                <w:color w:val="auto"/>
                <w:szCs w:val="21"/>
                <w:highlight w:val="none"/>
              </w:rPr>
            </w:pPr>
            <w:r>
              <w:rPr>
                <w:rFonts w:hint="eastAsia" w:ascii="宋体" w:hAnsi="宋体" w:cs="仿宋_GB2312"/>
                <w:color w:val="auto"/>
                <w:szCs w:val="21"/>
                <w:highlight w:val="none"/>
              </w:rPr>
              <w:t>……</w:t>
            </w:r>
          </w:p>
        </w:tc>
        <w:tc>
          <w:tcPr>
            <w:tcW w:w="2865" w:type="dxa"/>
            <w:tcBorders>
              <w:top w:val="single" w:color="auto" w:sz="4" w:space="0"/>
              <w:left w:val="single" w:color="auto" w:sz="4" w:space="0"/>
              <w:bottom w:val="single" w:color="auto" w:sz="4" w:space="0"/>
              <w:right w:val="single" w:color="auto" w:sz="4" w:space="0"/>
            </w:tcBorders>
            <w:vAlign w:val="center"/>
          </w:tcPr>
          <w:p w14:paraId="38A78E79">
            <w:pPr>
              <w:spacing w:line="360" w:lineRule="auto"/>
              <w:jc w:val="center"/>
              <w:rPr>
                <w:rFonts w:hint="eastAsia" w:ascii="宋体" w:hAnsi="宋体" w:cs="仿宋_GB2312"/>
                <w:color w:val="auto"/>
                <w:szCs w:val="21"/>
                <w:highlight w:val="none"/>
              </w:rPr>
            </w:pPr>
          </w:p>
        </w:tc>
        <w:tc>
          <w:tcPr>
            <w:tcW w:w="1050" w:type="dxa"/>
            <w:tcBorders>
              <w:top w:val="single" w:color="auto" w:sz="4" w:space="0"/>
              <w:left w:val="single" w:color="auto" w:sz="4" w:space="0"/>
              <w:bottom w:val="single" w:color="auto" w:sz="4" w:space="0"/>
              <w:right w:val="single" w:color="auto" w:sz="4" w:space="0"/>
            </w:tcBorders>
            <w:vAlign w:val="center"/>
          </w:tcPr>
          <w:p w14:paraId="0F11947F">
            <w:pPr>
              <w:spacing w:line="360" w:lineRule="exact"/>
              <w:jc w:val="center"/>
              <w:rPr>
                <w:rFonts w:hint="eastAsia" w:ascii="宋体" w:hAnsi="宋体" w:cs="仿宋_GB2312"/>
                <w:b/>
                <w:bCs/>
                <w:color w:val="auto"/>
                <w:szCs w:val="21"/>
                <w:highlight w:val="none"/>
              </w:rPr>
            </w:pPr>
          </w:p>
        </w:tc>
        <w:tc>
          <w:tcPr>
            <w:tcW w:w="1590" w:type="dxa"/>
            <w:tcBorders>
              <w:top w:val="single" w:color="auto" w:sz="4" w:space="0"/>
              <w:left w:val="single" w:color="auto" w:sz="4" w:space="0"/>
              <w:bottom w:val="single" w:color="auto" w:sz="4" w:space="0"/>
              <w:right w:val="single" w:color="auto" w:sz="4" w:space="0"/>
            </w:tcBorders>
            <w:vAlign w:val="center"/>
          </w:tcPr>
          <w:p w14:paraId="307A8C20">
            <w:pPr>
              <w:spacing w:line="360" w:lineRule="exact"/>
              <w:jc w:val="center"/>
              <w:rPr>
                <w:rFonts w:hint="eastAsia" w:ascii="宋体" w:hAnsi="宋体" w:cs="仿宋_GB2312"/>
                <w:b/>
                <w:bCs/>
                <w:color w:val="auto"/>
                <w:szCs w:val="21"/>
                <w:highlight w:val="none"/>
              </w:rPr>
            </w:pPr>
          </w:p>
        </w:tc>
        <w:tc>
          <w:tcPr>
            <w:tcW w:w="1445" w:type="dxa"/>
            <w:tcBorders>
              <w:top w:val="single" w:color="auto" w:sz="4" w:space="0"/>
              <w:left w:val="single" w:color="auto" w:sz="4" w:space="0"/>
              <w:bottom w:val="single" w:color="auto" w:sz="4" w:space="0"/>
              <w:right w:val="single" w:color="auto" w:sz="4" w:space="0"/>
            </w:tcBorders>
            <w:vAlign w:val="center"/>
          </w:tcPr>
          <w:p w14:paraId="685E861C">
            <w:pPr>
              <w:spacing w:line="360" w:lineRule="auto"/>
              <w:jc w:val="center"/>
              <w:rPr>
                <w:rFonts w:hint="eastAsia" w:ascii="宋体" w:hAnsi="宋体" w:cs="仿宋_GB2312"/>
                <w:color w:val="auto"/>
                <w:szCs w:val="21"/>
                <w:highlight w:val="none"/>
              </w:rPr>
            </w:pPr>
          </w:p>
        </w:tc>
        <w:tc>
          <w:tcPr>
            <w:tcW w:w="2383" w:type="dxa"/>
            <w:tcBorders>
              <w:top w:val="single" w:color="auto" w:sz="4" w:space="0"/>
              <w:left w:val="single" w:color="auto" w:sz="4" w:space="0"/>
              <w:bottom w:val="single" w:color="auto" w:sz="4" w:space="0"/>
              <w:right w:val="single" w:color="auto" w:sz="4" w:space="0"/>
            </w:tcBorders>
            <w:vAlign w:val="center"/>
          </w:tcPr>
          <w:p w14:paraId="0D4BBBE3">
            <w:pPr>
              <w:spacing w:line="360" w:lineRule="auto"/>
              <w:jc w:val="center"/>
              <w:rPr>
                <w:rFonts w:hint="eastAsia" w:ascii="宋体" w:hAnsi="宋体" w:cs="仿宋_GB2312"/>
                <w:color w:val="auto"/>
                <w:szCs w:val="21"/>
                <w:highlight w:val="none"/>
              </w:rPr>
            </w:pPr>
          </w:p>
        </w:tc>
      </w:tr>
      <w:tr w14:paraId="4E61E80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73" w:hRule="atLeast"/>
        </w:trPr>
        <w:tc>
          <w:tcPr>
            <w:tcW w:w="838" w:type="dxa"/>
            <w:tcBorders>
              <w:top w:val="single" w:color="auto" w:sz="4" w:space="0"/>
              <w:left w:val="single" w:color="auto" w:sz="4" w:space="0"/>
              <w:bottom w:val="single" w:color="auto" w:sz="4" w:space="0"/>
              <w:right w:val="single" w:color="auto" w:sz="4" w:space="0"/>
            </w:tcBorders>
            <w:vAlign w:val="center"/>
          </w:tcPr>
          <w:p w14:paraId="4ABB277F">
            <w:pPr>
              <w:spacing w:line="360" w:lineRule="auto"/>
              <w:jc w:val="center"/>
              <w:rPr>
                <w:rFonts w:hint="eastAsia" w:ascii="宋体" w:hAnsi="宋体" w:cs="仿宋_GB2312"/>
                <w:color w:val="auto"/>
                <w:szCs w:val="21"/>
                <w:highlight w:val="none"/>
              </w:rPr>
            </w:pPr>
            <w:r>
              <w:rPr>
                <w:rFonts w:hint="eastAsia" w:ascii="宋体" w:hAnsi="宋体" w:cs="仿宋_GB2312"/>
                <w:color w:val="auto"/>
                <w:szCs w:val="21"/>
                <w:highlight w:val="none"/>
              </w:rPr>
              <w:t>…</w:t>
            </w:r>
          </w:p>
        </w:tc>
        <w:tc>
          <w:tcPr>
            <w:tcW w:w="4343" w:type="dxa"/>
            <w:tcBorders>
              <w:top w:val="single" w:color="auto" w:sz="4" w:space="0"/>
              <w:left w:val="single" w:color="auto" w:sz="4" w:space="0"/>
              <w:bottom w:val="single" w:color="auto" w:sz="4" w:space="0"/>
              <w:right w:val="single" w:color="auto" w:sz="4" w:space="0"/>
            </w:tcBorders>
            <w:vAlign w:val="center"/>
          </w:tcPr>
          <w:p w14:paraId="08E70ABB">
            <w:pPr>
              <w:spacing w:line="360" w:lineRule="auto"/>
              <w:jc w:val="center"/>
              <w:rPr>
                <w:rFonts w:hint="eastAsia" w:ascii="宋体" w:hAnsi="宋体" w:cs="仿宋_GB2312"/>
                <w:color w:val="auto"/>
                <w:szCs w:val="21"/>
                <w:highlight w:val="none"/>
              </w:rPr>
            </w:pPr>
            <w:r>
              <w:rPr>
                <w:rFonts w:hint="eastAsia" w:ascii="宋体" w:hAnsi="宋体" w:cs="仿宋_GB2312"/>
                <w:color w:val="auto"/>
                <w:szCs w:val="21"/>
                <w:highlight w:val="none"/>
              </w:rPr>
              <w:t>……</w:t>
            </w:r>
          </w:p>
        </w:tc>
        <w:tc>
          <w:tcPr>
            <w:tcW w:w="2865" w:type="dxa"/>
            <w:tcBorders>
              <w:top w:val="single" w:color="auto" w:sz="4" w:space="0"/>
              <w:left w:val="single" w:color="auto" w:sz="4" w:space="0"/>
              <w:bottom w:val="single" w:color="auto" w:sz="4" w:space="0"/>
              <w:right w:val="single" w:color="auto" w:sz="4" w:space="0"/>
            </w:tcBorders>
            <w:vAlign w:val="center"/>
          </w:tcPr>
          <w:p w14:paraId="22936860">
            <w:pPr>
              <w:spacing w:line="360" w:lineRule="auto"/>
              <w:jc w:val="center"/>
              <w:rPr>
                <w:rFonts w:hint="eastAsia" w:ascii="宋体" w:hAnsi="宋体" w:cs="仿宋_GB2312"/>
                <w:color w:val="auto"/>
                <w:szCs w:val="21"/>
                <w:highlight w:val="none"/>
              </w:rPr>
            </w:pPr>
          </w:p>
        </w:tc>
        <w:tc>
          <w:tcPr>
            <w:tcW w:w="1050" w:type="dxa"/>
            <w:tcBorders>
              <w:top w:val="single" w:color="auto" w:sz="4" w:space="0"/>
              <w:left w:val="single" w:color="auto" w:sz="4" w:space="0"/>
              <w:bottom w:val="single" w:color="auto" w:sz="4" w:space="0"/>
              <w:right w:val="single" w:color="auto" w:sz="4" w:space="0"/>
            </w:tcBorders>
            <w:vAlign w:val="center"/>
          </w:tcPr>
          <w:p w14:paraId="0C17E672">
            <w:pPr>
              <w:spacing w:line="360" w:lineRule="exact"/>
              <w:jc w:val="center"/>
              <w:rPr>
                <w:rFonts w:hint="eastAsia" w:ascii="宋体" w:hAnsi="宋体" w:cs="仿宋_GB2312"/>
                <w:b/>
                <w:bCs/>
                <w:color w:val="auto"/>
                <w:szCs w:val="21"/>
                <w:highlight w:val="none"/>
              </w:rPr>
            </w:pPr>
          </w:p>
        </w:tc>
        <w:tc>
          <w:tcPr>
            <w:tcW w:w="1590" w:type="dxa"/>
            <w:tcBorders>
              <w:top w:val="single" w:color="auto" w:sz="4" w:space="0"/>
              <w:left w:val="single" w:color="auto" w:sz="4" w:space="0"/>
              <w:bottom w:val="single" w:color="auto" w:sz="4" w:space="0"/>
              <w:right w:val="single" w:color="auto" w:sz="4" w:space="0"/>
            </w:tcBorders>
            <w:vAlign w:val="center"/>
          </w:tcPr>
          <w:p w14:paraId="0BF06667">
            <w:pPr>
              <w:spacing w:line="360" w:lineRule="exact"/>
              <w:jc w:val="center"/>
              <w:rPr>
                <w:rFonts w:hint="eastAsia" w:ascii="宋体" w:hAnsi="宋体" w:cs="仿宋_GB2312"/>
                <w:b/>
                <w:bCs/>
                <w:color w:val="auto"/>
                <w:szCs w:val="21"/>
                <w:highlight w:val="none"/>
              </w:rPr>
            </w:pPr>
          </w:p>
        </w:tc>
        <w:tc>
          <w:tcPr>
            <w:tcW w:w="1445" w:type="dxa"/>
            <w:tcBorders>
              <w:top w:val="single" w:color="auto" w:sz="4" w:space="0"/>
              <w:left w:val="single" w:color="auto" w:sz="4" w:space="0"/>
              <w:bottom w:val="single" w:color="auto" w:sz="4" w:space="0"/>
              <w:right w:val="single" w:color="auto" w:sz="4" w:space="0"/>
            </w:tcBorders>
            <w:vAlign w:val="center"/>
          </w:tcPr>
          <w:p w14:paraId="20953FBB">
            <w:pPr>
              <w:spacing w:line="360" w:lineRule="auto"/>
              <w:jc w:val="center"/>
              <w:rPr>
                <w:rFonts w:hint="eastAsia" w:ascii="宋体" w:hAnsi="宋体" w:cs="仿宋_GB2312"/>
                <w:color w:val="auto"/>
                <w:szCs w:val="21"/>
                <w:highlight w:val="none"/>
              </w:rPr>
            </w:pPr>
          </w:p>
        </w:tc>
        <w:tc>
          <w:tcPr>
            <w:tcW w:w="2383" w:type="dxa"/>
            <w:tcBorders>
              <w:top w:val="single" w:color="auto" w:sz="4" w:space="0"/>
              <w:left w:val="single" w:color="auto" w:sz="4" w:space="0"/>
              <w:bottom w:val="single" w:color="auto" w:sz="4" w:space="0"/>
              <w:right w:val="single" w:color="auto" w:sz="4" w:space="0"/>
            </w:tcBorders>
            <w:vAlign w:val="center"/>
          </w:tcPr>
          <w:p w14:paraId="18BAB942">
            <w:pPr>
              <w:spacing w:line="360" w:lineRule="auto"/>
              <w:jc w:val="center"/>
              <w:rPr>
                <w:rFonts w:hint="eastAsia" w:ascii="宋体" w:hAnsi="宋体" w:cs="仿宋_GB2312"/>
                <w:color w:val="auto"/>
                <w:szCs w:val="21"/>
                <w:highlight w:val="none"/>
              </w:rPr>
            </w:pPr>
          </w:p>
        </w:tc>
      </w:tr>
      <w:tr w14:paraId="6853EFB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81" w:hRule="atLeast"/>
        </w:trPr>
        <w:tc>
          <w:tcPr>
            <w:tcW w:w="14514" w:type="dxa"/>
            <w:gridSpan w:val="7"/>
            <w:tcBorders>
              <w:top w:val="single" w:color="auto" w:sz="4" w:space="0"/>
              <w:left w:val="single" w:color="auto" w:sz="4" w:space="0"/>
              <w:bottom w:val="single" w:color="auto" w:sz="4" w:space="0"/>
              <w:right w:val="single" w:color="auto" w:sz="4" w:space="0"/>
            </w:tcBorders>
            <w:vAlign w:val="center"/>
          </w:tcPr>
          <w:p w14:paraId="1D0F2039">
            <w:pPr>
              <w:snapToGrid w:val="0"/>
              <w:spacing w:line="360" w:lineRule="auto"/>
              <w:rPr>
                <w:rFonts w:hint="eastAsia" w:ascii="宋体" w:hAnsi="宋体" w:cs="仿宋_GB2312"/>
                <w:color w:val="auto"/>
                <w:szCs w:val="21"/>
                <w:highlight w:val="none"/>
                <w:u w:val="single"/>
              </w:rPr>
            </w:pPr>
            <w:r>
              <w:rPr>
                <w:rFonts w:hint="eastAsia" w:ascii="宋体" w:hAnsi="宋体" w:cs="仿宋_GB2312"/>
                <w:color w:val="auto"/>
                <w:szCs w:val="21"/>
                <w:highlight w:val="none"/>
              </w:rPr>
              <w:t>合计金额大写：人民币      （</w:t>
            </w:r>
            <w:r>
              <w:rPr>
                <w:rFonts w:hint="eastAsia" w:ascii="宋体" w:hAnsi="宋体" w:cs="宋体"/>
                <w:color w:val="auto"/>
                <w:szCs w:val="21"/>
                <w:highlight w:val="none"/>
              </w:rPr>
              <w:t>￥</w:t>
            </w:r>
            <w:r>
              <w:rPr>
                <w:rFonts w:hint="eastAsia" w:ascii="宋体" w:hAnsi="宋体" w:cs="仿宋_GB2312"/>
                <w:color w:val="auto"/>
                <w:szCs w:val="21"/>
                <w:highlight w:val="none"/>
              </w:rPr>
              <w:t>：   ）</w:t>
            </w:r>
          </w:p>
        </w:tc>
      </w:tr>
    </w:tbl>
    <w:p w14:paraId="7720247B">
      <w:pPr>
        <w:spacing w:line="360" w:lineRule="exact"/>
        <w:ind w:firstLine="420" w:firstLineChars="200"/>
        <w:contextualSpacing/>
        <w:rPr>
          <w:rFonts w:hint="eastAsia" w:ascii="宋体" w:hAnsi="宋体"/>
          <w:color w:val="auto"/>
          <w:szCs w:val="21"/>
          <w:highlight w:val="none"/>
        </w:rPr>
      </w:pPr>
      <w:r>
        <w:rPr>
          <w:rFonts w:hint="eastAsia" w:ascii="宋体" w:hAnsi="宋体"/>
          <w:color w:val="auto"/>
          <w:szCs w:val="21"/>
          <w:highlight w:val="none"/>
        </w:rPr>
        <w:t>注: 1.所有价格均用人民币表示，单位为元，精确到小数点后两数位。</w:t>
      </w:r>
    </w:p>
    <w:p w14:paraId="27247D31">
      <w:pPr>
        <w:spacing w:line="360" w:lineRule="exact"/>
        <w:ind w:firstLine="840" w:firstLineChars="400"/>
        <w:contextualSpacing/>
        <w:rPr>
          <w:rFonts w:hint="eastAsia" w:ascii="宋体" w:hAnsi="宋体"/>
          <w:color w:val="auto"/>
          <w:szCs w:val="21"/>
          <w:highlight w:val="none"/>
        </w:rPr>
      </w:pPr>
      <w:r>
        <w:rPr>
          <w:rFonts w:hint="eastAsia" w:ascii="宋体" w:hAnsi="宋体"/>
          <w:color w:val="auto"/>
          <w:szCs w:val="21"/>
          <w:highlight w:val="none"/>
        </w:rPr>
        <w:t>2、供应商的报价表必须加盖供应商公章并由法定代表人或者委托代理人签字，否则其响应文件按无效响应处理。</w:t>
      </w:r>
    </w:p>
    <w:p w14:paraId="3DE39A0A">
      <w:pPr>
        <w:spacing w:line="360" w:lineRule="exact"/>
        <w:ind w:firstLine="840" w:firstLineChars="400"/>
        <w:contextualSpacing/>
        <w:rPr>
          <w:rFonts w:hint="eastAsia" w:ascii="宋体" w:hAnsi="宋体"/>
          <w:color w:val="auto"/>
          <w:szCs w:val="21"/>
          <w:highlight w:val="none"/>
        </w:rPr>
      </w:pPr>
      <w:r>
        <w:rPr>
          <w:rFonts w:hint="eastAsia" w:ascii="宋体" w:hAnsi="宋体"/>
          <w:color w:val="auto"/>
          <w:szCs w:val="21"/>
          <w:highlight w:val="none"/>
        </w:rPr>
        <w:t>3、报价一经涂改，应在涂改处加盖供应商公章或者由法定代表人或者授权委托人签字或者盖章，否则其响应文件按无效响应处理。</w:t>
      </w:r>
    </w:p>
    <w:p w14:paraId="5F995848">
      <w:pPr>
        <w:spacing w:line="360" w:lineRule="exact"/>
        <w:contextualSpacing/>
        <w:rPr>
          <w:rFonts w:hint="eastAsia" w:ascii="宋体" w:hAnsi="宋体"/>
          <w:color w:val="auto"/>
          <w:szCs w:val="21"/>
          <w:highlight w:val="none"/>
        </w:rPr>
      </w:pPr>
    </w:p>
    <w:p w14:paraId="18DCBC84">
      <w:pPr>
        <w:spacing w:line="360" w:lineRule="auto"/>
        <w:ind w:right="-817" w:rightChars="-389" w:firstLine="5460" w:firstLineChars="2600"/>
        <w:contextualSpacing/>
        <w:rPr>
          <w:rFonts w:hint="eastAsia" w:ascii="宋体" w:hAnsi="宋体" w:cs="仿宋_GB2312"/>
          <w:color w:val="auto"/>
          <w:szCs w:val="21"/>
          <w:highlight w:val="none"/>
        </w:rPr>
      </w:pPr>
      <w:r>
        <w:rPr>
          <w:rFonts w:hint="eastAsia" w:ascii="宋体" w:hAnsi="宋体" w:cs="仿宋_GB2312"/>
          <w:color w:val="auto"/>
          <w:szCs w:val="21"/>
          <w:highlight w:val="none"/>
        </w:rPr>
        <w:t xml:space="preserve">法定代表人或者委托代理人（签字）：                    </w:t>
      </w:r>
    </w:p>
    <w:p w14:paraId="6738DF2E">
      <w:pPr>
        <w:spacing w:line="360" w:lineRule="auto"/>
        <w:ind w:right="-817" w:rightChars="-389" w:firstLine="7140" w:firstLineChars="3400"/>
        <w:contextualSpacing/>
        <w:rPr>
          <w:rFonts w:hint="eastAsia" w:ascii="宋体" w:hAnsi="宋体" w:cs="仿宋_GB2312"/>
          <w:color w:val="auto"/>
          <w:szCs w:val="21"/>
          <w:highlight w:val="none"/>
        </w:rPr>
      </w:pPr>
      <w:r>
        <w:rPr>
          <w:rFonts w:hint="eastAsia" w:ascii="宋体" w:hAnsi="宋体" w:cs="仿宋_GB2312"/>
          <w:color w:val="auto"/>
          <w:szCs w:val="21"/>
          <w:highlight w:val="none"/>
        </w:rPr>
        <w:t xml:space="preserve">供应商（盖公章）：      </w:t>
      </w:r>
    </w:p>
    <w:p w14:paraId="0BD6CFA4">
      <w:pPr>
        <w:spacing w:line="360" w:lineRule="auto"/>
        <w:ind w:right="-817" w:rightChars="-389" w:firstLine="8190" w:firstLineChars="3900"/>
        <w:contextualSpacing/>
        <w:rPr>
          <w:rFonts w:hint="eastAsia" w:ascii="宋体" w:hAnsi="宋体" w:cs="仿宋_GB2312"/>
          <w:color w:val="auto"/>
          <w:szCs w:val="21"/>
          <w:highlight w:val="none"/>
        </w:rPr>
      </w:pPr>
      <w:r>
        <w:rPr>
          <w:rFonts w:hint="eastAsia" w:ascii="宋体" w:hAnsi="宋体" w:cs="仿宋_GB2312"/>
          <w:color w:val="auto"/>
          <w:szCs w:val="21"/>
          <w:highlight w:val="none"/>
        </w:rPr>
        <w:t>日 期：   年   月   日</w:t>
      </w:r>
    </w:p>
    <w:p w14:paraId="1323BCA2">
      <w:pPr>
        <w:spacing w:line="360" w:lineRule="auto"/>
        <w:ind w:right="-817" w:rightChars="-389" w:firstLine="8190" w:firstLineChars="3900"/>
        <w:contextualSpacing/>
        <w:rPr>
          <w:rFonts w:hint="eastAsia" w:ascii="宋体" w:hAnsi="宋体" w:cs="仿宋_GB2312"/>
          <w:color w:val="auto"/>
          <w:szCs w:val="21"/>
          <w:highlight w:val="none"/>
        </w:rPr>
      </w:pPr>
    </w:p>
    <w:p w14:paraId="2474CA1C">
      <w:pPr>
        <w:spacing w:line="360" w:lineRule="auto"/>
        <w:ind w:right="-817" w:rightChars="-389" w:firstLine="8190" w:firstLineChars="3900"/>
        <w:contextualSpacing/>
        <w:rPr>
          <w:rFonts w:hint="eastAsia" w:ascii="宋体" w:hAnsi="宋体" w:cs="仿宋_GB2312"/>
          <w:color w:val="auto"/>
          <w:szCs w:val="21"/>
          <w:highlight w:val="none"/>
        </w:rPr>
      </w:pPr>
    </w:p>
    <w:p w14:paraId="0C8B1803">
      <w:pPr>
        <w:spacing w:line="360" w:lineRule="auto"/>
        <w:ind w:right="-817" w:rightChars="-389" w:firstLine="8190" w:firstLineChars="3900"/>
        <w:contextualSpacing/>
        <w:rPr>
          <w:rFonts w:hint="eastAsia" w:ascii="宋体" w:hAnsi="宋体" w:cs="仿宋_GB2312"/>
          <w:color w:val="auto"/>
          <w:szCs w:val="21"/>
          <w:highlight w:val="none"/>
        </w:rPr>
      </w:pPr>
    </w:p>
    <w:p w14:paraId="53A85A38">
      <w:pPr>
        <w:spacing w:line="360" w:lineRule="auto"/>
        <w:ind w:right="-817" w:rightChars="-389" w:firstLine="8190" w:firstLineChars="3900"/>
        <w:contextualSpacing/>
        <w:rPr>
          <w:rFonts w:hint="eastAsia" w:ascii="宋体" w:hAnsi="宋体" w:cs="仿宋_GB2312"/>
          <w:color w:val="auto"/>
          <w:szCs w:val="21"/>
          <w:highlight w:val="none"/>
        </w:rPr>
      </w:pPr>
    </w:p>
    <w:p w14:paraId="51D3433C">
      <w:pPr>
        <w:spacing w:line="360" w:lineRule="auto"/>
        <w:ind w:right="-817" w:rightChars="-389" w:firstLine="8190" w:firstLineChars="3900"/>
        <w:contextualSpacing/>
        <w:rPr>
          <w:rFonts w:hint="eastAsia" w:ascii="宋体" w:hAnsi="宋体" w:cs="仿宋_GB2312"/>
          <w:color w:val="auto"/>
          <w:szCs w:val="21"/>
          <w:highlight w:val="none"/>
        </w:rPr>
      </w:pPr>
    </w:p>
    <w:p w14:paraId="2F3FAB2E">
      <w:pPr>
        <w:spacing w:line="360" w:lineRule="auto"/>
        <w:ind w:right="-817" w:rightChars="-389" w:firstLine="8190" w:firstLineChars="3900"/>
        <w:contextualSpacing/>
        <w:rPr>
          <w:rFonts w:hint="eastAsia" w:ascii="宋体" w:hAnsi="宋体" w:cs="仿宋_GB2312"/>
          <w:color w:val="auto"/>
          <w:szCs w:val="21"/>
          <w:highlight w:val="none"/>
        </w:rPr>
      </w:pPr>
    </w:p>
    <w:p w14:paraId="46A6633B">
      <w:pPr>
        <w:adjustRightInd w:val="0"/>
        <w:snapToGrid w:val="0"/>
        <w:spacing w:line="520" w:lineRule="exact"/>
        <w:jc w:val="center"/>
        <w:rPr>
          <w:rFonts w:hint="eastAsia" w:ascii="方正小标宋简体" w:hAnsi="方正小标宋简体" w:eastAsia="方正小标宋简体" w:cs="方正小标宋简体"/>
          <w:bCs/>
          <w:sz w:val="44"/>
          <w:szCs w:val="44"/>
          <w:highlight w:val="none"/>
        </w:rPr>
      </w:pPr>
      <w:r>
        <w:rPr>
          <w:rFonts w:hint="eastAsia" w:ascii="宋体" w:hAnsi="宋体"/>
          <w:b/>
          <w:sz w:val="44"/>
          <w:szCs w:val="44"/>
          <w:highlight w:val="none"/>
        </w:rPr>
        <w:t>货物技术参数配置清单</w:t>
      </w:r>
    </w:p>
    <w:p w14:paraId="7118F3EA">
      <w:pPr>
        <w:spacing w:line="360" w:lineRule="auto"/>
        <w:rPr>
          <w:rFonts w:hint="eastAsia" w:ascii="宋体" w:hAnsi="宋体"/>
          <w:szCs w:val="21"/>
          <w:highlight w:val="none"/>
        </w:rPr>
      </w:pPr>
      <w:r>
        <w:rPr>
          <w:rFonts w:hint="eastAsia" w:ascii="宋体" w:hAnsi="宋体"/>
          <w:szCs w:val="21"/>
          <w:highlight w:val="none"/>
        </w:rPr>
        <w:t xml:space="preserve">项目名称： </w:t>
      </w:r>
    </w:p>
    <w:tbl>
      <w:tblPr>
        <w:tblStyle w:val="10"/>
        <w:tblW w:w="5000" w:type="pct"/>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72"/>
        <w:gridCol w:w="2829"/>
        <w:gridCol w:w="706"/>
        <w:gridCol w:w="1097"/>
        <w:gridCol w:w="1394"/>
        <w:gridCol w:w="1857"/>
        <w:gridCol w:w="1807"/>
        <w:gridCol w:w="1760"/>
        <w:gridCol w:w="3392"/>
      </w:tblGrid>
      <w:tr w14:paraId="2216C72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46" w:hRule="atLeast"/>
          <w:jc w:val="center"/>
        </w:trPr>
        <w:tc>
          <w:tcPr>
            <w:tcW w:w="772" w:type="dxa"/>
            <w:tcBorders>
              <w:top w:val="single" w:color="auto" w:sz="4" w:space="0"/>
              <w:left w:val="single" w:color="auto" w:sz="4" w:space="0"/>
              <w:bottom w:val="single" w:color="auto" w:sz="4" w:space="0"/>
              <w:right w:val="single" w:color="auto" w:sz="4" w:space="0"/>
            </w:tcBorders>
            <w:vAlign w:val="center"/>
          </w:tcPr>
          <w:p w14:paraId="6149E5FC">
            <w:pPr>
              <w:snapToGrid w:val="0"/>
              <w:spacing w:before="50" w:after="50"/>
              <w:jc w:val="center"/>
              <w:rPr>
                <w:rFonts w:hint="eastAsia" w:ascii="宋体" w:hAnsi="宋体"/>
                <w:szCs w:val="21"/>
                <w:highlight w:val="none"/>
              </w:rPr>
            </w:pPr>
            <w:r>
              <w:rPr>
                <w:rFonts w:hint="eastAsia" w:ascii="宋体" w:hAnsi="宋体"/>
                <w:szCs w:val="21"/>
                <w:highlight w:val="none"/>
              </w:rPr>
              <w:t>序号</w:t>
            </w:r>
          </w:p>
        </w:tc>
        <w:tc>
          <w:tcPr>
            <w:tcW w:w="2829" w:type="dxa"/>
            <w:tcBorders>
              <w:top w:val="single" w:color="auto" w:sz="4" w:space="0"/>
              <w:left w:val="single" w:color="auto" w:sz="4" w:space="0"/>
              <w:bottom w:val="single" w:color="auto" w:sz="4" w:space="0"/>
              <w:right w:val="single" w:color="auto" w:sz="4" w:space="0"/>
            </w:tcBorders>
            <w:vAlign w:val="center"/>
          </w:tcPr>
          <w:p w14:paraId="21C8FE18">
            <w:pPr>
              <w:snapToGrid w:val="0"/>
              <w:spacing w:before="50" w:after="50"/>
              <w:jc w:val="center"/>
              <w:rPr>
                <w:rFonts w:hint="eastAsia" w:ascii="宋体" w:hAnsi="宋体"/>
                <w:szCs w:val="21"/>
                <w:highlight w:val="none"/>
              </w:rPr>
            </w:pPr>
            <w:r>
              <w:rPr>
                <w:rFonts w:hint="eastAsia" w:ascii="宋体" w:hAnsi="宋体"/>
                <w:szCs w:val="21"/>
                <w:highlight w:val="none"/>
              </w:rPr>
              <w:t>货物名称</w:t>
            </w:r>
          </w:p>
        </w:tc>
        <w:tc>
          <w:tcPr>
            <w:tcW w:w="706" w:type="dxa"/>
            <w:tcBorders>
              <w:top w:val="single" w:color="auto" w:sz="4" w:space="0"/>
              <w:left w:val="single" w:color="auto" w:sz="4" w:space="0"/>
              <w:bottom w:val="single" w:color="auto" w:sz="4" w:space="0"/>
              <w:right w:val="single" w:color="auto" w:sz="4" w:space="0"/>
            </w:tcBorders>
            <w:vAlign w:val="center"/>
          </w:tcPr>
          <w:p w14:paraId="718827A2">
            <w:pPr>
              <w:snapToGrid w:val="0"/>
              <w:spacing w:before="50" w:after="50"/>
              <w:jc w:val="center"/>
              <w:rPr>
                <w:rFonts w:hint="eastAsia" w:ascii="宋体" w:hAnsi="宋体"/>
                <w:szCs w:val="21"/>
                <w:highlight w:val="none"/>
              </w:rPr>
            </w:pPr>
            <w:r>
              <w:rPr>
                <w:rFonts w:hint="eastAsia" w:ascii="宋体" w:hAnsi="宋体"/>
                <w:szCs w:val="21"/>
                <w:highlight w:val="none"/>
              </w:rPr>
              <w:t>单位</w:t>
            </w:r>
          </w:p>
        </w:tc>
        <w:tc>
          <w:tcPr>
            <w:tcW w:w="1097" w:type="dxa"/>
            <w:tcBorders>
              <w:top w:val="single" w:color="auto" w:sz="4" w:space="0"/>
              <w:left w:val="single" w:color="auto" w:sz="4" w:space="0"/>
              <w:bottom w:val="single" w:color="auto" w:sz="4" w:space="0"/>
              <w:right w:val="single" w:color="auto" w:sz="4" w:space="0"/>
            </w:tcBorders>
            <w:vAlign w:val="center"/>
          </w:tcPr>
          <w:p w14:paraId="4A8A17B4">
            <w:pPr>
              <w:snapToGrid w:val="0"/>
              <w:spacing w:before="50" w:after="50"/>
              <w:jc w:val="center"/>
              <w:rPr>
                <w:rFonts w:hint="eastAsia" w:ascii="宋体" w:hAnsi="宋体"/>
                <w:szCs w:val="21"/>
                <w:highlight w:val="none"/>
              </w:rPr>
            </w:pPr>
            <w:r>
              <w:rPr>
                <w:rFonts w:hint="eastAsia" w:ascii="宋体" w:hAnsi="宋体"/>
                <w:szCs w:val="21"/>
                <w:highlight w:val="none"/>
              </w:rPr>
              <w:t>数量</w:t>
            </w:r>
          </w:p>
        </w:tc>
        <w:tc>
          <w:tcPr>
            <w:tcW w:w="1394" w:type="dxa"/>
            <w:tcBorders>
              <w:top w:val="single" w:color="auto" w:sz="4" w:space="0"/>
              <w:left w:val="single" w:color="auto" w:sz="4" w:space="0"/>
              <w:bottom w:val="single" w:color="auto" w:sz="4" w:space="0"/>
              <w:right w:val="single" w:color="auto" w:sz="4" w:space="0"/>
            </w:tcBorders>
            <w:vAlign w:val="center"/>
          </w:tcPr>
          <w:p w14:paraId="4EDFBBC8">
            <w:pPr>
              <w:snapToGrid w:val="0"/>
              <w:spacing w:before="50" w:after="50"/>
              <w:jc w:val="center"/>
              <w:rPr>
                <w:rFonts w:hint="eastAsia" w:ascii="宋体" w:hAnsi="宋体"/>
                <w:szCs w:val="21"/>
                <w:highlight w:val="none"/>
              </w:rPr>
            </w:pPr>
            <w:r>
              <w:rPr>
                <w:rFonts w:hint="eastAsia" w:ascii="宋体" w:hAnsi="宋体"/>
                <w:szCs w:val="21"/>
                <w:highlight w:val="none"/>
              </w:rPr>
              <w:t>品牌</w:t>
            </w:r>
          </w:p>
        </w:tc>
        <w:tc>
          <w:tcPr>
            <w:tcW w:w="1857" w:type="dxa"/>
            <w:tcBorders>
              <w:top w:val="single" w:color="auto" w:sz="4" w:space="0"/>
              <w:left w:val="single" w:color="auto" w:sz="4" w:space="0"/>
              <w:bottom w:val="single" w:color="auto" w:sz="4" w:space="0"/>
              <w:right w:val="single" w:color="auto" w:sz="4" w:space="0"/>
            </w:tcBorders>
            <w:vAlign w:val="center"/>
          </w:tcPr>
          <w:p w14:paraId="0C72BE19">
            <w:pPr>
              <w:snapToGrid w:val="0"/>
              <w:spacing w:before="50" w:after="50"/>
              <w:jc w:val="center"/>
              <w:rPr>
                <w:rFonts w:hint="eastAsia" w:ascii="宋体" w:hAnsi="宋体"/>
                <w:szCs w:val="21"/>
                <w:highlight w:val="none"/>
              </w:rPr>
            </w:pPr>
            <w:r>
              <w:rPr>
                <w:rFonts w:hint="eastAsia" w:ascii="宋体" w:hAnsi="宋体"/>
                <w:szCs w:val="21"/>
                <w:highlight w:val="none"/>
              </w:rPr>
              <w:t>规格型号</w:t>
            </w:r>
          </w:p>
        </w:tc>
        <w:tc>
          <w:tcPr>
            <w:tcW w:w="1807" w:type="dxa"/>
            <w:tcBorders>
              <w:top w:val="single" w:color="auto" w:sz="4" w:space="0"/>
              <w:left w:val="single" w:color="auto" w:sz="4" w:space="0"/>
              <w:bottom w:val="single" w:color="auto" w:sz="4" w:space="0"/>
              <w:right w:val="single" w:color="auto" w:sz="4" w:space="0"/>
            </w:tcBorders>
            <w:vAlign w:val="center"/>
          </w:tcPr>
          <w:p w14:paraId="77C59776">
            <w:pPr>
              <w:snapToGrid w:val="0"/>
              <w:spacing w:before="50" w:after="50"/>
              <w:jc w:val="center"/>
              <w:rPr>
                <w:rFonts w:hint="eastAsia" w:ascii="宋体" w:hAnsi="宋体"/>
                <w:szCs w:val="21"/>
                <w:highlight w:val="none"/>
              </w:rPr>
            </w:pPr>
            <w:r>
              <w:rPr>
                <w:rFonts w:hint="eastAsia" w:ascii="宋体" w:hAnsi="宋体"/>
                <w:szCs w:val="21"/>
                <w:highlight w:val="none"/>
              </w:rPr>
              <w:t>制造商</w:t>
            </w:r>
          </w:p>
        </w:tc>
        <w:tc>
          <w:tcPr>
            <w:tcW w:w="1760" w:type="dxa"/>
            <w:tcBorders>
              <w:top w:val="single" w:color="auto" w:sz="4" w:space="0"/>
              <w:left w:val="single" w:color="auto" w:sz="4" w:space="0"/>
              <w:bottom w:val="single" w:color="auto" w:sz="4" w:space="0"/>
              <w:right w:val="single" w:color="auto" w:sz="4" w:space="0"/>
            </w:tcBorders>
            <w:vAlign w:val="center"/>
          </w:tcPr>
          <w:p w14:paraId="00DB263D">
            <w:pPr>
              <w:snapToGrid w:val="0"/>
              <w:spacing w:before="50" w:after="50"/>
              <w:jc w:val="center"/>
              <w:rPr>
                <w:rFonts w:hint="eastAsia" w:ascii="宋体" w:hAnsi="宋体"/>
                <w:szCs w:val="21"/>
                <w:highlight w:val="none"/>
              </w:rPr>
            </w:pPr>
            <w:r>
              <w:rPr>
                <w:rFonts w:hint="eastAsia" w:ascii="宋体" w:hAnsi="宋体"/>
                <w:szCs w:val="21"/>
                <w:highlight w:val="none"/>
              </w:rPr>
              <w:t>原产地</w:t>
            </w:r>
          </w:p>
        </w:tc>
        <w:tc>
          <w:tcPr>
            <w:tcW w:w="3392" w:type="dxa"/>
            <w:tcBorders>
              <w:top w:val="single" w:color="auto" w:sz="4" w:space="0"/>
              <w:left w:val="single" w:color="auto" w:sz="4" w:space="0"/>
              <w:bottom w:val="single" w:color="auto" w:sz="4" w:space="0"/>
              <w:right w:val="single" w:color="auto" w:sz="4" w:space="0"/>
            </w:tcBorders>
            <w:vAlign w:val="center"/>
          </w:tcPr>
          <w:p w14:paraId="3C31E609">
            <w:pPr>
              <w:snapToGrid w:val="0"/>
              <w:spacing w:before="50" w:after="50"/>
              <w:jc w:val="center"/>
              <w:rPr>
                <w:rFonts w:hint="eastAsia" w:ascii="宋体" w:hAnsi="宋体"/>
                <w:szCs w:val="21"/>
                <w:highlight w:val="none"/>
              </w:rPr>
            </w:pPr>
            <w:r>
              <w:rPr>
                <w:rFonts w:hint="eastAsia" w:ascii="宋体" w:hAnsi="宋体"/>
                <w:szCs w:val="21"/>
                <w:highlight w:val="none"/>
              </w:rPr>
              <w:t>技术参数及性能配置</w:t>
            </w:r>
          </w:p>
        </w:tc>
      </w:tr>
      <w:tr w14:paraId="54FB455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9" w:hRule="atLeast"/>
          <w:jc w:val="center"/>
        </w:trPr>
        <w:tc>
          <w:tcPr>
            <w:tcW w:w="772" w:type="dxa"/>
            <w:tcBorders>
              <w:top w:val="single" w:color="auto" w:sz="4" w:space="0"/>
              <w:left w:val="single" w:color="auto" w:sz="4" w:space="0"/>
              <w:right w:val="single" w:color="auto" w:sz="4" w:space="0"/>
            </w:tcBorders>
            <w:vAlign w:val="center"/>
          </w:tcPr>
          <w:p w14:paraId="10205FDB">
            <w:pPr>
              <w:snapToGrid w:val="0"/>
              <w:spacing w:before="50" w:after="50"/>
              <w:jc w:val="center"/>
              <w:rPr>
                <w:rFonts w:hint="eastAsia" w:ascii="宋体" w:hAnsi="宋体"/>
                <w:szCs w:val="21"/>
                <w:highlight w:val="none"/>
              </w:rPr>
            </w:pPr>
            <w:r>
              <w:rPr>
                <w:rFonts w:hint="eastAsia" w:ascii="宋体" w:hAnsi="宋体"/>
                <w:szCs w:val="21"/>
                <w:highlight w:val="none"/>
              </w:rPr>
              <w:t>1</w:t>
            </w:r>
          </w:p>
        </w:tc>
        <w:tc>
          <w:tcPr>
            <w:tcW w:w="2829" w:type="dxa"/>
            <w:tcBorders>
              <w:top w:val="single" w:color="auto" w:sz="4" w:space="0"/>
              <w:left w:val="single" w:color="auto" w:sz="4" w:space="0"/>
              <w:bottom w:val="single" w:color="auto" w:sz="4" w:space="0"/>
              <w:right w:val="single" w:color="auto" w:sz="4" w:space="0"/>
            </w:tcBorders>
            <w:vAlign w:val="center"/>
          </w:tcPr>
          <w:p w14:paraId="1F74BB4F">
            <w:pPr>
              <w:widowControl/>
              <w:jc w:val="center"/>
              <w:textAlignment w:val="center"/>
              <w:rPr>
                <w:rFonts w:hint="eastAsia" w:ascii="宋体" w:hAnsi="宋体"/>
                <w:szCs w:val="21"/>
                <w:highlight w:val="none"/>
              </w:rPr>
            </w:pPr>
          </w:p>
        </w:tc>
        <w:tc>
          <w:tcPr>
            <w:tcW w:w="706" w:type="dxa"/>
            <w:tcBorders>
              <w:top w:val="single" w:color="auto" w:sz="4" w:space="0"/>
              <w:left w:val="single" w:color="auto" w:sz="4" w:space="0"/>
              <w:bottom w:val="single" w:color="auto" w:sz="4" w:space="0"/>
              <w:right w:val="single" w:color="auto" w:sz="4" w:space="0"/>
            </w:tcBorders>
            <w:vAlign w:val="center"/>
          </w:tcPr>
          <w:p w14:paraId="27877978">
            <w:pPr>
              <w:widowControl/>
              <w:jc w:val="center"/>
              <w:textAlignment w:val="center"/>
              <w:rPr>
                <w:rFonts w:hint="eastAsia" w:ascii="宋体" w:hAnsi="宋体"/>
                <w:szCs w:val="21"/>
                <w:highlight w:val="none"/>
              </w:rPr>
            </w:pPr>
          </w:p>
        </w:tc>
        <w:tc>
          <w:tcPr>
            <w:tcW w:w="1097" w:type="dxa"/>
            <w:tcBorders>
              <w:top w:val="single" w:color="auto" w:sz="4" w:space="0"/>
              <w:left w:val="single" w:color="auto" w:sz="4" w:space="0"/>
              <w:bottom w:val="single" w:color="auto" w:sz="4" w:space="0"/>
              <w:right w:val="single" w:color="auto" w:sz="4" w:space="0"/>
            </w:tcBorders>
            <w:vAlign w:val="center"/>
          </w:tcPr>
          <w:p w14:paraId="3476AD1A">
            <w:pPr>
              <w:widowControl/>
              <w:jc w:val="center"/>
              <w:textAlignment w:val="center"/>
              <w:rPr>
                <w:rFonts w:hint="eastAsia" w:ascii="宋体" w:hAnsi="宋体"/>
                <w:szCs w:val="21"/>
                <w:highlight w:val="none"/>
              </w:rPr>
            </w:pPr>
          </w:p>
        </w:tc>
        <w:tc>
          <w:tcPr>
            <w:tcW w:w="1394" w:type="dxa"/>
            <w:tcBorders>
              <w:top w:val="single" w:color="auto" w:sz="4" w:space="0"/>
              <w:left w:val="single" w:color="auto" w:sz="4" w:space="0"/>
              <w:bottom w:val="single" w:color="auto" w:sz="4" w:space="0"/>
              <w:right w:val="single" w:color="auto" w:sz="4" w:space="0"/>
            </w:tcBorders>
            <w:vAlign w:val="center"/>
          </w:tcPr>
          <w:p w14:paraId="29EC6CBE">
            <w:pPr>
              <w:snapToGrid w:val="0"/>
              <w:spacing w:before="50" w:after="50"/>
              <w:jc w:val="center"/>
              <w:rPr>
                <w:rFonts w:hint="eastAsia" w:ascii="宋体" w:hAnsi="宋体"/>
                <w:szCs w:val="21"/>
                <w:highlight w:val="none"/>
              </w:rPr>
            </w:pPr>
          </w:p>
        </w:tc>
        <w:tc>
          <w:tcPr>
            <w:tcW w:w="1857" w:type="dxa"/>
            <w:tcBorders>
              <w:top w:val="single" w:color="auto" w:sz="4" w:space="0"/>
              <w:left w:val="single" w:color="auto" w:sz="4" w:space="0"/>
              <w:bottom w:val="single" w:color="auto" w:sz="4" w:space="0"/>
              <w:right w:val="single" w:color="auto" w:sz="4" w:space="0"/>
            </w:tcBorders>
          </w:tcPr>
          <w:p w14:paraId="7DDCA39D">
            <w:pPr>
              <w:snapToGrid w:val="0"/>
              <w:spacing w:before="50" w:after="50"/>
              <w:jc w:val="center"/>
              <w:rPr>
                <w:rFonts w:hint="eastAsia" w:ascii="宋体" w:hAnsi="宋体"/>
                <w:szCs w:val="21"/>
                <w:highlight w:val="none"/>
              </w:rPr>
            </w:pPr>
          </w:p>
        </w:tc>
        <w:tc>
          <w:tcPr>
            <w:tcW w:w="1807" w:type="dxa"/>
            <w:tcBorders>
              <w:top w:val="single" w:color="auto" w:sz="4" w:space="0"/>
              <w:left w:val="single" w:color="auto" w:sz="4" w:space="0"/>
              <w:bottom w:val="single" w:color="auto" w:sz="4" w:space="0"/>
              <w:right w:val="single" w:color="auto" w:sz="4" w:space="0"/>
            </w:tcBorders>
            <w:vAlign w:val="center"/>
          </w:tcPr>
          <w:p w14:paraId="67285F6F">
            <w:pPr>
              <w:snapToGrid w:val="0"/>
              <w:spacing w:before="50" w:after="50"/>
              <w:jc w:val="center"/>
              <w:rPr>
                <w:rFonts w:hint="eastAsia" w:ascii="宋体" w:hAnsi="宋体"/>
                <w:szCs w:val="21"/>
                <w:highlight w:val="none"/>
              </w:rPr>
            </w:pPr>
          </w:p>
        </w:tc>
        <w:tc>
          <w:tcPr>
            <w:tcW w:w="1760" w:type="dxa"/>
            <w:tcBorders>
              <w:top w:val="single" w:color="auto" w:sz="4" w:space="0"/>
              <w:left w:val="single" w:color="auto" w:sz="4" w:space="0"/>
              <w:bottom w:val="single" w:color="auto" w:sz="4" w:space="0"/>
              <w:right w:val="single" w:color="auto" w:sz="4" w:space="0"/>
            </w:tcBorders>
            <w:vAlign w:val="center"/>
          </w:tcPr>
          <w:p w14:paraId="03DBD8F5">
            <w:pPr>
              <w:snapToGrid w:val="0"/>
              <w:spacing w:before="50" w:after="50"/>
              <w:jc w:val="center"/>
              <w:rPr>
                <w:rFonts w:hint="eastAsia" w:ascii="宋体" w:hAnsi="宋体"/>
                <w:szCs w:val="21"/>
                <w:highlight w:val="none"/>
              </w:rPr>
            </w:pPr>
          </w:p>
        </w:tc>
        <w:tc>
          <w:tcPr>
            <w:tcW w:w="3392" w:type="dxa"/>
            <w:tcBorders>
              <w:top w:val="single" w:color="auto" w:sz="4" w:space="0"/>
              <w:left w:val="single" w:color="auto" w:sz="4" w:space="0"/>
              <w:bottom w:val="single" w:color="auto" w:sz="4" w:space="0"/>
              <w:right w:val="single" w:color="auto" w:sz="4" w:space="0"/>
            </w:tcBorders>
            <w:vAlign w:val="center"/>
          </w:tcPr>
          <w:p w14:paraId="4D02491A">
            <w:pPr>
              <w:snapToGrid w:val="0"/>
              <w:spacing w:before="50" w:after="50"/>
              <w:jc w:val="center"/>
              <w:rPr>
                <w:rFonts w:hint="eastAsia" w:ascii="宋体" w:hAnsi="宋体"/>
                <w:szCs w:val="21"/>
                <w:highlight w:val="none"/>
              </w:rPr>
            </w:pPr>
          </w:p>
        </w:tc>
      </w:tr>
      <w:tr w14:paraId="0B1B093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5" w:hRule="atLeast"/>
          <w:jc w:val="center"/>
        </w:trPr>
        <w:tc>
          <w:tcPr>
            <w:tcW w:w="772" w:type="dxa"/>
            <w:tcBorders>
              <w:top w:val="single" w:color="auto" w:sz="4" w:space="0"/>
              <w:left w:val="single" w:color="auto" w:sz="4" w:space="0"/>
              <w:bottom w:val="single" w:color="auto" w:sz="4" w:space="0"/>
              <w:right w:val="single" w:color="auto" w:sz="4" w:space="0"/>
            </w:tcBorders>
            <w:vAlign w:val="center"/>
          </w:tcPr>
          <w:p w14:paraId="6C0B33CF">
            <w:pPr>
              <w:snapToGrid w:val="0"/>
              <w:spacing w:before="50" w:after="50"/>
              <w:jc w:val="center"/>
              <w:rPr>
                <w:rFonts w:hint="eastAsia" w:ascii="宋体" w:hAnsi="宋体"/>
                <w:szCs w:val="21"/>
                <w:highlight w:val="none"/>
              </w:rPr>
            </w:pPr>
            <w:r>
              <w:rPr>
                <w:rFonts w:hint="eastAsia" w:ascii="宋体" w:hAnsi="宋体"/>
                <w:szCs w:val="21"/>
                <w:highlight w:val="none"/>
              </w:rPr>
              <w:t>……</w:t>
            </w:r>
          </w:p>
        </w:tc>
        <w:tc>
          <w:tcPr>
            <w:tcW w:w="2829" w:type="dxa"/>
            <w:tcBorders>
              <w:top w:val="single" w:color="auto" w:sz="4" w:space="0"/>
              <w:left w:val="single" w:color="auto" w:sz="4" w:space="0"/>
              <w:bottom w:val="single" w:color="auto" w:sz="4" w:space="0"/>
              <w:right w:val="single" w:color="auto" w:sz="4" w:space="0"/>
            </w:tcBorders>
            <w:vAlign w:val="center"/>
          </w:tcPr>
          <w:p w14:paraId="4C8732D8">
            <w:pPr>
              <w:widowControl/>
              <w:jc w:val="center"/>
              <w:textAlignment w:val="center"/>
              <w:rPr>
                <w:rFonts w:hint="eastAsia" w:ascii="宋体" w:hAnsi="宋体"/>
                <w:color w:val="000000"/>
                <w:kern w:val="0"/>
                <w:szCs w:val="21"/>
                <w:highlight w:val="none"/>
              </w:rPr>
            </w:pPr>
          </w:p>
        </w:tc>
        <w:tc>
          <w:tcPr>
            <w:tcW w:w="706" w:type="dxa"/>
            <w:tcBorders>
              <w:top w:val="single" w:color="auto" w:sz="4" w:space="0"/>
              <w:left w:val="single" w:color="auto" w:sz="4" w:space="0"/>
              <w:bottom w:val="single" w:color="auto" w:sz="4" w:space="0"/>
              <w:right w:val="single" w:color="auto" w:sz="4" w:space="0"/>
            </w:tcBorders>
            <w:vAlign w:val="center"/>
          </w:tcPr>
          <w:p w14:paraId="4E8CD63D">
            <w:pPr>
              <w:widowControl/>
              <w:jc w:val="center"/>
              <w:textAlignment w:val="center"/>
              <w:rPr>
                <w:rFonts w:hint="eastAsia" w:ascii="宋体" w:hAnsi="宋体"/>
                <w:szCs w:val="21"/>
                <w:highlight w:val="none"/>
              </w:rPr>
            </w:pPr>
          </w:p>
        </w:tc>
        <w:tc>
          <w:tcPr>
            <w:tcW w:w="1097" w:type="dxa"/>
            <w:tcBorders>
              <w:top w:val="single" w:color="auto" w:sz="4" w:space="0"/>
              <w:left w:val="single" w:color="auto" w:sz="4" w:space="0"/>
              <w:bottom w:val="single" w:color="auto" w:sz="4" w:space="0"/>
              <w:right w:val="single" w:color="auto" w:sz="4" w:space="0"/>
            </w:tcBorders>
            <w:vAlign w:val="center"/>
          </w:tcPr>
          <w:p w14:paraId="67E1489D">
            <w:pPr>
              <w:widowControl/>
              <w:jc w:val="center"/>
              <w:textAlignment w:val="center"/>
              <w:rPr>
                <w:rFonts w:hint="eastAsia" w:ascii="宋体" w:hAnsi="宋体"/>
                <w:szCs w:val="21"/>
                <w:highlight w:val="none"/>
              </w:rPr>
            </w:pPr>
          </w:p>
        </w:tc>
        <w:tc>
          <w:tcPr>
            <w:tcW w:w="1394" w:type="dxa"/>
            <w:tcBorders>
              <w:top w:val="single" w:color="auto" w:sz="4" w:space="0"/>
              <w:left w:val="single" w:color="auto" w:sz="4" w:space="0"/>
              <w:bottom w:val="single" w:color="auto" w:sz="4" w:space="0"/>
              <w:right w:val="single" w:color="auto" w:sz="4" w:space="0"/>
            </w:tcBorders>
            <w:vAlign w:val="center"/>
          </w:tcPr>
          <w:p w14:paraId="2EA6E337">
            <w:pPr>
              <w:snapToGrid w:val="0"/>
              <w:spacing w:before="50" w:after="50"/>
              <w:jc w:val="center"/>
              <w:rPr>
                <w:rFonts w:hint="eastAsia" w:ascii="宋体" w:hAnsi="宋体"/>
                <w:szCs w:val="21"/>
                <w:highlight w:val="none"/>
              </w:rPr>
            </w:pPr>
          </w:p>
        </w:tc>
        <w:tc>
          <w:tcPr>
            <w:tcW w:w="1857" w:type="dxa"/>
            <w:tcBorders>
              <w:top w:val="single" w:color="auto" w:sz="4" w:space="0"/>
              <w:left w:val="single" w:color="auto" w:sz="4" w:space="0"/>
              <w:bottom w:val="single" w:color="auto" w:sz="4" w:space="0"/>
              <w:right w:val="single" w:color="auto" w:sz="4" w:space="0"/>
            </w:tcBorders>
          </w:tcPr>
          <w:p w14:paraId="7FF6C6BE">
            <w:pPr>
              <w:snapToGrid w:val="0"/>
              <w:spacing w:before="50" w:after="50"/>
              <w:jc w:val="center"/>
              <w:rPr>
                <w:rFonts w:hint="eastAsia" w:ascii="宋体" w:hAnsi="宋体"/>
                <w:szCs w:val="21"/>
                <w:highlight w:val="none"/>
              </w:rPr>
            </w:pPr>
          </w:p>
        </w:tc>
        <w:tc>
          <w:tcPr>
            <w:tcW w:w="1807" w:type="dxa"/>
            <w:tcBorders>
              <w:top w:val="single" w:color="auto" w:sz="4" w:space="0"/>
              <w:left w:val="single" w:color="auto" w:sz="4" w:space="0"/>
              <w:bottom w:val="single" w:color="auto" w:sz="4" w:space="0"/>
              <w:right w:val="single" w:color="auto" w:sz="4" w:space="0"/>
            </w:tcBorders>
            <w:vAlign w:val="center"/>
          </w:tcPr>
          <w:p w14:paraId="2D1EC980">
            <w:pPr>
              <w:snapToGrid w:val="0"/>
              <w:spacing w:before="50" w:after="50"/>
              <w:jc w:val="center"/>
              <w:rPr>
                <w:rFonts w:hint="eastAsia" w:ascii="宋体" w:hAnsi="宋体"/>
                <w:szCs w:val="21"/>
                <w:highlight w:val="none"/>
              </w:rPr>
            </w:pPr>
          </w:p>
        </w:tc>
        <w:tc>
          <w:tcPr>
            <w:tcW w:w="1760" w:type="dxa"/>
            <w:tcBorders>
              <w:top w:val="single" w:color="auto" w:sz="4" w:space="0"/>
              <w:left w:val="single" w:color="auto" w:sz="4" w:space="0"/>
              <w:bottom w:val="single" w:color="auto" w:sz="4" w:space="0"/>
              <w:right w:val="single" w:color="auto" w:sz="4" w:space="0"/>
            </w:tcBorders>
            <w:vAlign w:val="center"/>
          </w:tcPr>
          <w:p w14:paraId="785C57F6">
            <w:pPr>
              <w:snapToGrid w:val="0"/>
              <w:spacing w:before="50" w:after="50"/>
              <w:jc w:val="center"/>
              <w:rPr>
                <w:rFonts w:hint="eastAsia" w:ascii="宋体" w:hAnsi="宋体"/>
                <w:szCs w:val="21"/>
                <w:highlight w:val="none"/>
              </w:rPr>
            </w:pPr>
          </w:p>
        </w:tc>
        <w:tc>
          <w:tcPr>
            <w:tcW w:w="3392" w:type="dxa"/>
            <w:tcBorders>
              <w:top w:val="single" w:color="auto" w:sz="4" w:space="0"/>
              <w:left w:val="single" w:color="auto" w:sz="4" w:space="0"/>
              <w:bottom w:val="single" w:color="auto" w:sz="4" w:space="0"/>
              <w:right w:val="single" w:color="auto" w:sz="4" w:space="0"/>
            </w:tcBorders>
            <w:vAlign w:val="center"/>
          </w:tcPr>
          <w:p w14:paraId="319B1543">
            <w:pPr>
              <w:snapToGrid w:val="0"/>
              <w:spacing w:before="50" w:after="50"/>
              <w:jc w:val="center"/>
              <w:rPr>
                <w:rFonts w:hint="eastAsia" w:ascii="宋体" w:hAnsi="宋体"/>
                <w:szCs w:val="21"/>
                <w:highlight w:val="none"/>
              </w:rPr>
            </w:pPr>
          </w:p>
        </w:tc>
      </w:tr>
      <w:tr w14:paraId="7CC0858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5" w:hRule="atLeast"/>
          <w:jc w:val="center"/>
        </w:trPr>
        <w:tc>
          <w:tcPr>
            <w:tcW w:w="772" w:type="dxa"/>
            <w:tcBorders>
              <w:top w:val="single" w:color="auto" w:sz="4" w:space="0"/>
              <w:left w:val="single" w:color="auto" w:sz="4" w:space="0"/>
              <w:bottom w:val="single" w:color="auto" w:sz="4" w:space="0"/>
              <w:right w:val="single" w:color="auto" w:sz="4" w:space="0"/>
            </w:tcBorders>
            <w:vAlign w:val="center"/>
          </w:tcPr>
          <w:p w14:paraId="2B2E394B">
            <w:pPr>
              <w:snapToGrid w:val="0"/>
              <w:spacing w:before="50" w:after="50"/>
              <w:jc w:val="center"/>
              <w:rPr>
                <w:rFonts w:hint="eastAsia" w:ascii="宋体" w:hAnsi="宋体"/>
                <w:szCs w:val="21"/>
                <w:highlight w:val="none"/>
              </w:rPr>
            </w:pPr>
            <w:r>
              <w:rPr>
                <w:rFonts w:hint="eastAsia" w:ascii="宋体" w:hAnsi="宋体"/>
                <w:szCs w:val="21"/>
                <w:highlight w:val="none"/>
              </w:rPr>
              <w:t>……</w:t>
            </w:r>
          </w:p>
        </w:tc>
        <w:tc>
          <w:tcPr>
            <w:tcW w:w="2829" w:type="dxa"/>
            <w:tcBorders>
              <w:top w:val="single" w:color="auto" w:sz="4" w:space="0"/>
              <w:left w:val="single" w:color="auto" w:sz="4" w:space="0"/>
              <w:bottom w:val="single" w:color="auto" w:sz="4" w:space="0"/>
              <w:right w:val="single" w:color="auto" w:sz="4" w:space="0"/>
            </w:tcBorders>
            <w:vAlign w:val="center"/>
          </w:tcPr>
          <w:p w14:paraId="0376EC9C">
            <w:pPr>
              <w:widowControl/>
              <w:jc w:val="center"/>
              <w:textAlignment w:val="center"/>
              <w:rPr>
                <w:rFonts w:hint="eastAsia" w:ascii="宋体" w:hAnsi="宋体"/>
                <w:color w:val="000000"/>
                <w:kern w:val="0"/>
                <w:szCs w:val="21"/>
                <w:highlight w:val="none"/>
              </w:rPr>
            </w:pPr>
          </w:p>
        </w:tc>
        <w:tc>
          <w:tcPr>
            <w:tcW w:w="706" w:type="dxa"/>
            <w:tcBorders>
              <w:top w:val="single" w:color="auto" w:sz="4" w:space="0"/>
              <w:left w:val="single" w:color="auto" w:sz="4" w:space="0"/>
              <w:bottom w:val="single" w:color="auto" w:sz="4" w:space="0"/>
              <w:right w:val="single" w:color="auto" w:sz="4" w:space="0"/>
            </w:tcBorders>
            <w:vAlign w:val="center"/>
          </w:tcPr>
          <w:p w14:paraId="377592BA">
            <w:pPr>
              <w:widowControl/>
              <w:jc w:val="center"/>
              <w:textAlignment w:val="center"/>
              <w:rPr>
                <w:rFonts w:hint="eastAsia" w:ascii="宋体" w:hAnsi="宋体"/>
                <w:szCs w:val="21"/>
                <w:highlight w:val="none"/>
              </w:rPr>
            </w:pPr>
          </w:p>
        </w:tc>
        <w:tc>
          <w:tcPr>
            <w:tcW w:w="1097" w:type="dxa"/>
            <w:tcBorders>
              <w:top w:val="single" w:color="auto" w:sz="4" w:space="0"/>
              <w:left w:val="single" w:color="auto" w:sz="4" w:space="0"/>
              <w:bottom w:val="single" w:color="auto" w:sz="4" w:space="0"/>
              <w:right w:val="single" w:color="auto" w:sz="4" w:space="0"/>
            </w:tcBorders>
            <w:vAlign w:val="center"/>
          </w:tcPr>
          <w:p w14:paraId="468EE0D1">
            <w:pPr>
              <w:widowControl/>
              <w:jc w:val="center"/>
              <w:textAlignment w:val="center"/>
              <w:rPr>
                <w:rFonts w:hint="eastAsia" w:ascii="宋体" w:hAnsi="宋体"/>
                <w:szCs w:val="21"/>
                <w:highlight w:val="none"/>
              </w:rPr>
            </w:pPr>
          </w:p>
        </w:tc>
        <w:tc>
          <w:tcPr>
            <w:tcW w:w="1394" w:type="dxa"/>
            <w:tcBorders>
              <w:top w:val="single" w:color="auto" w:sz="4" w:space="0"/>
              <w:left w:val="single" w:color="auto" w:sz="4" w:space="0"/>
              <w:bottom w:val="single" w:color="auto" w:sz="4" w:space="0"/>
              <w:right w:val="single" w:color="auto" w:sz="4" w:space="0"/>
            </w:tcBorders>
            <w:vAlign w:val="center"/>
          </w:tcPr>
          <w:p w14:paraId="66B43837">
            <w:pPr>
              <w:snapToGrid w:val="0"/>
              <w:spacing w:before="50" w:after="50"/>
              <w:jc w:val="center"/>
              <w:rPr>
                <w:rFonts w:hint="eastAsia" w:ascii="宋体" w:hAnsi="宋体"/>
                <w:szCs w:val="21"/>
                <w:highlight w:val="none"/>
              </w:rPr>
            </w:pPr>
          </w:p>
        </w:tc>
        <w:tc>
          <w:tcPr>
            <w:tcW w:w="1857" w:type="dxa"/>
            <w:tcBorders>
              <w:top w:val="single" w:color="auto" w:sz="4" w:space="0"/>
              <w:left w:val="single" w:color="auto" w:sz="4" w:space="0"/>
              <w:bottom w:val="single" w:color="auto" w:sz="4" w:space="0"/>
              <w:right w:val="single" w:color="auto" w:sz="4" w:space="0"/>
            </w:tcBorders>
          </w:tcPr>
          <w:p w14:paraId="5D123DC0">
            <w:pPr>
              <w:snapToGrid w:val="0"/>
              <w:spacing w:before="50" w:after="50"/>
              <w:jc w:val="center"/>
              <w:rPr>
                <w:rFonts w:hint="eastAsia" w:ascii="宋体" w:hAnsi="宋体"/>
                <w:szCs w:val="21"/>
                <w:highlight w:val="none"/>
              </w:rPr>
            </w:pPr>
          </w:p>
        </w:tc>
        <w:tc>
          <w:tcPr>
            <w:tcW w:w="1807" w:type="dxa"/>
            <w:tcBorders>
              <w:top w:val="single" w:color="auto" w:sz="4" w:space="0"/>
              <w:left w:val="single" w:color="auto" w:sz="4" w:space="0"/>
              <w:bottom w:val="single" w:color="auto" w:sz="4" w:space="0"/>
              <w:right w:val="single" w:color="auto" w:sz="4" w:space="0"/>
            </w:tcBorders>
            <w:vAlign w:val="center"/>
          </w:tcPr>
          <w:p w14:paraId="2E7B8865">
            <w:pPr>
              <w:snapToGrid w:val="0"/>
              <w:spacing w:before="50" w:after="50"/>
              <w:jc w:val="center"/>
              <w:rPr>
                <w:rFonts w:hint="eastAsia" w:ascii="宋体" w:hAnsi="宋体"/>
                <w:szCs w:val="21"/>
                <w:highlight w:val="none"/>
              </w:rPr>
            </w:pPr>
          </w:p>
        </w:tc>
        <w:tc>
          <w:tcPr>
            <w:tcW w:w="1760" w:type="dxa"/>
            <w:tcBorders>
              <w:top w:val="single" w:color="auto" w:sz="4" w:space="0"/>
              <w:left w:val="single" w:color="auto" w:sz="4" w:space="0"/>
              <w:bottom w:val="single" w:color="auto" w:sz="4" w:space="0"/>
              <w:right w:val="single" w:color="auto" w:sz="4" w:space="0"/>
            </w:tcBorders>
            <w:vAlign w:val="center"/>
          </w:tcPr>
          <w:p w14:paraId="3C48EF83">
            <w:pPr>
              <w:snapToGrid w:val="0"/>
              <w:spacing w:before="50" w:after="50"/>
              <w:jc w:val="center"/>
              <w:rPr>
                <w:rFonts w:hint="eastAsia" w:ascii="宋体" w:hAnsi="宋体"/>
                <w:szCs w:val="21"/>
                <w:highlight w:val="none"/>
              </w:rPr>
            </w:pPr>
          </w:p>
        </w:tc>
        <w:tc>
          <w:tcPr>
            <w:tcW w:w="3392" w:type="dxa"/>
            <w:tcBorders>
              <w:top w:val="single" w:color="auto" w:sz="4" w:space="0"/>
              <w:left w:val="single" w:color="auto" w:sz="4" w:space="0"/>
              <w:bottom w:val="single" w:color="auto" w:sz="4" w:space="0"/>
              <w:right w:val="single" w:color="auto" w:sz="4" w:space="0"/>
            </w:tcBorders>
            <w:vAlign w:val="center"/>
          </w:tcPr>
          <w:p w14:paraId="4D654267">
            <w:pPr>
              <w:snapToGrid w:val="0"/>
              <w:spacing w:before="50" w:after="50"/>
              <w:jc w:val="center"/>
              <w:rPr>
                <w:rFonts w:hint="eastAsia" w:ascii="宋体" w:hAnsi="宋体"/>
                <w:szCs w:val="21"/>
                <w:highlight w:val="none"/>
              </w:rPr>
            </w:pPr>
          </w:p>
        </w:tc>
      </w:tr>
    </w:tbl>
    <w:p w14:paraId="648CD903">
      <w:pPr>
        <w:contextualSpacing/>
        <w:rPr>
          <w:rFonts w:hint="eastAsia" w:ascii="宋体" w:hAnsi="宋体"/>
          <w:szCs w:val="21"/>
          <w:highlight w:val="none"/>
        </w:rPr>
      </w:pPr>
      <w:r>
        <w:rPr>
          <w:rFonts w:hint="eastAsia" w:ascii="宋体" w:hAnsi="宋体"/>
          <w:szCs w:val="21"/>
          <w:highlight w:val="none"/>
        </w:rPr>
        <w:t>备注：</w:t>
      </w:r>
      <w:r>
        <w:rPr>
          <w:rFonts w:hint="eastAsia" w:ascii="宋体" w:hAnsi="宋体"/>
          <w:b/>
          <w:bCs/>
          <w:szCs w:val="21"/>
          <w:highlight w:val="none"/>
        </w:rPr>
        <w:t>以上货物配置清单中“货物名称、数量及单位、品牌、规格型号、制造商、原产地、技术参数及性能配置”必须如实填写完整，品牌、规格型号没有则填无，填写有缺漏的，响应文件按无效响应处理</w:t>
      </w:r>
      <w:r>
        <w:rPr>
          <w:rFonts w:hint="eastAsia" w:ascii="宋体" w:hAnsi="宋体"/>
          <w:b/>
          <w:szCs w:val="21"/>
          <w:highlight w:val="none"/>
        </w:rPr>
        <w:t>。</w:t>
      </w:r>
      <w:r>
        <w:rPr>
          <w:rFonts w:hint="eastAsia" w:ascii="宋体" w:hAnsi="宋体"/>
          <w:szCs w:val="21"/>
          <w:highlight w:val="none"/>
        </w:rPr>
        <w:t>货物名称、数量及单位、品牌必须与“竞标报价表”一致，</w:t>
      </w:r>
      <w:r>
        <w:rPr>
          <w:rFonts w:hint="eastAsia" w:ascii="宋体" w:hAnsi="宋体"/>
          <w:bCs/>
          <w:szCs w:val="21"/>
          <w:highlight w:val="none"/>
        </w:rPr>
        <w:t>否则响应文件按无效响应处理</w:t>
      </w:r>
      <w:r>
        <w:rPr>
          <w:rFonts w:hint="eastAsia" w:ascii="宋体" w:hAnsi="宋体"/>
          <w:b/>
          <w:szCs w:val="21"/>
          <w:highlight w:val="none"/>
        </w:rPr>
        <w:t>。</w:t>
      </w:r>
      <w:r>
        <w:rPr>
          <w:rFonts w:hint="eastAsia" w:ascii="宋体" w:hAnsi="宋体"/>
          <w:szCs w:val="21"/>
          <w:highlight w:val="none"/>
        </w:rPr>
        <w:tab/>
      </w:r>
    </w:p>
    <w:p w14:paraId="24A64991">
      <w:pPr>
        <w:pStyle w:val="9"/>
        <w:rPr>
          <w:rFonts w:hint="eastAsia" w:ascii="宋体" w:hAnsi="宋体" w:cs="宋体"/>
          <w:szCs w:val="21"/>
          <w:highlight w:val="none"/>
        </w:rPr>
      </w:pPr>
    </w:p>
    <w:p w14:paraId="4BFE1AB8">
      <w:pPr>
        <w:ind w:right="-817" w:rightChars="-389"/>
        <w:contextualSpacing/>
        <w:jc w:val="center"/>
        <w:rPr>
          <w:rFonts w:hint="eastAsia" w:ascii="宋体" w:hAnsi="宋体"/>
          <w:szCs w:val="21"/>
          <w:highlight w:val="none"/>
        </w:rPr>
      </w:pPr>
      <w:r>
        <w:rPr>
          <w:rFonts w:hint="eastAsia" w:ascii="宋体" w:hAnsi="宋体"/>
          <w:szCs w:val="21"/>
          <w:highlight w:val="none"/>
        </w:rPr>
        <w:t>法定代表人或者委托代理人（签字）：</w:t>
      </w:r>
    </w:p>
    <w:p w14:paraId="7347544C">
      <w:pPr>
        <w:ind w:right="-817" w:rightChars="-389" w:firstLine="7245" w:firstLineChars="3450"/>
        <w:contextualSpacing/>
        <w:rPr>
          <w:rFonts w:hint="eastAsia" w:ascii="宋体" w:hAnsi="宋体"/>
          <w:szCs w:val="21"/>
          <w:highlight w:val="none"/>
        </w:rPr>
      </w:pPr>
      <w:r>
        <w:rPr>
          <w:rFonts w:hint="eastAsia" w:ascii="宋体" w:hAnsi="宋体"/>
          <w:szCs w:val="21"/>
          <w:highlight w:val="none"/>
        </w:rPr>
        <w:t xml:space="preserve">供应商（盖公章）：      </w:t>
      </w:r>
    </w:p>
    <w:p w14:paraId="4188AEF4">
      <w:pPr>
        <w:ind w:right="-817" w:rightChars="-389" w:firstLine="8190" w:firstLineChars="3900"/>
        <w:contextualSpacing/>
        <w:rPr>
          <w:highlight w:val="none"/>
        </w:rPr>
      </w:pPr>
      <w:r>
        <w:rPr>
          <w:rFonts w:hint="eastAsia" w:ascii="宋体" w:hAnsi="宋体"/>
          <w:szCs w:val="21"/>
          <w:highlight w:val="none"/>
        </w:rPr>
        <w:t>日  期：    年   月   日</w:t>
      </w:r>
    </w:p>
    <w:p w14:paraId="3DA5D3A2">
      <w:pPr>
        <w:rPr>
          <w:highlight w:val="none"/>
        </w:rPr>
      </w:pPr>
    </w:p>
    <w:p w14:paraId="2A5AF8B8">
      <w:pPr>
        <w:ind w:right="-817" w:rightChars="-389" w:firstLine="8190" w:firstLineChars="3900"/>
        <w:contextualSpacing/>
        <w:rPr>
          <w:rFonts w:hint="eastAsia" w:ascii="宋体" w:hAnsi="宋体" w:eastAsia="宋体" w:cs="宋体"/>
          <w:color w:val="auto"/>
          <w:sz w:val="21"/>
          <w:szCs w:val="21"/>
          <w:highlight w:val="none"/>
          <w:lang w:val="en-US" w:eastAsia="zh-CN"/>
        </w:rPr>
      </w:pPr>
    </w:p>
    <w:sectPr>
      <w:pgSz w:w="16838" w:h="11906" w:orient="landscape"/>
      <w:pgMar w:top="720" w:right="720" w:bottom="720" w:left="720"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1" w:fontKey="{A1D3D7E5-6A7E-470D-9C06-345782420AAF}"/>
  </w:font>
  <w:font w:name="仿宋_GB2312">
    <w:panose1 w:val="02010609030101010101"/>
    <w:charset w:val="86"/>
    <w:family w:val="modern"/>
    <w:pitch w:val="default"/>
    <w:sig w:usb0="00000001" w:usb1="080E0000" w:usb2="00000000" w:usb3="00000000" w:csb0="00040000" w:csb1="00000000"/>
    <w:embedRegular r:id="rId2" w:fontKey="{FEEEBE11-3FB5-4547-BE17-F6F4C8B7D5FC}"/>
  </w:font>
  <w:font w:name="方正小标宋简体">
    <w:panose1 w:val="02000000000000000000"/>
    <w:charset w:val="86"/>
    <w:family w:val="script"/>
    <w:pitch w:val="default"/>
    <w:sig w:usb0="00000001" w:usb1="08000000" w:usb2="00000000" w:usb3="00000000" w:csb0="00040000" w:csb1="00000000"/>
    <w:embedRegular r:id="rId3" w:fontKey="{60BF4369-621D-463B-88FC-D2E5C19CEFB7}"/>
  </w:font>
  <w:font w:name="WPSEMBED2">
    <w:panose1 w:val="02000000000000000000"/>
    <w:charset w:val="86"/>
    <w:family w:val="auto"/>
    <w:pitch w:val="default"/>
    <w:sig w:usb0="00000001" w:usb1="08000000" w:usb2="00000000" w:usb3="00000000" w:csb0="00040000" w:csb1="00000000"/>
  </w:font>
  <w:font w:name="WPSEMBED1">
    <w:panose1 w:val="02010609030101010101"/>
    <w:charset w:val="86"/>
    <w:family w:val="auto"/>
    <w:pitch w:val="default"/>
    <w:sig w:usb0="00000001" w:usb1="080E0000" w:usb2="00000000" w:usb3="00000000" w:csb0="00040000"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UzNTMyMGVkNWM5ZjJkZmYyZWM2NTFjMDUyYjVjMWUifQ=="/>
  </w:docVars>
  <w:rsids>
    <w:rsidRoot w:val="00000000"/>
    <w:rsid w:val="015E6884"/>
    <w:rsid w:val="06222576"/>
    <w:rsid w:val="067A0F45"/>
    <w:rsid w:val="073C7283"/>
    <w:rsid w:val="08314CF2"/>
    <w:rsid w:val="087F6757"/>
    <w:rsid w:val="0AAB0D8C"/>
    <w:rsid w:val="0B7736D5"/>
    <w:rsid w:val="0CC80A81"/>
    <w:rsid w:val="0D890D22"/>
    <w:rsid w:val="0E0C529F"/>
    <w:rsid w:val="0EDF2CD9"/>
    <w:rsid w:val="0F322943"/>
    <w:rsid w:val="121865DB"/>
    <w:rsid w:val="128669BA"/>
    <w:rsid w:val="130A06E4"/>
    <w:rsid w:val="15F87315"/>
    <w:rsid w:val="168C47D5"/>
    <w:rsid w:val="18F40494"/>
    <w:rsid w:val="1A534654"/>
    <w:rsid w:val="1AED2214"/>
    <w:rsid w:val="1B99253B"/>
    <w:rsid w:val="1BBE1FA1"/>
    <w:rsid w:val="1D631052"/>
    <w:rsid w:val="1DBE55DE"/>
    <w:rsid w:val="1E2F6BAF"/>
    <w:rsid w:val="1F3B2DD7"/>
    <w:rsid w:val="223C1E72"/>
    <w:rsid w:val="22832D4C"/>
    <w:rsid w:val="25B43C9A"/>
    <w:rsid w:val="27802801"/>
    <w:rsid w:val="29DC7C4B"/>
    <w:rsid w:val="2D8F3EFB"/>
    <w:rsid w:val="2E5E0415"/>
    <w:rsid w:val="3066310E"/>
    <w:rsid w:val="30815316"/>
    <w:rsid w:val="30C44A24"/>
    <w:rsid w:val="33C148CD"/>
    <w:rsid w:val="349E19C7"/>
    <w:rsid w:val="355D2DF6"/>
    <w:rsid w:val="377D498B"/>
    <w:rsid w:val="386D4D89"/>
    <w:rsid w:val="38AA4F19"/>
    <w:rsid w:val="3B0D21A6"/>
    <w:rsid w:val="3B33788A"/>
    <w:rsid w:val="3B3616FD"/>
    <w:rsid w:val="3B653D90"/>
    <w:rsid w:val="40217141"/>
    <w:rsid w:val="41A41AB6"/>
    <w:rsid w:val="45881F10"/>
    <w:rsid w:val="46B61944"/>
    <w:rsid w:val="484C34EF"/>
    <w:rsid w:val="48F0738F"/>
    <w:rsid w:val="49AF3CD7"/>
    <w:rsid w:val="49B909A4"/>
    <w:rsid w:val="4A2048DC"/>
    <w:rsid w:val="4A835A36"/>
    <w:rsid w:val="4B614AA0"/>
    <w:rsid w:val="4CE55CE0"/>
    <w:rsid w:val="4E2E48B5"/>
    <w:rsid w:val="4EF703D2"/>
    <w:rsid w:val="4FF7120C"/>
    <w:rsid w:val="502673AB"/>
    <w:rsid w:val="50884351"/>
    <w:rsid w:val="515A69F1"/>
    <w:rsid w:val="52082AD5"/>
    <w:rsid w:val="53AC65A8"/>
    <w:rsid w:val="53B92A73"/>
    <w:rsid w:val="56322421"/>
    <w:rsid w:val="56C34335"/>
    <w:rsid w:val="57DD4F82"/>
    <w:rsid w:val="58C6010C"/>
    <w:rsid w:val="58EB7B73"/>
    <w:rsid w:val="59282B75"/>
    <w:rsid w:val="5964473A"/>
    <w:rsid w:val="5AA23754"/>
    <w:rsid w:val="5B2351C5"/>
    <w:rsid w:val="5C2525B7"/>
    <w:rsid w:val="5F7D704B"/>
    <w:rsid w:val="60AA7BB8"/>
    <w:rsid w:val="60B13450"/>
    <w:rsid w:val="62145A44"/>
    <w:rsid w:val="62830E1C"/>
    <w:rsid w:val="62D441D3"/>
    <w:rsid w:val="63C45248"/>
    <w:rsid w:val="66892C29"/>
    <w:rsid w:val="67837EE3"/>
    <w:rsid w:val="67982C74"/>
    <w:rsid w:val="68803BF5"/>
    <w:rsid w:val="6AB605C0"/>
    <w:rsid w:val="6B915546"/>
    <w:rsid w:val="6BAC4099"/>
    <w:rsid w:val="6C93095F"/>
    <w:rsid w:val="6D431870"/>
    <w:rsid w:val="6DCD50E9"/>
    <w:rsid w:val="6FA96CFB"/>
    <w:rsid w:val="6FB0465A"/>
    <w:rsid w:val="6FBB1BF5"/>
    <w:rsid w:val="7272218E"/>
    <w:rsid w:val="73BC23E0"/>
    <w:rsid w:val="73D94C2E"/>
    <w:rsid w:val="745A5E80"/>
    <w:rsid w:val="752913AF"/>
    <w:rsid w:val="76F854DD"/>
    <w:rsid w:val="781851D9"/>
    <w:rsid w:val="7B5A1ADE"/>
    <w:rsid w:val="7E4B0C60"/>
    <w:rsid w:val="7EE0602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4">
    <w:name w:val="heading 3"/>
    <w:basedOn w:val="1"/>
    <w:next w:val="1"/>
    <w:unhideWhenUsed/>
    <w:qFormat/>
    <w:uiPriority w:val="0"/>
    <w:pPr>
      <w:keepNext/>
      <w:keepLines/>
      <w:spacing w:before="260" w:beforeLines="0" w:beforeAutospacing="0" w:after="260" w:afterLines="0" w:afterAutospacing="0" w:line="413" w:lineRule="auto"/>
      <w:outlineLvl w:val="2"/>
    </w:pPr>
    <w:rPr>
      <w:b/>
      <w:sz w:val="32"/>
    </w:rPr>
  </w:style>
  <w:style w:type="paragraph" w:styleId="3">
    <w:name w:val="heading 4"/>
    <w:basedOn w:val="1"/>
    <w:next w:val="1"/>
    <w:qFormat/>
    <w:uiPriority w:val="0"/>
    <w:pPr>
      <w:keepNext/>
      <w:keepLines/>
      <w:widowControl/>
      <w:spacing w:before="120" w:after="120" w:line="360" w:lineRule="auto"/>
      <w:jc w:val="center"/>
      <w:outlineLvl w:val="3"/>
    </w:pPr>
    <w:rPr>
      <w:rFonts w:ascii="Arial" w:hAnsi="Arial" w:eastAsia="黑体"/>
      <w:kern w:val="0"/>
      <w:sz w:val="28"/>
      <w:szCs w:val="20"/>
    </w:rPr>
  </w:style>
  <w:style w:type="character" w:default="1" w:styleId="12">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2">
    <w:name w:val="Block Text"/>
    <w:basedOn w:val="1"/>
    <w:next w:val="3"/>
    <w:qFormat/>
    <w:uiPriority w:val="0"/>
    <w:pPr>
      <w:adjustRightInd w:val="0"/>
      <w:ind w:left="420" w:right="33"/>
      <w:jc w:val="left"/>
      <w:textAlignment w:val="baseline"/>
    </w:pPr>
    <w:rPr>
      <w:kern w:val="0"/>
      <w:sz w:val="24"/>
      <w:szCs w:val="20"/>
    </w:rPr>
  </w:style>
  <w:style w:type="paragraph" w:styleId="5">
    <w:name w:val="Normal Indent"/>
    <w:basedOn w:val="1"/>
    <w:qFormat/>
    <w:uiPriority w:val="0"/>
    <w:pPr>
      <w:ind w:firstLine="420" w:firstLineChars="200"/>
    </w:pPr>
  </w:style>
  <w:style w:type="paragraph" w:styleId="6">
    <w:name w:val="annotation text"/>
    <w:basedOn w:val="1"/>
    <w:qFormat/>
    <w:uiPriority w:val="0"/>
    <w:pPr>
      <w:jc w:val="left"/>
    </w:pPr>
  </w:style>
  <w:style w:type="paragraph" w:styleId="7">
    <w:name w:val="Body Text Indent"/>
    <w:basedOn w:val="1"/>
    <w:qFormat/>
    <w:uiPriority w:val="0"/>
    <w:pPr>
      <w:ind w:firstLine="830" w:firstLineChars="352"/>
    </w:pPr>
    <w:rPr>
      <w:rFonts w:ascii="仿宋_GB2312" w:eastAsia="仿宋_GB2312" w:cs="仿宋_GB2312"/>
      <w:sz w:val="32"/>
      <w:szCs w:val="32"/>
    </w:rPr>
  </w:style>
  <w:style w:type="paragraph" w:styleId="8">
    <w:name w:val="index 1"/>
    <w:basedOn w:val="1"/>
    <w:next w:val="1"/>
    <w:qFormat/>
    <w:uiPriority w:val="0"/>
    <w:pPr>
      <w:spacing w:line="400" w:lineRule="exact"/>
      <w:ind w:firstLine="420" w:firstLineChars="200"/>
    </w:pPr>
    <w:rPr>
      <w:rFonts w:ascii="宋体" w:hAnsi="Courier New"/>
      <w:b/>
      <w:szCs w:val="20"/>
    </w:rPr>
  </w:style>
  <w:style w:type="paragraph" w:styleId="9">
    <w:name w:val="Body Text First Indent 2"/>
    <w:basedOn w:val="7"/>
    <w:next w:val="5"/>
    <w:qFormat/>
    <w:uiPriority w:val="0"/>
    <w:pPr>
      <w:spacing w:after="120"/>
      <w:ind w:left="420" w:leftChars="200" w:firstLine="420" w:firstLineChars="200"/>
    </w:pPr>
    <w:rPr>
      <w:rFonts w:ascii="Times New Roman" w:eastAsia="宋体"/>
      <w:sz w:val="21"/>
      <w:szCs w:val="24"/>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annotation reference"/>
    <w:qFormat/>
    <w:uiPriority w:val="0"/>
    <w:rPr>
      <w:sz w:val="21"/>
      <w:szCs w:val="21"/>
    </w:rPr>
  </w:style>
  <w:style w:type="paragraph" w:customStyle="1" w:styleId="14">
    <w:name w:val="表格文字"/>
    <w:basedOn w:val="1"/>
    <w:qFormat/>
    <w:uiPriority w:val="0"/>
    <w:pPr>
      <w:spacing w:before="25" w:after="25"/>
      <w:jc w:val="left"/>
    </w:pPr>
    <w:rPr>
      <w:bCs/>
      <w:spacing w:val="10"/>
      <w:kern w:val="0"/>
      <w:sz w:val="24"/>
    </w:rPr>
  </w:style>
  <w:style w:type="character" w:customStyle="1" w:styleId="15">
    <w:name w:val="NormalCharacter"/>
    <w:semiHidden/>
    <w:qFormat/>
    <w:uiPriority w:val="0"/>
    <w:rPr>
      <w:rFonts w:ascii="Calibri" w:hAnsi="Calibri"/>
      <w:kern w:val="2"/>
      <w:sz w:val="21"/>
      <w:szCs w:val="24"/>
      <w:lang w:val="en-US" w:eastAsia="zh-CN" w:bidi="ar-SA"/>
    </w:rPr>
  </w:style>
  <w:style w:type="paragraph" w:customStyle="1" w:styleId="16">
    <w:name w:val="Table Text"/>
    <w:basedOn w:val="1"/>
    <w:semiHidden/>
    <w:qFormat/>
    <w:uiPriority w:val="0"/>
    <w:rPr>
      <w:rFonts w:ascii="宋体" w:hAnsi="宋体" w:eastAsia="宋体" w:cs="宋体"/>
      <w:sz w:val="20"/>
      <w:szCs w:val="20"/>
      <w:lang w:val="en-US" w:eastAsia="en-US" w:bidi="ar-SA"/>
    </w:rPr>
  </w:style>
  <w:style w:type="table" w:customStyle="1" w:styleId="17">
    <w:name w:val="Table Normal"/>
    <w:unhideWhenUsed/>
    <w:qFormat/>
    <w:uiPriority w:val="0"/>
    <w:tblPr>
      <w:tblCellMar>
        <w:top w:w="0" w:type="dxa"/>
        <w:left w:w="0" w:type="dxa"/>
        <w:bottom w:w="0" w:type="dxa"/>
        <w:right w:w="0" w:type="dxa"/>
      </w:tblCellMar>
    </w:tblPr>
  </w:style>
  <w:style w:type="character" w:customStyle="1" w:styleId="18">
    <w:name w:val="font31"/>
    <w:basedOn w:val="12"/>
    <w:qFormat/>
    <w:uiPriority w:val="0"/>
    <w:rPr>
      <w:rFonts w:hint="eastAsia" w:ascii="宋体" w:hAnsi="宋体" w:eastAsia="宋体" w:cs="宋体"/>
      <w:color w:val="000000"/>
      <w:sz w:val="20"/>
      <w:szCs w:val="20"/>
      <w:u w:val="none"/>
    </w:rPr>
  </w:style>
  <w:style w:type="character" w:customStyle="1" w:styleId="19">
    <w:name w:val="font51"/>
    <w:basedOn w:val="12"/>
    <w:qFormat/>
    <w:uiPriority w:val="0"/>
    <w:rPr>
      <w:rFonts w:hint="default" w:ascii="Times New Roman" w:hAnsi="Times New Roman" w:cs="Times New Roman"/>
      <w:color w:val="000000"/>
      <w:sz w:val="20"/>
      <w:szCs w:val="20"/>
      <w:u w:val="none"/>
    </w:rPr>
  </w:style>
  <w:style w:type="character" w:customStyle="1" w:styleId="20">
    <w:name w:val="font41"/>
    <w:basedOn w:val="12"/>
    <w:qFormat/>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Pages>
  <Words>6725</Words>
  <Characters>7723</Characters>
  <Lines>0</Lines>
  <Paragraphs>0</Paragraphs>
  <TotalTime>1</TotalTime>
  <ScaleCrop>false</ScaleCrop>
  <LinksUpToDate>false</LinksUpToDate>
  <CharactersWithSpaces>7960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2023-06-06T17:36:00Z</dcterms:created>
  <dc:creator>刘新月</dc:creator>
  <cp:lastModifiedBy>易云梅</cp:lastModifiedBy>
  <cp:lastPrinted>2024-06-20T18:35:00Z</cp:lastPrinted>
  <dcterms:modified xsi:type="dcterms:W3CDTF">2026-08-04T02:23:22Z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4FC679C398374EB4AB3857A1967D5AE1_13</vt:lpwstr>
  </property>
  <property fmtid="{D5CDD505-2E9C-101B-9397-08002B2CF9AE}" pid="4" name="KSOTemplateDocerSaveRecord">
    <vt:lpwstr>eyJoZGlkIjoiOGQ4MTZiYTBkODUwOTk2Y2FmZjk4OTdlNzZjYmRlZDkiLCJ1c2VySWQiOiIxNDk5MzI0MzA5In0=</vt:lpwstr>
  </property>
</Properties>
</file>